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A8EE" w14:textId="77777777" w:rsidR="005075AA" w:rsidRPr="00684853" w:rsidRDefault="005075AA" w:rsidP="005075AA">
      <w:pPr>
        <w:spacing w:line="276" w:lineRule="auto"/>
        <w:jc w:val="center"/>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Tabel de concordanță</w:t>
      </w:r>
    </w:p>
    <w:p w14:paraId="0B6ACC94" w14:textId="77777777" w:rsidR="00C90B01" w:rsidRPr="00684853" w:rsidRDefault="00C90B01" w:rsidP="005075AA">
      <w:pPr>
        <w:spacing w:line="276" w:lineRule="auto"/>
        <w:jc w:val="center"/>
        <w:rPr>
          <w:rFonts w:ascii="Times New Roman" w:hAnsi="Times New Roman" w:cs="Times New Roman"/>
          <w:b/>
          <w:color w:val="000000" w:themeColor="text1"/>
          <w:sz w:val="20"/>
          <w:szCs w:val="20"/>
          <w:lang w:val="ro-RO"/>
        </w:rPr>
      </w:pPr>
    </w:p>
    <w:tbl>
      <w:tblPr>
        <w:tblW w:w="5549" w:type="pct"/>
        <w:tblInd w:w="-661" w:type="dxa"/>
        <w:tblCellMar>
          <w:top w:w="15" w:type="dxa"/>
          <w:left w:w="15" w:type="dxa"/>
          <w:bottom w:w="15" w:type="dxa"/>
          <w:right w:w="15" w:type="dxa"/>
        </w:tblCellMar>
        <w:tblLook w:val="04A0" w:firstRow="1" w:lastRow="0" w:firstColumn="1" w:lastColumn="0" w:noHBand="0" w:noVBand="1"/>
      </w:tblPr>
      <w:tblGrid>
        <w:gridCol w:w="406"/>
        <w:gridCol w:w="14638"/>
      </w:tblGrid>
      <w:tr w:rsidR="00684853" w:rsidRPr="00684853" w14:paraId="29BD396D" w14:textId="77777777" w:rsidTr="00633719">
        <w:trPr>
          <w:trHeight w:val="758"/>
        </w:trPr>
        <w:tc>
          <w:tcPr>
            <w:tcW w:w="1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25965" w14:textId="77777777" w:rsidR="00C90B01" w:rsidRPr="00684853" w:rsidRDefault="00C90B01" w:rsidP="008E45F9">
            <w:pPr>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1. </w:t>
            </w:r>
          </w:p>
        </w:tc>
        <w:tc>
          <w:tcPr>
            <w:tcW w:w="4865" w:type="pct"/>
            <w:tcBorders>
              <w:top w:val="single" w:sz="6" w:space="0" w:color="000000"/>
              <w:left w:val="single" w:sz="6" w:space="0" w:color="000000"/>
              <w:bottom w:val="single" w:sz="6" w:space="0" w:color="000000"/>
              <w:right w:val="single" w:sz="6" w:space="0" w:color="000000"/>
            </w:tcBorders>
          </w:tcPr>
          <w:p w14:paraId="749C42D7" w14:textId="77777777" w:rsidR="00C90B01" w:rsidRPr="00684853" w:rsidRDefault="00C90B01" w:rsidP="008E45F9">
            <w:pPr>
              <w:spacing w:after="0" w:line="240" w:lineRule="auto"/>
              <w:jc w:val="both"/>
              <w:rPr>
                <w:rFonts w:ascii="Times New Roman" w:eastAsia="Times New Roman" w:hAnsi="Times New Roman" w:cs="Times New Roman"/>
                <w:color w:val="000000" w:themeColor="text1"/>
                <w:sz w:val="18"/>
                <w:szCs w:val="18"/>
                <w:lang w:val="ro-RO"/>
              </w:rPr>
            </w:pPr>
            <w:r w:rsidRPr="00684853">
              <w:rPr>
                <w:rFonts w:ascii="Times New Roman" w:hAnsi="Times New Roman" w:cs="Times New Roman"/>
                <w:b/>
                <w:color w:val="000000" w:themeColor="text1"/>
                <w:sz w:val="18"/>
                <w:szCs w:val="18"/>
                <w:lang w:val="ro-RO"/>
              </w:rPr>
              <w:t>Regulamentul nr. 575/2013 al Parlamentului European și al Consiliului din 26 iunie 2013 privind cerințele prudențiale pentru instituțiile de credit și de modificare a Regulamentului (UE) nr. 648/2012, publicat ]n Jurnalul Oficial al Uniunii Europene nr. L 176 din 27 iunie 2013, astfel cum a fost modificat ultima dată prin Regulamentul (UE) 2024/1623 al Parlamentului European și al Consiliului din 31 mai 2024</w:t>
            </w:r>
            <w:r w:rsidRPr="00684853">
              <w:rPr>
                <w:rFonts w:ascii="Times New Roman" w:hAnsi="Times New Roman" w:cs="Times New Roman"/>
                <w:bCs/>
                <w:color w:val="000000" w:themeColor="text1"/>
                <w:sz w:val="18"/>
                <w:szCs w:val="18"/>
                <w:lang w:val="ro-RO"/>
              </w:rPr>
              <w:t xml:space="preserve"> (</w:t>
            </w:r>
            <w:proofErr w:type="spellStart"/>
            <w:r w:rsidRPr="00684853">
              <w:rPr>
                <w:rFonts w:ascii="Times New Roman" w:hAnsi="Times New Roman" w:cs="Times New Roman"/>
                <w:bCs/>
                <w:color w:val="000000" w:themeColor="text1"/>
                <w:sz w:val="18"/>
                <w:szCs w:val="18"/>
                <w:lang w:val="ro-RO"/>
              </w:rPr>
              <w:t>Nr.CELEX</w:t>
            </w:r>
            <w:proofErr w:type="spellEnd"/>
            <w:r w:rsidRPr="00684853">
              <w:rPr>
                <w:rFonts w:ascii="Times New Roman" w:hAnsi="Times New Roman" w:cs="Times New Roman"/>
                <w:bCs/>
                <w:color w:val="000000" w:themeColor="text1"/>
                <w:sz w:val="18"/>
                <w:szCs w:val="18"/>
                <w:lang w:val="ro-RO"/>
              </w:rPr>
              <w:t>: 32013R0575)</w:t>
            </w:r>
          </w:p>
        </w:tc>
      </w:tr>
      <w:tr w:rsidR="00684853" w:rsidRPr="00684853" w14:paraId="37288630" w14:textId="77777777" w:rsidTr="00633719">
        <w:trPr>
          <w:trHeight w:val="480"/>
        </w:trPr>
        <w:tc>
          <w:tcPr>
            <w:tcW w:w="1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0E63C"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2. </w:t>
            </w:r>
          </w:p>
        </w:tc>
        <w:tc>
          <w:tcPr>
            <w:tcW w:w="4865" w:type="pct"/>
            <w:tcBorders>
              <w:top w:val="single" w:sz="6" w:space="0" w:color="000000"/>
              <w:left w:val="single" w:sz="6" w:space="0" w:color="000000"/>
              <w:bottom w:val="single" w:sz="6" w:space="0" w:color="000000"/>
              <w:right w:val="single" w:sz="6" w:space="0" w:color="000000"/>
            </w:tcBorders>
          </w:tcPr>
          <w:p w14:paraId="499D6B41" w14:textId="07A5255E"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Proiectul Hotărârii Comitetului executiv al Băncii Naționale a Moldovei pentru modificarea </w:t>
            </w:r>
            <w:r w:rsidR="00B71A97" w:rsidRPr="00B71A97">
              <w:rPr>
                <w:rFonts w:ascii="Times New Roman" w:eastAsia="Times New Roman" w:hAnsi="Times New Roman" w:cs="Times New Roman"/>
                <w:b/>
                <w:color w:val="000000" w:themeColor="text1"/>
                <w:sz w:val="18"/>
                <w:szCs w:val="18"/>
                <w:lang w:val="ro-RO"/>
              </w:rPr>
              <w:t>Hotărârii Comitetului executiv al Băncii Naționale a Moldovei nr.112/2018 cu privire la aprobarea Regulamentului cu privire la tehnicile de diminuare a riscului de credit utilizate de bănci</w:t>
            </w:r>
          </w:p>
        </w:tc>
      </w:tr>
      <w:tr w:rsidR="00684853" w:rsidRPr="00684853" w14:paraId="4CB7F672" w14:textId="77777777" w:rsidTr="00633719">
        <w:trPr>
          <w:trHeight w:val="239"/>
        </w:trPr>
        <w:tc>
          <w:tcPr>
            <w:tcW w:w="1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0B6A8"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3.</w:t>
            </w:r>
          </w:p>
        </w:tc>
        <w:tc>
          <w:tcPr>
            <w:tcW w:w="4865" w:type="pct"/>
            <w:tcBorders>
              <w:top w:val="single" w:sz="6" w:space="0" w:color="000000"/>
              <w:left w:val="single" w:sz="6" w:space="0" w:color="000000"/>
              <w:bottom w:val="single" w:sz="6" w:space="0" w:color="000000"/>
              <w:right w:val="single" w:sz="6" w:space="0" w:color="000000"/>
            </w:tcBorders>
          </w:tcPr>
          <w:p w14:paraId="1E5C0EFE"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Parțial </w:t>
            </w:r>
            <w:r w:rsidRPr="00684853">
              <w:rPr>
                <w:rFonts w:ascii="Times New Roman" w:eastAsia="Times New Roman" w:hAnsi="Times New Roman" w:cs="Times New Roman"/>
                <w:b/>
                <w:bCs/>
                <w:color w:val="000000" w:themeColor="text1"/>
                <w:sz w:val="18"/>
                <w:szCs w:val="18"/>
                <w:lang w:val="ro-RO"/>
              </w:rPr>
              <w:t>compatibil</w:t>
            </w:r>
          </w:p>
        </w:tc>
      </w:tr>
      <w:tr w:rsidR="00684853" w:rsidRPr="00684853" w14:paraId="604E7A02" w14:textId="77777777" w:rsidTr="00633719">
        <w:trPr>
          <w:trHeight w:val="239"/>
        </w:trPr>
        <w:tc>
          <w:tcPr>
            <w:tcW w:w="1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65AE4"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4.</w:t>
            </w:r>
          </w:p>
        </w:tc>
        <w:tc>
          <w:tcPr>
            <w:tcW w:w="4865" w:type="pct"/>
            <w:tcBorders>
              <w:top w:val="single" w:sz="6" w:space="0" w:color="000000"/>
              <w:left w:val="single" w:sz="6" w:space="0" w:color="000000"/>
              <w:bottom w:val="single" w:sz="6" w:space="0" w:color="000000"/>
              <w:right w:val="single" w:sz="6" w:space="0" w:color="000000"/>
            </w:tcBorders>
          </w:tcPr>
          <w:p w14:paraId="7F89B0BF"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Banca Națională a Moldovei</w:t>
            </w:r>
          </w:p>
        </w:tc>
      </w:tr>
      <w:tr w:rsidR="00C90B01" w:rsidRPr="00684853" w14:paraId="3DC5310B" w14:textId="77777777" w:rsidTr="00633719">
        <w:trPr>
          <w:trHeight w:val="200"/>
        </w:trPr>
        <w:tc>
          <w:tcPr>
            <w:tcW w:w="1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B8AD9" w14:textId="77777777" w:rsidR="00C90B01" w:rsidRPr="00684853"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5.</w:t>
            </w:r>
          </w:p>
        </w:tc>
        <w:tc>
          <w:tcPr>
            <w:tcW w:w="4865" w:type="pct"/>
            <w:tcBorders>
              <w:top w:val="single" w:sz="6" w:space="0" w:color="000000"/>
              <w:left w:val="single" w:sz="6" w:space="0" w:color="000000"/>
              <w:bottom w:val="single" w:sz="6" w:space="0" w:color="000000"/>
              <w:right w:val="single" w:sz="6" w:space="0" w:color="000000"/>
            </w:tcBorders>
          </w:tcPr>
          <w:p w14:paraId="78FA84CA" w14:textId="6D2D9DD2" w:rsidR="00C90B01" w:rsidRPr="00684853" w:rsidRDefault="004B06AA"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Pr>
                <w:rFonts w:ascii="Times New Roman" w:eastAsia="Times New Roman" w:hAnsi="Times New Roman" w:cs="Times New Roman"/>
                <w:b/>
                <w:color w:val="000000" w:themeColor="text1"/>
                <w:sz w:val="18"/>
                <w:szCs w:val="18"/>
                <w:lang w:val="ro-RO"/>
              </w:rPr>
              <w:t>Martie 2026</w:t>
            </w:r>
          </w:p>
        </w:tc>
      </w:tr>
    </w:tbl>
    <w:p w14:paraId="23C290DE" w14:textId="77777777" w:rsidR="005075AA" w:rsidRPr="00684853" w:rsidRDefault="005075AA" w:rsidP="005075AA">
      <w:pPr>
        <w:spacing w:line="276" w:lineRule="auto"/>
        <w:jc w:val="both"/>
        <w:rPr>
          <w:rFonts w:ascii="Times New Roman" w:hAnsi="Times New Roman" w:cs="Times New Roman"/>
          <w:color w:val="000000" w:themeColor="text1"/>
          <w:sz w:val="2"/>
          <w:szCs w:val="2"/>
          <w:lang w:val="ro-RO"/>
        </w:rPr>
      </w:pPr>
    </w:p>
    <w:tbl>
      <w:tblPr>
        <w:tblW w:w="5498" w:type="pct"/>
        <w:tblInd w:w="-601" w:type="dxa"/>
        <w:tblLayout w:type="fixed"/>
        <w:tblLook w:val="01E0" w:firstRow="1" w:lastRow="1" w:firstColumn="1" w:lastColumn="1" w:noHBand="0" w:noVBand="0"/>
      </w:tblPr>
      <w:tblGrid>
        <w:gridCol w:w="5716"/>
        <w:gridCol w:w="4881"/>
        <w:gridCol w:w="1676"/>
        <w:gridCol w:w="2640"/>
      </w:tblGrid>
      <w:tr w:rsidR="00EA59FA" w:rsidRPr="00684853" w14:paraId="52B96B74" w14:textId="77777777" w:rsidTr="00800622">
        <w:trPr>
          <w:tblHeader/>
        </w:trPr>
        <w:tc>
          <w:tcPr>
            <w:tcW w:w="1916" w:type="pct"/>
            <w:tcBorders>
              <w:top w:val="single" w:sz="4" w:space="0" w:color="auto"/>
              <w:left w:val="single" w:sz="4" w:space="0" w:color="auto"/>
              <w:bottom w:val="single" w:sz="4" w:space="0" w:color="auto"/>
              <w:right w:val="single" w:sz="4" w:space="0" w:color="auto"/>
            </w:tcBorders>
            <w:vAlign w:val="center"/>
          </w:tcPr>
          <w:p w14:paraId="7A3C6C63" w14:textId="1249C21E" w:rsidR="00395381" w:rsidRPr="00684853" w:rsidRDefault="00C827A2" w:rsidP="009E0E54">
            <w:pPr>
              <w:spacing w:line="276" w:lineRule="auto"/>
              <w:jc w:val="center"/>
              <w:rPr>
                <w:rFonts w:ascii="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6. </w:t>
            </w:r>
            <w:r w:rsidR="00395381" w:rsidRPr="00684853">
              <w:rPr>
                <w:rFonts w:ascii="Times New Roman" w:eastAsia="Times New Roman" w:hAnsi="Times New Roman" w:cs="Times New Roman"/>
                <w:b/>
                <w:color w:val="000000" w:themeColor="text1"/>
                <w:sz w:val="20"/>
                <w:szCs w:val="20"/>
                <w:lang w:val="ro-RO"/>
              </w:rPr>
              <w:t>Actul Uniunii Europene</w:t>
            </w:r>
          </w:p>
        </w:tc>
        <w:tc>
          <w:tcPr>
            <w:tcW w:w="1636" w:type="pct"/>
            <w:tcBorders>
              <w:top w:val="single" w:sz="4" w:space="0" w:color="auto"/>
              <w:left w:val="single" w:sz="4" w:space="0" w:color="auto"/>
              <w:bottom w:val="single" w:sz="4" w:space="0" w:color="auto"/>
              <w:right w:val="single" w:sz="4" w:space="0" w:color="auto"/>
            </w:tcBorders>
            <w:vAlign w:val="center"/>
          </w:tcPr>
          <w:p w14:paraId="7B1706B3" w14:textId="1B58FC20" w:rsidR="00395381" w:rsidRPr="00684853" w:rsidRDefault="00C827A2" w:rsidP="009E0E54">
            <w:pPr>
              <w:spacing w:line="276" w:lineRule="auto"/>
              <w:jc w:val="center"/>
              <w:rPr>
                <w:rFonts w:ascii="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7. </w:t>
            </w:r>
            <w:r w:rsidR="00395381" w:rsidRPr="00684853">
              <w:rPr>
                <w:rFonts w:ascii="Times New Roman" w:eastAsia="Times New Roman" w:hAnsi="Times New Roman" w:cs="Times New Roman"/>
                <w:b/>
                <w:color w:val="000000" w:themeColor="text1"/>
                <w:sz w:val="20"/>
                <w:szCs w:val="20"/>
                <w:lang w:val="ro-RO"/>
              </w:rPr>
              <w:t xml:space="preserve">Proiectul de act normativ </w:t>
            </w:r>
            <w:proofErr w:type="spellStart"/>
            <w:r w:rsidR="00395381" w:rsidRPr="00684853">
              <w:rPr>
                <w:rFonts w:ascii="Times New Roman" w:eastAsia="Times New Roman" w:hAnsi="Times New Roman" w:cs="Times New Roman"/>
                <w:b/>
                <w:color w:val="000000" w:themeColor="text1"/>
                <w:sz w:val="20"/>
                <w:szCs w:val="20"/>
                <w:lang w:val="ro-RO"/>
              </w:rPr>
              <w:t>naţional</w:t>
            </w:r>
            <w:proofErr w:type="spellEnd"/>
          </w:p>
        </w:tc>
        <w:tc>
          <w:tcPr>
            <w:tcW w:w="562" w:type="pct"/>
            <w:tcBorders>
              <w:top w:val="single" w:sz="4" w:space="0" w:color="auto"/>
              <w:left w:val="single" w:sz="4" w:space="0" w:color="auto"/>
              <w:bottom w:val="single" w:sz="4" w:space="0" w:color="auto"/>
              <w:right w:val="single" w:sz="4" w:space="0" w:color="auto"/>
            </w:tcBorders>
            <w:vAlign w:val="center"/>
          </w:tcPr>
          <w:p w14:paraId="168B5A82" w14:textId="4E97389E" w:rsidR="00395381" w:rsidRPr="00684853" w:rsidRDefault="00C827A2" w:rsidP="009E0E54">
            <w:pPr>
              <w:spacing w:line="276" w:lineRule="auto"/>
              <w:jc w:val="center"/>
              <w:rPr>
                <w:rFonts w:ascii="Times New Roman" w:eastAsia="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8. </w:t>
            </w:r>
            <w:r w:rsidR="00395381" w:rsidRPr="00684853">
              <w:rPr>
                <w:rFonts w:ascii="Times New Roman" w:eastAsia="Times New Roman" w:hAnsi="Times New Roman" w:cs="Times New Roman"/>
                <w:b/>
                <w:color w:val="000000" w:themeColor="text1"/>
                <w:sz w:val="20"/>
                <w:szCs w:val="20"/>
                <w:lang w:val="ro-RO"/>
              </w:rPr>
              <w:t>Gradul de compatibilitate</w:t>
            </w:r>
          </w:p>
          <w:p w14:paraId="3D69013B" w14:textId="77777777" w:rsidR="001F41B3" w:rsidRPr="00684853" w:rsidRDefault="001F41B3" w:rsidP="009E0E54">
            <w:pPr>
              <w:spacing w:line="276" w:lineRule="auto"/>
              <w:jc w:val="center"/>
              <w:rPr>
                <w:rFonts w:ascii="Times New Roman" w:eastAsia="Times New Roman" w:hAnsi="Times New Roman" w:cs="Times New Roman"/>
                <w:b/>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vAlign w:val="center"/>
          </w:tcPr>
          <w:p w14:paraId="0061062F" w14:textId="4BC276AE" w:rsidR="00395381" w:rsidRPr="00684853" w:rsidRDefault="00C827A2" w:rsidP="00C827A2">
            <w:pPr>
              <w:spacing w:line="276" w:lineRule="auto"/>
              <w:jc w:val="center"/>
              <w:rPr>
                <w:rFonts w:ascii="Times New Roman" w:hAnsi="Times New Roman" w:cs="Times New Roman"/>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9. </w:t>
            </w:r>
            <w:r w:rsidR="00395381" w:rsidRPr="00684853">
              <w:rPr>
                <w:rFonts w:ascii="Times New Roman" w:eastAsia="Times New Roman" w:hAnsi="Times New Roman" w:cs="Times New Roman"/>
                <w:b/>
                <w:color w:val="000000" w:themeColor="text1"/>
                <w:sz w:val="20"/>
                <w:szCs w:val="20"/>
                <w:lang w:val="ro-RO"/>
              </w:rPr>
              <w:t>Observații</w:t>
            </w:r>
          </w:p>
        </w:tc>
      </w:tr>
      <w:tr w:rsidR="00EA59FA" w:rsidRPr="00684853" w14:paraId="78CC77B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54AC49B5" w14:textId="22DF1B25" w:rsidR="00C827A2" w:rsidRPr="00684853" w:rsidRDefault="00C827A2" w:rsidP="00C827A2">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REGULAMENTUL NR. 575/2013 AL PARLAMENTULUI EUROPEAN ȘI AL CONSILIULUI din 26 iunie 2013 privind cerințele prudențiale pentru instituțiile de credit și firmele de investiții și de modificare a Regulamentului (UE) nr. 648/2012 (în continuare – CRR)</w:t>
            </w:r>
          </w:p>
        </w:tc>
        <w:tc>
          <w:tcPr>
            <w:tcW w:w="1636" w:type="pct"/>
          </w:tcPr>
          <w:p w14:paraId="5903C067" w14:textId="29AE46A1" w:rsidR="00C827A2" w:rsidRPr="00684853" w:rsidRDefault="002A4504" w:rsidP="00C827A2">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Proiectul Hotărârii Comitetului executiv al Băncii Naționale a Moldovei pentru modificarea unor acte normative ale Băncii Naționale a Moldovei (fondurile proprii ale băncilor și cerințele de capital)</w:t>
            </w:r>
          </w:p>
        </w:tc>
        <w:tc>
          <w:tcPr>
            <w:tcW w:w="562" w:type="pct"/>
          </w:tcPr>
          <w:p w14:paraId="7FF9043C" w14:textId="77777777"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c>
          <w:tcPr>
            <w:tcW w:w="885" w:type="pct"/>
          </w:tcPr>
          <w:p w14:paraId="0F246351" w14:textId="2C676F51"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r>
      <w:tr w:rsidR="00EA59FA" w:rsidRPr="00684853" w14:paraId="30AA83D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679D8E4F" w14:textId="77777777" w:rsidR="00C827A2" w:rsidRPr="00684853" w:rsidRDefault="00C827A2" w:rsidP="00C827A2">
            <w:pPr>
              <w:spacing w:after="0" w:line="240" w:lineRule="auto"/>
              <w:rPr>
                <w:rFonts w:ascii="Times New Roman" w:hAnsi="Times New Roman" w:cs="Times New Roman"/>
                <w:b/>
                <w:color w:val="000000" w:themeColor="text1"/>
                <w:sz w:val="18"/>
                <w:szCs w:val="18"/>
                <w:lang w:val="ro-RO"/>
              </w:rPr>
            </w:pPr>
            <w:r w:rsidRPr="00684853">
              <w:rPr>
                <w:rFonts w:ascii="Times New Roman" w:hAnsi="Times New Roman" w:cs="Times New Roman"/>
                <w:b/>
                <w:color w:val="000000" w:themeColor="text1"/>
                <w:sz w:val="18"/>
                <w:szCs w:val="18"/>
                <w:lang w:val="ro-RO"/>
              </w:rPr>
              <w:t>PARTEA ÎNTÂI</w:t>
            </w:r>
          </w:p>
          <w:p w14:paraId="23C8801F" w14:textId="22696DA7" w:rsidR="00C827A2" w:rsidRPr="00684853" w:rsidRDefault="00C827A2" w:rsidP="00C827A2">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DISPOZIȚII GENERALE</w:t>
            </w:r>
          </w:p>
        </w:tc>
        <w:tc>
          <w:tcPr>
            <w:tcW w:w="1636" w:type="pct"/>
          </w:tcPr>
          <w:p w14:paraId="5DE7FDE6" w14:textId="77777777" w:rsidR="00C827A2" w:rsidRPr="00684853" w:rsidDel="00FE0ECE" w:rsidRDefault="00C827A2" w:rsidP="00C827A2">
            <w:pPr>
              <w:spacing w:after="0" w:line="240" w:lineRule="auto"/>
              <w:rPr>
                <w:rFonts w:ascii="Times New Roman" w:hAnsi="Times New Roman" w:cs="Times New Roman"/>
                <w:b/>
                <w:color w:val="000000" w:themeColor="text1"/>
                <w:sz w:val="20"/>
                <w:szCs w:val="20"/>
                <w:lang w:val="ro-RO"/>
              </w:rPr>
            </w:pPr>
          </w:p>
        </w:tc>
        <w:tc>
          <w:tcPr>
            <w:tcW w:w="562" w:type="pct"/>
          </w:tcPr>
          <w:p w14:paraId="28045C30" w14:textId="77777777"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c>
          <w:tcPr>
            <w:tcW w:w="885" w:type="pct"/>
          </w:tcPr>
          <w:p w14:paraId="4A516C09" w14:textId="77777777"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r>
      <w:tr w:rsidR="00EA59FA" w:rsidRPr="00684853" w14:paraId="4ABE73F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421ABC27" w14:textId="77777777" w:rsidR="00C827A2" w:rsidRPr="00684853" w:rsidRDefault="00C827A2" w:rsidP="00C827A2">
            <w:pPr>
              <w:spacing w:after="0" w:line="240" w:lineRule="auto"/>
              <w:rPr>
                <w:rFonts w:ascii="Times New Roman" w:hAnsi="Times New Roman" w:cs="Times New Roman"/>
                <w:b/>
                <w:color w:val="000000" w:themeColor="text1"/>
                <w:sz w:val="18"/>
                <w:szCs w:val="18"/>
                <w:lang w:val="ro-RO"/>
              </w:rPr>
            </w:pPr>
            <w:r w:rsidRPr="00684853">
              <w:rPr>
                <w:rFonts w:ascii="Times New Roman" w:hAnsi="Times New Roman" w:cs="Times New Roman"/>
                <w:b/>
                <w:color w:val="000000" w:themeColor="text1"/>
                <w:sz w:val="18"/>
                <w:szCs w:val="18"/>
                <w:lang w:val="ro-RO"/>
              </w:rPr>
              <w:t xml:space="preserve">TITLUL I   </w:t>
            </w:r>
          </w:p>
          <w:p w14:paraId="47F92B2F" w14:textId="16B0F624" w:rsidR="00C827A2" w:rsidRPr="00684853" w:rsidRDefault="00C827A2" w:rsidP="00C827A2">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OBIECT, DOMENIU DE APLICARE ȘI DEFINIȚII</w:t>
            </w:r>
          </w:p>
        </w:tc>
        <w:tc>
          <w:tcPr>
            <w:tcW w:w="1636" w:type="pct"/>
          </w:tcPr>
          <w:p w14:paraId="3CFA7AC6" w14:textId="77777777" w:rsidR="00C827A2" w:rsidRPr="00684853" w:rsidRDefault="00C827A2" w:rsidP="00C827A2">
            <w:pPr>
              <w:spacing w:after="0" w:line="240" w:lineRule="auto"/>
              <w:rPr>
                <w:rFonts w:ascii="Times New Roman" w:hAnsi="Times New Roman" w:cs="Times New Roman"/>
                <w:b/>
                <w:color w:val="000000" w:themeColor="text1"/>
                <w:sz w:val="20"/>
                <w:szCs w:val="20"/>
                <w:lang w:val="ro-RO"/>
              </w:rPr>
            </w:pPr>
          </w:p>
        </w:tc>
        <w:tc>
          <w:tcPr>
            <w:tcW w:w="562" w:type="pct"/>
          </w:tcPr>
          <w:p w14:paraId="7044C974" w14:textId="77777777"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c>
          <w:tcPr>
            <w:tcW w:w="885" w:type="pct"/>
          </w:tcPr>
          <w:p w14:paraId="19F16AF1" w14:textId="3304BC56" w:rsidR="00C827A2" w:rsidRPr="00684853" w:rsidRDefault="00C827A2" w:rsidP="00C827A2">
            <w:pPr>
              <w:spacing w:line="276" w:lineRule="auto"/>
              <w:jc w:val="both"/>
              <w:rPr>
                <w:rFonts w:ascii="Times New Roman" w:hAnsi="Times New Roman" w:cs="Times New Roman"/>
                <w:color w:val="000000" w:themeColor="text1"/>
                <w:sz w:val="20"/>
                <w:szCs w:val="20"/>
                <w:lang w:val="ro-RO"/>
              </w:rPr>
            </w:pPr>
          </w:p>
        </w:tc>
      </w:tr>
      <w:tr w:rsidR="00EA59FA" w:rsidRPr="00684853" w14:paraId="1206F21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2BDCA658" w14:textId="77777777" w:rsidR="005D49D5" w:rsidRPr="00684853" w:rsidRDefault="005D49D5" w:rsidP="005246E2">
            <w:pPr>
              <w:spacing w:after="0" w:line="240" w:lineRule="auto"/>
              <w:jc w:val="both"/>
              <w:rPr>
                <w:rFonts w:ascii="Times New Roman" w:eastAsia="Calibri" w:hAnsi="Times New Roman" w:cs="Times New Roman"/>
                <w:iCs/>
                <w:color w:val="000000" w:themeColor="text1"/>
                <w:sz w:val="20"/>
                <w:szCs w:val="20"/>
                <w:lang w:val="ro-RO"/>
              </w:rPr>
            </w:pPr>
          </w:p>
          <w:p w14:paraId="7F25C701" w14:textId="77777777" w:rsidR="005D49D5" w:rsidRPr="00684853" w:rsidRDefault="005D49D5" w:rsidP="005246E2">
            <w:pPr>
              <w:spacing w:after="0" w:line="240" w:lineRule="auto"/>
              <w:jc w:val="both"/>
              <w:rPr>
                <w:rFonts w:ascii="Times New Roman" w:eastAsia="Calibri" w:hAnsi="Times New Roman" w:cs="Times New Roman"/>
                <w:color w:val="000000" w:themeColor="text1"/>
                <w:sz w:val="20"/>
                <w:szCs w:val="20"/>
                <w:lang w:val="ro-RO"/>
              </w:rPr>
            </w:pPr>
          </w:p>
          <w:p w14:paraId="6840BBB5"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▼M8</w:t>
            </w:r>
          </w:p>
          <w:p w14:paraId="166E042B"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3704D130" w14:textId="68FAB7A4" w:rsidR="00CF72C8" w:rsidRPr="00684853" w:rsidRDefault="00CF72C8" w:rsidP="00CF72C8">
            <w:pPr>
              <w:spacing w:after="0" w:line="240" w:lineRule="auto"/>
              <w:jc w:val="both"/>
              <w:rPr>
                <w:rFonts w:ascii="Times New Roman" w:hAnsi="Times New Roman" w:cs="Times New Roman"/>
                <w:b/>
                <w:bCs/>
                <w:color w:val="000000" w:themeColor="text1"/>
                <w:sz w:val="20"/>
                <w:szCs w:val="20"/>
                <w:lang w:val="ro-RO"/>
              </w:rPr>
            </w:pPr>
            <w:r w:rsidRPr="00684853">
              <w:rPr>
                <w:rFonts w:ascii="Times New Roman" w:hAnsi="Times New Roman" w:cs="Times New Roman"/>
                <w:color w:val="000000" w:themeColor="text1"/>
                <w:sz w:val="20"/>
                <w:szCs w:val="20"/>
                <w:lang w:val="ro-RO"/>
              </w:rPr>
              <w:t>Articolul 1</w:t>
            </w:r>
            <w:r w:rsidR="005A7063"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Domeniu de aplicare</w:t>
            </w:r>
          </w:p>
          <w:p w14:paraId="4ED9F295"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1A3C174C"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stabilește reguli uniforme privind cerințele prudențiale generale pe care trebuie să le îndeplinească instituțiile, societățile financiare holding și societățile financiare holding mixte supravegheate în temeiul Directivei 2013/36/UE, în ceea ce privește următoarele elemente:</w:t>
            </w:r>
          </w:p>
          <w:p w14:paraId="0E5677EF"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0FCCA19F" w14:textId="4D3DDE44"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(a) cerințe de fonduri proprii referitoare la elemente în întregime cuantificabile, uniforme și standardizate ale riscului de credit, ale riscului de piață, ale riscului operațional, ale riscului de decontare și ale efectului de levier;</w:t>
            </w:r>
          </w:p>
          <w:p w14:paraId="4F481E13" w14:textId="4070B672"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cerințe de limitare a expunerilor mari;</w:t>
            </w:r>
          </w:p>
          <w:p w14:paraId="1CB69872"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229F187E" w14:textId="7936A54F"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cerințe de lichiditate referitoare la elemente în întregime cuantificabile, uniforme și standardizate ale riscului de lichiditate;</w:t>
            </w:r>
          </w:p>
          <w:p w14:paraId="781DD946" w14:textId="3F13F8DF"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cerințe de raportare referitoare la literele (a), (b) și (c);</w:t>
            </w:r>
          </w:p>
          <w:p w14:paraId="485E6C98" w14:textId="7C3F6B75"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cerințe referitoare la publicarea informațiilor.</w:t>
            </w:r>
          </w:p>
          <w:p w14:paraId="6978F170"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5FD336F1"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stabilește reguli uniforme referitoare la cerințele privind fondurile proprii și pasivele eligibile pe care trebuie să le îndeplinească entitățile de rezoluție care sunt instituții de importanță sistemică globală (G-SII) sau care fac parte din G-SII și filialele semnificative ale G-SII din afara UE.</w:t>
            </w:r>
          </w:p>
          <w:p w14:paraId="44EFB2E9" w14:textId="77777777" w:rsidR="00CF72C8" w:rsidRPr="00684853" w:rsidRDefault="00CF72C8" w:rsidP="00CF72C8">
            <w:pPr>
              <w:spacing w:after="0" w:line="240" w:lineRule="auto"/>
              <w:jc w:val="both"/>
              <w:rPr>
                <w:rFonts w:ascii="Times New Roman" w:hAnsi="Times New Roman" w:cs="Times New Roman"/>
                <w:color w:val="000000" w:themeColor="text1"/>
                <w:sz w:val="20"/>
                <w:szCs w:val="20"/>
                <w:lang w:val="ro-RO"/>
              </w:rPr>
            </w:pPr>
          </w:p>
          <w:p w14:paraId="5708A351" w14:textId="3AAF7C0C" w:rsidR="00395381" w:rsidRPr="00684853" w:rsidRDefault="00CF72C8" w:rsidP="00CF72C8">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nu reglementează cerințele de publicare pentru autoritățile competente în domeniul reglementării și al supravegherii prudențiale a instituțiilor, astfel cum sunt prevăzute în Directiva 2013/36/UE.</w:t>
            </w:r>
          </w:p>
        </w:tc>
        <w:tc>
          <w:tcPr>
            <w:tcW w:w="1636" w:type="pct"/>
          </w:tcPr>
          <w:p w14:paraId="403D0982" w14:textId="554912BF" w:rsidR="00F87533" w:rsidRPr="005C3300" w:rsidRDefault="00F87533" w:rsidP="00F87533">
            <w:pPr>
              <w:spacing w:after="0" w:line="240" w:lineRule="auto"/>
              <w:jc w:val="both"/>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b/>
                <w:bCs/>
                <w:color w:val="000000" w:themeColor="text1"/>
                <w:sz w:val="20"/>
                <w:szCs w:val="20"/>
                <w:lang w:val="ro-RO" w:eastAsia="ro-MD"/>
              </w:rPr>
              <w:lastRenderedPageBreak/>
              <w:t>2</w:t>
            </w:r>
            <w:r w:rsidRPr="005C3300">
              <w:rPr>
                <w:rFonts w:ascii="Times New Roman" w:eastAsia="Times New Roman" w:hAnsi="Times New Roman" w:cs="Times New Roman"/>
                <w:b/>
                <w:bCs/>
                <w:color w:val="000000" w:themeColor="text1"/>
                <w:sz w:val="20"/>
                <w:szCs w:val="20"/>
                <w:lang w:val="ro-RO" w:eastAsia="ro-MD"/>
              </w:rPr>
              <w:t>.</w:t>
            </w:r>
            <w:r w:rsidRPr="005C3300">
              <w:rPr>
                <w:rFonts w:ascii="Times New Roman" w:eastAsia="Times New Roman" w:hAnsi="Times New Roman" w:cs="Times New Roman"/>
                <w:color w:val="000000" w:themeColor="text1"/>
                <w:sz w:val="20"/>
                <w:szCs w:val="20"/>
                <w:lang w:val="ro-RO" w:eastAsia="ro-MD"/>
              </w:rPr>
              <w:t xml:space="preserve"> Prezentul regulament stabilește modul de determinare a efectului tehnicilor de diminuare a riscului de credit asupra calculului valorii ponderate la risc a expunerilor, și anume:</w:t>
            </w:r>
          </w:p>
          <w:p w14:paraId="00A284F1" w14:textId="77777777" w:rsidR="00F87533" w:rsidRPr="005C3300" w:rsidRDefault="00F87533" w:rsidP="00F87533">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1) principii pentru recunoașterea efectului tehnicilor de diminuare a riscului de credit, precum și principii care guvernează eligibilitatea tehnicilor de diminuare a riscului de credit;</w:t>
            </w:r>
          </w:p>
          <w:p w14:paraId="75D2B451" w14:textId="77777777" w:rsidR="00F87533" w:rsidRPr="005C3300" w:rsidRDefault="00F87533" w:rsidP="00F87533">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2) formele de protecție a creditului pe care băncile le pot utiliza pentru a diminua riscul de credit;</w:t>
            </w:r>
          </w:p>
          <w:p w14:paraId="2F5C6C0F" w14:textId="77777777" w:rsidR="00F87533" w:rsidRPr="005C3300" w:rsidRDefault="00F87533" w:rsidP="00F87533">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3) cerințele minime pe care trebuie să le îndeplinească orice formă eligibilă de protecție a creditului pentru ca efectele sale asupra diminuării riscului de credit să fie recunoscute;</w:t>
            </w:r>
          </w:p>
          <w:p w14:paraId="07AA385F" w14:textId="77777777" w:rsidR="00F87533" w:rsidRPr="005C3300" w:rsidRDefault="00F87533" w:rsidP="00F87533">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lastRenderedPageBreak/>
              <w:t>4) calcularea efectelor protecției eligibile a creditului asupra diminuării riscului de credit.</w:t>
            </w:r>
          </w:p>
          <w:p w14:paraId="79D681F1" w14:textId="77777777" w:rsidR="00F87533" w:rsidRDefault="00F87533" w:rsidP="00F87533">
            <w:pPr>
              <w:spacing w:before="120" w:after="0" w:line="240" w:lineRule="auto"/>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p w14:paraId="016E38EA" w14:textId="77777777" w:rsidR="00395381" w:rsidRPr="00F87533" w:rsidRDefault="00395381" w:rsidP="000D1546">
            <w:pPr>
              <w:spacing w:after="0" w:line="240" w:lineRule="auto"/>
              <w:rPr>
                <w:rFonts w:ascii="Times New Roman" w:hAnsi="Times New Roman" w:cs="Times New Roman"/>
                <w:color w:val="000000" w:themeColor="text1"/>
                <w:sz w:val="20"/>
                <w:szCs w:val="20"/>
              </w:rPr>
            </w:pPr>
          </w:p>
        </w:tc>
        <w:tc>
          <w:tcPr>
            <w:tcW w:w="562" w:type="pct"/>
          </w:tcPr>
          <w:p w14:paraId="7C8A1E5A" w14:textId="2AB730F6" w:rsidR="00395381" w:rsidRPr="00684853" w:rsidRDefault="00F87533" w:rsidP="009E0E54">
            <w:pPr>
              <w:spacing w:line="276"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lastRenderedPageBreak/>
              <w:t>C</w:t>
            </w:r>
            <w:r w:rsidR="00395381" w:rsidRPr="00684853">
              <w:rPr>
                <w:rFonts w:ascii="Times New Roman" w:hAnsi="Times New Roman" w:cs="Times New Roman"/>
                <w:color w:val="000000" w:themeColor="text1"/>
                <w:sz w:val="20"/>
                <w:szCs w:val="20"/>
                <w:lang w:val="ro-RO"/>
              </w:rPr>
              <w:t>ompatibil</w:t>
            </w:r>
          </w:p>
        </w:tc>
        <w:tc>
          <w:tcPr>
            <w:tcW w:w="885" w:type="pct"/>
          </w:tcPr>
          <w:p w14:paraId="3149BA69" w14:textId="06367134" w:rsidR="003816DE" w:rsidRPr="00684853" w:rsidRDefault="00F87533" w:rsidP="00CF162F">
            <w:pPr>
              <w:spacing w:after="0" w:line="276"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Regulamentul nr.112/2018</w:t>
            </w:r>
          </w:p>
        </w:tc>
      </w:tr>
      <w:tr w:rsidR="00EA59FA" w:rsidRPr="00684853" w14:paraId="736B4AF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2F81D1B8" w14:textId="77777777" w:rsidR="00395381" w:rsidRPr="00684853" w:rsidRDefault="00395381" w:rsidP="00FA7E43">
            <w:pPr>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0"/>
                <w:szCs w:val="20"/>
                <w:lang w:val="ro-RO"/>
              </w:rPr>
            </w:pPr>
            <w:r w:rsidRPr="00684853">
              <w:rPr>
                <w:rFonts w:ascii="Times New Roman" w:eastAsia="Times New Roman" w:hAnsi="Times New Roman" w:cs="Times New Roman"/>
                <w:i/>
                <w:color w:val="000000" w:themeColor="text1"/>
                <w:sz w:val="20"/>
                <w:szCs w:val="20"/>
                <w:lang w:val="ro-RO" w:eastAsia="ru-RU"/>
              </w:rPr>
              <w:t xml:space="preserve">Articolul 2 </w:t>
            </w:r>
            <w:r w:rsidRPr="00684853">
              <w:rPr>
                <w:rFonts w:ascii="Times New Roman" w:eastAsia="Calibri" w:hAnsi="Times New Roman" w:cs="Times New Roman"/>
                <w:b/>
                <w:bCs/>
                <w:color w:val="000000" w:themeColor="text1"/>
                <w:sz w:val="20"/>
                <w:szCs w:val="20"/>
                <w:lang w:val="ro-RO"/>
              </w:rPr>
              <w:t xml:space="preserve">Competențe de supraveghere </w:t>
            </w:r>
          </w:p>
          <w:p w14:paraId="6EE7E7CA" w14:textId="0F178291" w:rsidR="00395381" w:rsidRPr="00684853" w:rsidRDefault="00395381" w:rsidP="00FA7E43">
            <w:pPr>
              <w:spacing w:after="0" w:line="240" w:lineRule="auto"/>
              <w:jc w:val="both"/>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(1) Pentru asigura</w:t>
            </w:r>
            <w:r w:rsidR="002A3D8B" w:rsidRPr="00684853">
              <w:rPr>
                <w:rFonts w:ascii="Times New Roman" w:eastAsia="Calibri" w:hAnsi="Times New Roman" w:cs="Times New Roman"/>
                <w:color w:val="000000" w:themeColor="text1"/>
                <w:sz w:val="20"/>
                <w:szCs w:val="20"/>
                <w:lang w:val="ro-RO"/>
              </w:rPr>
              <w:t>rea</w:t>
            </w:r>
            <w:r w:rsidRPr="00684853">
              <w:rPr>
                <w:rFonts w:ascii="Times New Roman" w:eastAsia="Calibri" w:hAnsi="Times New Roman" w:cs="Times New Roman"/>
                <w:color w:val="000000" w:themeColor="text1"/>
                <w:sz w:val="20"/>
                <w:szCs w:val="20"/>
                <w:lang w:val="ro-RO"/>
              </w:rPr>
              <w:t xml:space="preserve"> </w:t>
            </w:r>
            <w:r w:rsidR="002A3D8B" w:rsidRPr="00684853">
              <w:rPr>
                <w:rFonts w:ascii="Times New Roman" w:eastAsia="Calibri" w:hAnsi="Times New Roman" w:cs="Times New Roman"/>
                <w:color w:val="000000" w:themeColor="text1"/>
                <w:sz w:val="20"/>
                <w:szCs w:val="20"/>
                <w:lang w:val="ro-RO"/>
              </w:rPr>
              <w:t>respectării</w:t>
            </w:r>
            <w:r w:rsidRPr="00684853">
              <w:rPr>
                <w:rFonts w:ascii="Times New Roman" w:eastAsia="Calibri" w:hAnsi="Times New Roman" w:cs="Times New Roman"/>
                <w:color w:val="000000" w:themeColor="text1"/>
                <w:sz w:val="20"/>
                <w:szCs w:val="20"/>
                <w:lang w:val="ro-RO"/>
              </w:rPr>
              <w:t xml:space="preserve"> prezentul</w:t>
            </w:r>
            <w:r w:rsidR="002A3D8B" w:rsidRPr="00684853">
              <w:rPr>
                <w:rFonts w:ascii="Times New Roman" w:eastAsia="Calibri" w:hAnsi="Times New Roman" w:cs="Times New Roman"/>
                <w:color w:val="000000" w:themeColor="text1"/>
                <w:sz w:val="20"/>
                <w:szCs w:val="20"/>
                <w:lang w:val="ro-RO"/>
              </w:rPr>
              <w:t>ui</w:t>
            </w:r>
            <w:r w:rsidRPr="00684853">
              <w:rPr>
                <w:rFonts w:ascii="Times New Roman" w:eastAsia="Calibri" w:hAnsi="Times New Roman" w:cs="Times New Roman"/>
                <w:color w:val="000000" w:themeColor="text1"/>
                <w:sz w:val="20"/>
                <w:szCs w:val="20"/>
                <w:lang w:val="ro-RO"/>
              </w:rPr>
              <w:t xml:space="preserve"> regulament, autoritățile competente dețin competențele și urmează procedurile prevăzute </w:t>
            </w:r>
            <w:r w:rsidR="002A3D8B" w:rsidRPr="00684853">
              <w:rPr>
                <w:rFonts w:ascii="Times New Roman" w:eastAsia="Calibri" w:hAnsi="Times New Roman" w:cs="Times New Roman"/>
                <w:color w:val="000000" w:themeColor="text1"/>
                <w:sz w:val="20"/>
                <w:szCs w:val="20"/>
                <w:lang w:val="ro-RO"/>
              </w:rPr>
              <w:t>în</w:t>
            </w:r>
            <w:r w:rsidRPr="00684853">
              <w:rPr>
                <w:rFonts w:ascii="Times New Roman" w:eastAsia="Calibri" w:hAnsi="Times New Roman" w:cs="Times New Roman"/>
                <w:color w:val="000000" w:themeColor="text1"/>
                <w:sz w:val="20"/>
                <w:szCs w:val="20"/>
                <w:lang w:val="ro-RO"/>
              </w:rPr>
              <w:t xml:space="preserve"> Directiva 2013/36/UE</w:t>
            </w:r>
            <w:r w:rsidR="002A3D8B" w:rsidRPr="00684853">
              <w:rPr>
                <w:color w:val="000000" w:themeColor="text1"/>
                <w:lang w:val="ro-RO"/>
              </w:rPr>
              <w:t xml:space="preserve"> </w:t>
            </w:r>
            <w:r w:rsidR="002A3D8B" w:rsidRPr="00684853">
              <w:rPr>
                <w:rFonts w:ascii="Times New Roman" w:eastAsia="Calibri" w:hAnsi="Times New Roman" w:cs="Times New Roman"/>
                <w:color w:val="000000" w:themeColor="text1"/>
                <w:sz w:val="20"/>
                <w:szCs w:val="20"/>
                <w:lang w:val="ro-RO"/>
              </w:rPr>
              <w:t>și în prezentul regulament</w:t>
            </w:r>
            <w:r w:rsidRPr="00684853">
              <w:rPr>
                <w:rFonts w:ascii="Times New Roman" w:eastAsia="Calibri" w:hAnsi="Times New Roman" w:cs="Times New Roman"/>
                <w:color w:val="000000" w:themeColor="text1"/>
                <w:sz w:val="20"/>
                <w:szCs w:val="20"/>
                <w:lang w:val="ro-RO"/>
              </w:rPr>
              <w:t>.</w:t>
            </w:r>
          </w:p>
          <w:p w14:paraId="683D780C" w14:textId="7F25A530" w:rsidR="00395381" w:rsidRPr="00684853" w:rsidRDefault="00395381" w:rsidP="00185DED">
            <w:pPr>
              <w:shd w:val="clear" w:color="auto" w:fill="FFFFFF"/>
              <w:jc w:val="both"/>
              <w:rPr>
                <w:rFonts w:ascii="Times New Roman" w:eastAsia="Arial Unicode MS"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 xml:space="preserve">(2) </w:t>
            </w:r>
            <w:r w:rsidRPr="00684853">
              <w:rPr>
                <w:rFonts w:ascii="Times New Roman" w:eastAsia="Arial Unicode MS" w:hAnsi="Times New Roman" w:cs="Times New Roman"/>
                <w:color w:val="000000" w:themeColor="text1"/>
                <w:sz w:val="20"/>
                <w:szCs w:val="20"/>
                <w:lang w:val="ro-RO"/>
              </w:rPr>
              <w:t xml:space="preserve">Pentru asigurarea respectării prezentului regulament, autoritățile de rezoluție dețin competențele și urmează procedurile prevăzute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Directiva 2014/59/UE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1" w:anchor="E0001"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1</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și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prezentul regulament.</w:t>
            </w:r>
          </w:p>
          <w:p w14:paraId="22573B44" w14:textId="0D4B033B" w:rsidR="00395381" w:rsidRPr="00684853" w:rsidRDefault="00395381" w:rsidP="00185DED">
            <w:pPr>
              <w:shd w:val="clear" w:color="auto" w:fill="FFFFFF"/>
              <w:jc w:val="both"/>
              <w:rPr>
                <w:rFonts w:ascii="Times New Roman"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(3)  </w:t>
            </w:r>
            <w:r w:rsidRPr="00684853">
              <w:rPr>
                <w:rFonts w:ascii="Times New Roman" w:eastAsia="Arial Unicode MS" w:hAnsi="Times New Roman" w:cs="Times New Roman"/>
                <w:color w:val="000000" w:themeColor="text1"/>
                <w:sz w:val="20"/>
                <w:szCs w:val="20"/>
                <w:lang w:val="ro-RO"/>
              </w:rPr>
              <w:t xml:space="preserve"> Pentru asigurarea respectării cerințelor privind fondurile proprii și pasivele eligibile, autoritățile competente și autoritățile de rezoluție cooperează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 ele.</w:t>
            </w:r>
          </w:p>
        </w:tc>
        <w:tc>
          <w:tcPr>
            <w:tcW w:w="1636" w:type="pct"/>
          </w:tcPr>
          <w:p w14:paraId="078954C2" w14:textId="77777777" w:rsidR="00395381" w:rsidRPr="00684853" w:rsidRDefault="00395381" w:rsidP="000D1546">
            <w:pPr>
              <w:spacing w:after="0" w:line="240" w:lineRule="auto"/>
              <w:rPr>
                <w:rFonts w:ascii="Times New Roman" w:hAnsi="Times New Roman" w:cs="Times New Roman"/>
                <w:color w:val="000000" w:themeColor="text1"/>
                <w:sz w:val="20"/>
                <w:szCs w:val="20"/>
                <w:lang w:val="ro-RO"/>
              </w:rPr>
            </w:pPr>
          </w:p>
        </w:tc>
        <w:tc>
          <w:tcPr>
            <w:tcW w:w="562" w:type="pct"/>
          </w:tcPr>
          <w:p w14:paraId="3A853AAB" w14:textId="77777777" w:rsidR="00395381" w:rsidRPr="00684853" w:rsidRDefault="00395381"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242881B2" w14:textId="45ADEDF6" w:rsidR="00395381" w:rsidRPr="00684853" w:rsidRDefault="00395381" w:rsidP="0017164A">
            <w:pPr>
              <w:spacing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Legea nr.202</w:t>
            </w:r>
            <w:r w:rsidR="00FA7E43" w:rsidRPr="00684853">
              <w:rPr>
                <w:rFonts w:ascii="Times New Roman" w:hAnsi="Times New Roman" w:cs="Times New Roman"/>
                <w:b/>
                <w:color w:val="000000" w:themeColor="text1"/>
                <w:sz w:val="20"/>
                <w:szCs w:val="20"/>
                <w:lang w:val="ro-RO"/>
              </w:rPr>
              <w:t>/</w:t>
            </w:r>
            <w:r w:rsidRPr="00684853">
              <w:rPr>
                <w:rFonts w:ascii="Times New Roman" w:hAnsi="Times New Roman" w:cs="Times New Roman"/>
                <w:b/>
                <w:color w:val="000000" w:themeColor="text1"/>
                <w:sz w:val="20"/>
                <w:szCs w:val="20"/>
                <w:lang w:val="ro-RO"/>
              </w:rPr>
              <w:t>2017 privind activitatea băncilor.</w:t>
            </w:r>
          </w:p>
          <w:p w14:paraId="4A93F730" w14:textId="77777777" w:rsidR="00FA7E43" w:rsidRPr="00684853" w:rsidRDefault="00FA7E43" w:rsidP="0017164A">
            <w:pPr>
              <w:spacing w:line="276" w:lineRule="auto"/>
              <w:jc w:val="both"/>
              <w:rPr>
                <w:rFonts w:ascii="Times New Roman" w:hAnsi="Times New Roman" w:cs="Times New Roman"/>
                <w:b/>
                <w:color w:val="000000" w:themeColor="text1"/>
                <w:sz w:val="20"/>
                <w:szCs w:val="20"/>
                <w:lang w:val="ro-RO"/>
              </w:rPr>
            </w:pPr>
          </w:p>
          <w:p w14:paraId="330A6E4C" w14:textId="4A9F67A9" w:rsidR="00FA7E43" w:rsidRPr="00684853" w:rsidRDefault="00FA7E43" w:rsidP="0017164A">
            <w:pPr>
              <w:spacing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Legea nr.232/2016 privind redresarea </w:t>
            </w:r>
            <w:proofErr w:type="spellStart"/>
            <w:r w:rsidRPr="00684853">
              <w:rPr>
                <w:rFonts w:ascii="Times New Roman" w:hAnsi="Times New Roman" w:cs="Times New Roman"/>
                <w:b/>
                <w:color w:val="000000" w:themeColor="text1"/>
                <w:sz w:val="20"/>
                <w:szCs w:val="20"/>
                <w:lang w:val="ro-RO"/>
              </w:rPr>
              <w:t>şi</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rezoluţia</w:t>
            </w:r>
            <w:proofErr w:type="spellEnd"/>
            <w:r w:rsidRPr="00684853">
              <w:rPr>
                <w:rFonts w:ascii="Times New Roman" w:hAnsi="Times New Roman" w:cs="Times New Roman"/>
                <w:b/>
                <w:color w:val="000000" w:themeColor="text1"/>
                <w:sz w:val="20"/>
                <w:szCs w:val="20"/>
                <w:lang w:val="ro-RO"/>
              </w:rPr>
              <w:t xml:space="preserve"> băncilor.</w:t>
            </w:r>
          </w:p>
          <w:p w14:paraId="41045FC2" w14:textId="77777777" w:rsidR="00395381" w:rsidRPr="00684853" w:rsidRDefault="00395381" w:rsidP="009E0E54">
            <w:pPr>
              <w:spacing w:line="276" w:lineRule="auto"/>
              <w:jc w:val="both"/>
              <w:rPr>
                <w:rFonts w:ascii="Times New Roman" w:hAnsi="Times New Roman" w:cs="Times New Roman"/>
                <w:color w:val="000000" w:themeColor="text1"/>
                <w:sz w:val="20"/>
                <w:szCs w:val="20"/>
                <w:lang w:val="ro-RO"/>
              </w:rPr>
            </w:pPr>
          </w:p>
        </w:tc>
      </w:tr>
      <w:tr w:rsidR="00EA59FA" w:rsidRPr="00684853" w14:paraId="714D5F3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181D4E11" w14:textId="77777777" w:rsidR="002A3D8B" w:rsidRPr="00684853" w:rsidRDefault="002A3D8B" w:rsidP="002A3D8B">
            <w:pPr>
              <w:shd w:val="clear" w:color="auto" w:fill="FFFFFF"/>
              <w:rPr>
                <w:rFonts w:ascii="Times New Roman" w:eastAsia="Arial Unicode MS"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lastRenderedPageBreak/>
              <w:t>(4)  </w:t>
            </w:r>
            <w:r w:rsidRPr="00684853">
              <w:rPr>
                <w:rFonts w:ascii="Times New Roman" w:eastAsia="Arial Unicode MS" w:hAnsi="Times New Roman" w:cs="Times New Roman"/>
                <w:color w:val="000000" w:themeColor="text1"/>
                <w:sz w:val="20"/>
                <w:szCs w:val="20"/>
                <w:lang w:val="ro-RO"/>
              </w:rPr>
              <w:t> Pentru a asigura conformitatea în cadrul competențelor lor respective, Comitetul Unic de Rezoluție, instituit prin articolul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42 din Regulamentul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(UE) nr.</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806/2014 al Parlamentului European și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2" w:anchor="E0002"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2</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și Banca Centrală Europeană,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ceea ce privește aspectele legate de atribuțiile care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i sunt conferite prin Regulamentul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(UE) nr.</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1024/2013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3" w:anchor="E0003"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3</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asigură schimbul regulat și fiabil de informații relevante.</w:t>
            </w:r>
          </w:p>
          <w:p w14:paraId="3748AC6E" w14:textId="77777777" w:rsidR="002A3D8B" w:rsidRPr="00684853" w:rsidRDefault="002A3D8B" w:rsidP="002A3D8B">
            <w:pPr>
              <w:pStyle w:val="modref"/>
              <w:shd w:val="clear" w:color="auto" w:fill="FFFFFF"/>
              <w:spacing w:before="120" w:beforeAutospacing="0" w:after="0" w:afterAutospacing="0" w:line="312" w:lineRule="atLeast"/>
              <w:rPr>
                <w:rFonts w:eastAsia="Arial Unicode MS"/>
                <w:b/>
                <w:bCs/>
                <w:color w:val="000000" w:themeColor="text1"/>
                <w:sz w:val="20"/>
                <w:szCs w:val="20"/>
                <w:lang w:val="ro-RO"/>
              </w:rPr>
            </w:pPr>
            <w:hyperlink r:id="rId14" w:tooltip="32019R2033: INSERTED" w:history="1">
              <w:r w:rsidRPr="00684853">
                <w:rPr>
                  <w:rStyle w:val="Hyperlink"/>
                  <w:rFonts w:eastAsia="Arial Unicode MS"/>
                  <w:b/>
                  <w:bCs/>
                  <w:color w:val="000000" w:themeColor="text1"/>
                  <w:sz w:val="20"/>
                  <w:szCs w:val="20"/>
                  <w:lang w:val="ro-RO"/>
                </w:rPr>
                <w:t>▼M9</w:t>
              </w:r>
            </w:hyperlink>
          </w:p>
          <w:p w14:paraId="5BC2E2AE" w14:textId="0AFD0A9D" w:rsidR="002A3D8B" w:rsidRPr="00684853" w:rsidRDefault="002A3D8B" w:rsidP="002A3D8B">
            <w:pPr>
              <w:shd w:val="clear" w:color="auto" w:fill="FFFFFF"/>
              <w:rPr>
                <w:rFonts w:ascii="Times New Roman" w:eastAsia="Times New Roman" w:hAnsi="Times New Roman" w:cs="Times New Roman"/>
                <w:i/>
                <w:color w:val="000000" w:themeColor="text1"/>
                <w:sz w:val="20"/>
                <w:szCs w:val="20"/>
                <w:lang w:val="ro-RO" w:eastAsia="ru-RU"/>
              </w:rPr>
            </w:pPr>
            <w:r w:rsidRPr="00684853">
              <w:rPr>
                <w:rStyle w:val="no-parag"/>
                <w:rFonts w:ascii="Times New Roman" w:eastAsia="Arial Unicode MS" w:hAnsi="Times New Roman" w:cs="Times New Roman"/>
                <w:color w:val="000000" w:themeColor="text1"/>
                <w:sz w:val="20"/>
                <w:szCs w:val="20"/>
                <w:lang w:val="ro-RO"/>
              </w:rPr>
              <w:t>(5)  </w:t>
            </w:r>
            <w:r w:rsidRPr="00684853">
              <w:rPr>
                <w:rFonts w:ascii="Times New Roman" w:eastAsia="Arial Unicode MS" w:hAnsi="Times New Roman" w:cs="Times New Roman"/>
                <w:color w:val="000000" w:themeColor="text1"/>
                <w:sz w:val="20"/>
                <w:szCs w:val="20"/>
                <w:lang w:val="ro-RO"/>
              </w:rPr>
              <w:t> La aplicarea dispozițiilor prevăzute la articolul 1 alineatele (2) și (5) din Regulamentul (UE) 2019/2033 al Parlamentului European și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5" w:anchor="E0004"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4</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cu privire la firmele de investiții menționate la respectivele alineate, autoritățile competente, astfel cum sunt definite la articolul 3 alineatul (1) punctul 5 din Directiva (UE) 2019/2034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6" w:anchor="E0005"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5</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tratează firmele de investiții respective ca și c</w:t>
            </w:r>
            <w:r w:rsidRPr="00684853">
              <w:rPr>
                <w:rFonts w:ascii="Times New Roman" w:eastAsia="Malgun Gothic Semilight" w:hAnsi="Times New Roman" w:cs="Times New Roman"/>
                <w:color w:val="000000" w:themeColor="text1"/>
                <w:sz w:val="20"/>
                <w:szCs w:val="20"/>
                <w:lang w:val="ro-RO"/>
              </w:rPr>
              <w:t>â</w:t>
            </w:r>
            <w:r w:rsidRPr="00684853">
              <w:rPr>
                <w:rFonts w:ascii="Times New Roman" w:eastAsia="Arial Unicode MS" w:hAnsi="Times New Roman" w:cs="Times New Roman"/>
                <w:color w:val="000000" w:themeColor="text1"/>
                <w:sz w:val="20"/>
                <w:szCs w:val="20"/>
                <w:lang w:val="ro-RO"/>
              </w:rPr>
              <w:t>nd acestea ar fi „instituții” în sensul prezentului regulament.</w:t>
            </w:r>
          </w:p>
        </w:tc>
        <w:tc>
          <w:tcPr>
            <w:tcW w:w="1636" w:type="pct"/>
          </w:tcPr>
          <w:p w14:paraId="5E7F21CC" w14:textId="77777777" w:rsidR="002A3D8B" w:rsidRPr="00684853" w:rsidRDefault="002A3D8B" w:rsidP="000D1546">
            <w:pPr>
              <w:spacing w:after="0" w:line="240" w:lineRule="auto"/>
              <w:rPr>
                <w:rFonts w:ascii="Times New Roman" w:hAnsi="Times New Roman" w:cs="Times New Roman"/>
                <w:color w:val="000000" w:themeColor="text1"/>
                <w:sz w:val="20"/>
                <w:szCs w:val="20"/>
                <w:lang w:val="ro-RO"/>
              </w:rPr>
            </w:pPr>
          </w:p>
        </w:tc>
        <w:tc>
          <w:tcPr>
            <w:tcW w:w="562" w:type="pct"/>
          </w:tcPr>
          <w:p w14:paraId="4E40813A" w14:textId="35B206DA" w:rsidR="002A3D8B" w:rsidRPr="00684853" w:rsidRDefault="002A3D8B"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885" w:type="pct"/>
          </w:tcPr>
          <w:p w14:paraId="1BAA5A0D" w14:textId="77777777" w:rsidR="002A3D8B" w:rsidRPr="00684853" w:rsidRDefault="002A3D8B" w:rsidP="0017164A">
            <w:pPr>
              <w:spacing w:line="276" w:lineRule="auto"/>
              <w:jc w:val="both"/>
              <w:rPr>
                <w:rFonts w:ascii="Times New Roman" w:hAnsi="Times New Roman" w:cs="Times New Roman"/>
                <w:color w:val="000000" w:themeColor="text1"/>
                <w:sz w:val="20"/>
                <w:szCs w:val="20"/>
                <w:lang w:val="ro-RO"/>
              </w:rPr>
            </w:pPr>
          </w:p>
        </w:tc>
      </w:tr>
      <w:tr w:rsidR="00EA59FA" w:rsidRPr="00684853" w14:paraId="71AD670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76286190" w14:textId="77777777" w:rsidR="00395381" w:rsidRPr="00684853" w:rsidRDefault="00395381" w:rsidP="0017164A">
            <w:pPr>
              <w:autoSpaceDE w:val="0"/>
              <w:autoSpaceDN w:val="0"/>
              <w:adjustRightInd w:val="0"/>
              <w:spacing w:after="120" w:line="240" w:lineRule="auto"/>
              <w:jc w:val="both"/>
              <w:rPr>
                <w:rFonts w:ascii="Times New Roman" w:eastAsia="Times New Roman" w:hAnsi="Times New Roman" w:cs="Times New Roman"/>
                <w:b/>
                <w:color w:val="000000" w:themeColor="text1"/>
                <w:sz w:val="20"/>
                <w:szCs w:val="20"/>
                <w:lang w:val="ro-RO"/>
              </w:rPr>
            </w:pPr>
            <w:r w:rsidRPr="00684853">
              <w:rPr>
                <w:rFonts w:ascii="Times New Roman" w:eastAsia="Times New Roman" w:hAnsi="Times New Roman" w:cs="Times New Roman"/>
                <w:i/>
                <w:color w:val="000000" w:themeColor="text1"/>
                <w:sz w:val="20"/>
                <w:szCs w:val="20"/>
                <w:lang w:val="ro-RO"/>
              </w:rPr>
              <w:t>Articolul 3</w:t>
            </w:r>
            <w:r w:rsidRPr="00684853">
              <w:rPr>
                <w:rFonts w:ascii="Times New Roman" w:eastAsia="Times New Roman" w:hAnsi="Times New Roman" w:cs="Times New Roman"/>
                <w:b/>
                <w:color w:val="000000" w:themeColor="text1"/>
                <w:sz w:val="20"/>
                <w:szCs w:val="20"/>
                <w:lang w:val="ro-RO"/>
              </w:rPr>
              <w:t xml:space="preserve"> Aplicarea unor cerințe mai stricte de către instituții</w:t>
            </w:r>
          </w:p>
          <w:p w14:paraId="0633BE30" w14:textId="77777777" w:rsidR="00395381" w:rsidRPr="00684853" w:rsidRDefault="00395381" w:rsidP="0017164A">
            <w:pPr>
              <w:spacing w:after="0" w:line="240" w:lineRule="auto"/>
              <w:rPr>
                <w:rFonts w:ascii="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eastAsia="ru-RU"/>
              </w:rPr>
              <w:t>Prezentul regulament nu împiedică instituțiile să dețină fonduri proprii și componente ale acestora care depășesc cerințele prezentului regulament, sau să aplice măsuri mai stricte decât cele prevăzute de prezentul regulament.</w:t>
            </w:r>
          </w:p>
        </w:tc>
        <w:tc>
          <w:tcPr>
            <w:tcW w:w="1636" w:type="pct"/>
          </w:tcPr>
          <w:p w14:paraId="0A13E812" w14:textId="4F11F70E" w:rsidR="00395381" w:rsidRPr="00684853" w:rsidRDefault="003379DF" w:rsidP="000D1546">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Prezentul regulament nu împiedică băncile să </w:t>
            </w:r>
            <w:proofErr w:type="spellStart"/>
            <w:r w:rsidRPr="00684853">
              <w:rPr>
                <w:rFonts w:ascii="Times New Roman" w:hAnsi="Times New Roman" w:cs="Times New Roman"/>
                <w:color w:val="000000" w:themeColor="text1"/>
                <w:sz w:val="20"/>
                <w:szCs w:val="20"/>
                <w:lang w:val="ro-RO"/>
              </w:rPr>
              <w:t>deţină</w:t>
            </w:r>
            <w:proofErr w:type="spellEnd"/>
            <w:r w:rsidRPr="00684853">
              <w:rPr>
                <w:rFonts w:ascii="Times New Roman" w:hAnsi="Times New Roman" w:cs="Times New Roman"/>
                <w:color w:val="000000" w:themeColor="text1"/>
                <w:sz w:val="20"/>
                <w:szCs w:val="20"/>
                <w:lang w:val="ro-RO"/>
              </w:rPr>
              <w:t xml:space="preserve"> fonduri proprii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componente ale acestora care </w:t>
            </w:r>
            <w:proofErr w:type="spellStart"/>
            <w:r w:rsidRPr="00684853">
              <w:rPr>
                <w:rFonts w:ascii="Times New Roman" w:hAnsi="Times New Roman" w:cs="Times New Roman"/>
                <w:color w:val="000000" w:themeColor="text1"/>
                <w:sz w:val="20"/>
                <w:szCs w:val="20"/>
                <w:lang w:val="ro-RO"/>
              </w:rPr>
              <w:t>depăşesc</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cerinţele</w:t>
            </w:r>
            <w:proofErr w:type="spellEnd"/>
            <w:r w:rsidRPr="00684853">
              <w:rPr>
                <w:rFonts w:ascii="Times New Roman" w:hAnsi="Times New Roman" w:cs="Times New Roman"/>
                <w:color w:val="000000" w:themeColor="text1"/>
                <w:sz w:val="20"/>
                <w:szCs w:val="20"/>
                <w:lang w:val="ro-RO"/>
              </w:rPr>
              <w:t xml:space="preserve"> prezentului regulament, sau să aplice măsuri mai stricte decât cele prevăzute de prezentul regulament.</w:t>
            </w:r>
          </w:p>
        </w:tc>
        <w:tc>
          <w:tcPr>
            <w:tcW w:w="562" w:type="pct"/>
          </w:tcPr>
          <w:p w14:paraId="38BAA998" w14:textId="77777777" w:rsidR="00395381" w:rsidRPr="00684853" w:rsidRDefault="00395381" w:rsidP="009E0E54">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885" w:type="pct"/>
          </w:tcPr>
          <w:p w14:paraId="31A1BA77" w14:textId="05259BDB" w:rsidR="00395381" w:rsidRPr="00684853" w:rsidRDefault="00395381" w:rsidP="00A53416">
            <w:pPr>
              <w:pStyle w:val="NormalWeb"/>
              <w:ind w:firstLine="0"/>
              <w:jc w:val="left"/>
              <w:rPr>
                <w:color w:val="000000" w:themeColor="text1"/>
                <w:sz w:val="20"/>
                <w:szCs w:val="20"/>
                <w:lang w:val="ro-RO"/>
              </w:rPr>
            </w:pPr>
            <w:r w:rsidRPr="00684853">
              <w:rPr>
                <w:color w:val="000000" w:themeColor="text1"/>
                <w:sz w:val="20"/>
                <w:szCs w:val="20"/>
                <w:lang w:val="ro-RO"/>
              </w:rPr>
              <w:t xml:space="preserve">Transpusă în </w:t>
            </w:r>
            <w:r w:rsidRPr="00684853">
              <w:rPr>
                <w:bCs/>
                <w:color w:val="000000" w:themeColor="text1"/>
                <w:sz w:val="20"/>
                <w:szCs w:val="20"/>
                <w:lang w:val="ro-RO"/>
              </w:rPr>
              <w:t>Regulamentul nr.109/2018 cu privire la fondurile proprii și cerințele de capital.</w:t>
            </w:r>
          </w:p>
        </w:tc>
      </w:tr>
      <w:tr w:rsidR="00EA59FA" w:rsidRPr="00684853" w14:paraId="58F6C54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03988403" w14:textId="4184E082" w:rsidR="00395381" w:rsidRPr="00684853" w:rsidRDefault="00395381" w:rsidP="00533F82">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i/>
                <w:color w:val="000000" w:themeColor="text1"/>
                <w:sz w:val="20"/>
                <w:szCs w:val="20"/>
                <w:lang w:val="ro-RO"/>
              </w:rPr>
              <w:t>Articolul 4</w:t>
            </w:r>
            <w:r w:rsidRPr="00684853">
              <w:rPr>
                <w:rFonts w:ascii="Times New Roman" w:hAnsi="Times New Roman" w:cs="Times New Roman"/>
                <w:b/>
                <w:color w:val="000000" w:themeColor="text1"/>
                <w:sz w:val="20"/>
                <w:szCs w:val="20"/>
                <w:lang w:val="ro-RO"/>
              </w:rPr>
              <w:t xml:space="preserve"> Definiții</w:t>
            </w:r>
          </w:p>
          <w:p w14:paraId="0D0D24AF" w14:textId="77777777" w:rsidR="00395381" w:rsidRPr="00684853" w:rsidRDefault="00395381" w:rsidP="0017164A">
            <w:pPr>
              <w:autoSpaceDE w:val="0"/>
              <w:autoSpaceDN w:val="0"/>
              <w:adjustRightInd w:val="0"/>
              <w:spacing w:after="120" w:line="240" w:lineRule="auto"/>
              <w:jc w:val="both"/>
              <w:rPr>
                <w:rFonts w:ascii="Times New Roman" w:eastAsia="Times New Roman" w:hAnsi="Times New Roman" w:cs="Times New Roman"/>
                <w:i/>
                <w:color w:val="000000" w:themeColor="text1"/>
                <w:sz w:val="20"/>
                <w:szCs w:val="20"/>
                <w:lang w:val="ro-RO"/>
              </w:rPr>
            </w:pPr>
            <w:r w:rsidRPr="00684853">
              <w:rPr>
                <w:rFonts w:ascii="Times New Roman" w:hAnsi="Times New Roman" w:cs="Times New Roman"/>
                <w:color w:val="000000" w:themeColor="text1"/>
                <w:sz w:val="20"/>
                <w:szCs w:val="20"/>
                <w:lang w:val="ro-RO"/>
              </w:rPr>
              <w:t>(1) În sensul prezentului regulament, se aplică următoarele definiții:</w:t>
            </w:r>
          </w:p>
        </w:tc>
        <w:tc>
          <w:tcPr>
            <w:tcW w:w="1636" w:type="pct"/>
          </w:tcPr>
          <w:p w14:paraId="4C450CE3" w14:textId="77777777" w:rsidR="00395381" w:rsidRPr="00684853" w:rsidRDefault="00395381" w:rsidP="000D1546">
            <w:pPr>
              <w:spacing w:after="0" w:line="240" w:lineRule="auto"/>
              <w:rPr>
                <w:rFonts w:ascii="Times New Roman" w:hAnsi="Times New Roman" w:cs="Times New Roman"/>
                <w:color w:val="000000" w:themeColor="text1"/>
                <w:sz w:val="20"/>
                <w:szCs w:val="20"/>
                <w:lang w:val="ro-RO"/>
              </w:rPr>
            </w:pPr>
          </w:p>
        </w:tc>
        <w:tc>
          <w:tcPr>
            <w:tcW w:w="562" w:type="pct"/>
          </w:tcPr>
          <w:p w14:paraId="100C4CF7" w14:textId="77777777" w:rsidR="00395381" w:rsidRPr="00684853" w:rsidRDefault="00395381" w:rsidP="0017164A">
            <w:pPr>
              <w:spacing w:after="0" w:line="240" w:lineRule="auto"/>
              <w:jc w:val="both"/>
              <w:rPr>
                <w:rFonts w:ascii="Times New Roman" w:eastAsia="Times New Roman" w:hAnsi="Times New Roman" w:cs="Times New Roman"/>
                <w:color w:val="000000" w:themeColor="text1"/>
                <w:sz w:val="20"/>
                <w:szCs w:val="20"/>
                <w:lang w:val="ro-RO" w:eastAsia="ru-RU"/>
              </w:rPr>
            </w:pPr>
          </w:p>
        </w:tc>
        <w:tc>
          <w:tcPr>
            <w:tcW w:w="885" w:type="pct"/>
          </w:tcPr>
          <w:p w14:paraId="42F153CE" w14:textId="2DE0FF3D" w:rsidR="00395381" w:rsidRPr="00684853" w:rsidRDefault="00395381" w:rsidP="0017164A">
            <w:pPr>
              <w:pStyle w:val="NormalWeb"/>
              <w:ind w:firstLine="0"/>
              <w:jc w:val="left"/>
              <w:rPr>
                <w:color w:val="000000" w:themeColor="text1"/>
                <w:sz w:val="20"/>
                <w:szCs w:val="20"/>
                <w:highlight w:val="yellow"/>
                <w:lang w:val="ro-RO"/>
              </w:rPr>
            </w:pPr>
          </w:p>
        </w:tc>
      </w:tr>
      <w:tr w:rsidR="00EA59FA" w:rsidRPr="00684853" w14:paraId="601C038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7FF90803" w14:textId="0FB54BC9" w:rsidR="00395381" w:rsidRPr="00684853" w:rsidRDefault="00395381" w:rsidP="002327B0">
            <w:pPr>
              <w:spacing w:after="0" w:line="276"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 xml:space="preserve">1. </w:t>
            </w:r>
            <w:r w:rsidRPr="00684853">
              <w:rPr>
                <w:rFonts w:ascii="Times New Roman" w:eastAsia="Arial Unicode MS" w:hAnsi="Times New Roman" w:cs="Times New Roman"/>
                <w:color w:val="000000" w:themeColor="text1"/>
                <w:sz w:val="20"/>
                <w:szCs w:val="20"/>
                <w:lang w:val="ro-RO"/>
              </w:rPr>
              <w:t>„instituție de credit” înseamnă o întreprindere a cărei activitate constă în oricare dintre următoarele:</w:t>
            </w:r>
          </w:p>
          <w:p w14:paraId="0DFA4AEC" w14:textId="479E2F33" w:rsidR="00395381" w:rsidRPr="00684853" w:rsidRDefault="00395381" w:rsidP="005023ED">
            <w:pPr>
              <w:spacing w:after="0" w:line="276"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atragerea de depozite sau de alte fonduri rambursabile de la public și în acordarea de credite în cont propriu;</w:t>
            </w:r>
          </w:p>
        </w:tc>
        <w:tc>
          <w:tcPr>
            <w:tcW w:w="1636" w:type="pct"/>
          </w:tcPr>
          <w:p w14:paraId="56190052" w14:textId="67556C15" w:rsidR="00395381" w:rsidRPr="00684853" w:rsidRDefault="00E43272" w:rsidP="002327B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bancă – persoană juridică a cărei activitate constă în atragerea de depozite sau de alte fonduri rambursabile de la public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în acordarea de credite în cont propriu;</w:t>
            </w:r>
          </w:p>
        </w:tc>
        <w:tc>
          <w:tcPr>
            <w:tcW w:w="562" w:type="pct"/>
          </w:tcPr>
          <w:p w14:paraId="182E39A9"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066C323" w14:textId="77777777" w:rsidR="00395381" w:rsidRPr="00684853" w:rsidRDefault="00395381" w:rsidP="002327B0">
            <w:pPr>
              <w:jc w:val="both"/>
              <w:rPr>
                <w:rFonts w:ascii="Times New Roman" w:hAnsi="Times New Roman" w:cs="Times New Roman"/>
                <w:color w:val="000000" w:themeColor="text1"/>
                <w:sz w:val="20"/>
                <w:szCs w:val="20"/>
                <w:lang w:val="ro-RO"/>
              </w:rPr>
            </w:pPr>
          </w:p>
        </w:tc>
        <w:tc>
          <w:tcPr>
            <w:tcW w:w="885" w:type="pct"/>
          </w:tcPr>
          <w:p w14:paraId="4158FF24" w14:textId="15EBEE3B"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Cs/>
                <w:color w:val="000000" w:themeColor="text1"/>
                <w:sz w:val="20"/>
                <w:szCs w:val="20"/>
                <w:lang w:val="ro-RO"/>
              </w:rPr>
              <w:t>Legea nr.202/2017 privind activitatea băncilor</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prin noțiunea de „bancă”.</w:t>
            </w:r>
          </w:p>
        </w:tc>
      </w:tr>
      <w:tr w:rsidR="00EA59FA" w:rsidRPr="00684853" w14:paraId="2782E55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21D1328B" w14:textId="77777777" w:rsidR="00744979" w:rsidRPr="00684853" w:rsidRDefault="00744979"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M17</w:t>
            </w:r>
          </w:p>
          <w:p w14:paraId="1F2128D6" w14:textId="6B470C3C" w:rsidR="005023ED" w:rsidRPr="00684853" w:rsidRDefault="005023ED"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(b) desfășurarea oricăreia dintre activitățile menționate </w:t>
            </w:r>
            <w:r w:rsidR="00744979" w:rsidRPr="00684853">
              <w:rPr>
                <w:rFonts w:ascii="Times New Roman" w:eastAsia="Arial Unicode MS" w:hAnsi="Times New Roman" w:cs="Times New Roman"/>
                <w:color w:val="000000" w:themeColor="text1"/>
                <w:sz w:val="20"/>
                <w:szCs w:val="20"/>
                <w:lang w:val="ro-RO"/>
              </w:rPr>
              <w:t xml:space="preserve">în secțiunea A </w:t>
            </w:r>
            <w:r w:rsidRPr="00684853">
              <w:rPr>
                <w:rFonts w:ascii="Times New Roman" w:eastAsia="Arial Unicode MS" w:hAnsi="Times New Roman" w:cs="Times New Roman"/>
                <w:color w:val="000000" w:themeColor="text1"/>
                <w:sz w:val="20"/>
                <w:szCs w:val="20"/>
                <w:lang w:val="ro-RO"/>
              </w:rPr>
              <w:t xml:space="preserve">punctele 3 și 6 </w:t>
            </w:r>
            <w:r w:rsidR="00744979" w:rsidRPr="00684853">
              <w:rPr>
                <w:rFonts w:ascii="Times New Roman" w:eastAsia="Arial Unicode MS" w:hAnsi="Times New Roman" w:cs="Times New Roman"/>
                <w:color w:val="000000" w:themeColor="text1"/>
                <w:sz w:val="20"/>
                <w:szCs w:val="20"/>
                <w:lang w:val="ro-RO"/>
              </w:rPr>
              <w:t>din</w:t>
            </w:r>
            <w:r w:rsidRPr="00684853">
              <w:rPr>
                <w:rFonts w:ascii="Times New Roman" w:eastAsia="Arial Unicode MS" w:hAnsi="Times New Roman" w:cs="Times New Roman"/>
                <w:color w:val="000000" w:themeColor="text1"/>
                <w:sz w:val="20"/>
                <w:szCs w:val="20"/>
                <w:lang w:val="ro-RO"/>
              </w:rPr>
              <w:t xml:space="preserve"> anex</w:t>
            </w:r>
            <w:r w:rsidR="00744979" w:rsidRPr="00684853">
              <w:rPr>
                <w:rFonts w:ascii="Times New Roman" w:eastAsia="Arial Unicode MS" w:hAnsi="Times New Roman" w:cs="Times New Roman"/>
                <w:color w:val="000000" w:themeColor="text1"/>
                <w:sz w:val="20"/>
                <w:szCs w:val="20"/>
                <w:lang w:val="ro-RO"/>
              </w:rPr>
              <w:t>a</w:t>
            </w:r>
            <w:r w:rsidRPr="00684853">
              <w:rPr>
                <w:rFonts w:ascii="Times New Roman" w:eastAsia="Arial Unicode MS" w:hAnsi="Times New Roman" w:cs="Times New Roman"/>
                <w:color w:val="000000" w:themeColor="text1"/>
                <w:sz w:val="20"/>
                <w:szCs w:val="20"/>
                <w:lang w:val="ro-RO"/>
              </w:rPr>
              <w:t xml:space="preserve"> I la Directiva 2014/65/UE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7" w:anchor="E0006"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6</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în cazul în care </w:t>
            </w:r>
            <w:r w:rsidR="00744979" w:rsidRPr="00684853">
              <w:rPr>
                <w:rFonts w:ascii="Times New Roman" w:eastAsia="Arial Unicode MS" w:hAnsi="Times New Roman" w:cs="Times New Roman"/>
                <w:color w:val="000000" w:themeColor="text1"/>
                <w:sz w:val="20"/>
                <w:szCs w:val="20"/>
                <w:lang w:val="ro-RO"/>
              </w:rPr>
              <w:t xml:space="preserve">se aplică </w:t>
            </w:r>
            <w:r w:rsidRPr="00684853">
              <w:rPr>
                <w:rFonts w:ascii="Times New Roman" w:eastAsia="Arial Unicode MS" w:hAnsi="Times New Roman" w:cs="Times New Roman"/>
                <w:color w:val="000000" w:themeColor="text1"/>
                <w:sz w:val="20"/>
                <w:szCs w:val="20"/>
                <w:lang w:val="ro-RO"/>
              </w:rPr>
              <w:t xml:space="preserve">una dintre </w:t>
            </w:r>
            <w:r w:rsidR="00744979" w:rsidRPr="00684853">
              <w:rPr>
                <w:rFonts w:ascii="Times New Roman" w:eastAsia="Arial Unicode MS" w:hAnsi="Times New Roman" w:cs="Times New Roman"/>
                <w:color w:val="000000" w:themeColor="text1"/>
                <w:sz w:val="20"/>
                <w:szCs w:val="20"/>
                <w:lang w:val="ro-RO"/>
              </w:rPr>
              <w:t>următoarele situații</w:t>
            </w:r>
            <w:r w:rsidRPr="00684853">
              <w:rPr>
                <w:rFonts w:ascii="Times New Roman" w:eastAsia="Arial Unicode MS" w:hAnsi="Times New Roman" w:cs="Times New Roman"/>
                <w:color w:val="000000" w:themeColor="text1"/>
                <w:sz w:val="20"/>
                <w:szCs w:val="20"/>
                <w:lang w:val="ro-RO"/>
              </w:rPr>
              <w:t xml:space="preserve">, dar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ntreprinderea nu este un comerciant de mărfuri și de certificate de emisii, un organism de plasament </w:t>
            </w:r>
            <w:proofErr w:type="spellStart"/>
            <w:r w:rsidRPr="00684853">
              <w:rPr>
                <w:rFonts w:ascii="Times New Roman" w:eastAsia="Arial Unicode MS" w:hAnsi="Times New Roman" w:cs="Times New Roman"/>
                <w:color w:val="000000" w:themeColor="text1"/>
                <w:sz w:val="20"/>
                <w:szCs w:val="20"/>
                <w:lang w:val="ro-RO"/>
              </w:rPr>
              <w:t>colectiv</w:t>
            </w:r>
            <w:r w:rsidR="00744979" w:rsidRPr="00684853">
              <w:rPr>
                <w:rFonts w:ascii="Times New Roman" w:eastAsia="Arial Unicode MS" w:hAnsi="Times New Roman" w:cs="Times New Roman"/>
                <w:color w:val="000000" w:themeColor="text1"/>
                <w:sz w:val="20"/>
                <w:szCs w:val="20"/>
                <w:lang w:val="ro-RO"/>
              </w:rPr>
              <w:t>,</w:t>
            </w:r>
            <w:r w:rsidRPr="00684853">
              <w:rPr>
                <w:rFonts w:ascii="Times New Roman" w:eastAsia="Arial Unicode MS" w:hAnsi="Times New Roman" w:cs="Times New Roman"/>
                <w:color w:val="000000" w:themeColor="text1"/>
                <w:sz w:val="20"/>
                <w:szCs w:val="20"/>
                <w:lang w:val="ro-RO"/>
              </w:rPr>
              <w:t>o</w:t>
            </w:r>
            <w:proofErr w:type="spellEnd"/>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ntreprindere de asigurare</w:t>
            </w:r>
            <w:r w:rsidR="00744979" w:rsidRPr="00684853">
              <w:rPr>
                <w:rFonts w:ascii="Times New Roman" w:eastAsia="Arial Unicode MS" w:hAnsi="Times New Roman" w:cs="Times New Roman"/>
                <w:color w:val="000000" w:themeColor="text1"/>
                <w:sz w:val="20"/>
                <w:szCs w:val="20"/>
                <w:lang w:val="ro-RO"/>
              </w:rPr>
              <w:t xml:space="preserve"> sau o firmă de investiții pentru care se acordă o derogare de la autorizarea ca instituție de credit în conformitate cu articolul 8a din Directiva 2013/36/UE</w:t>
            </w:r>
            <w:r w:rsidRPr="00684853">
              <w:rPr>
                <w:rFonts w:ascii="Times New Roman" w:eastAsia="Arial Unicode MS" w:hAnsi="Times New Roman" w:cs="Times New Roman"/>
                <w:color w:val="000000" w:themeColor="text1"/>
                <w:sz w:val="20"/>
                <w:szCs w:val="20"/>
                <w:lang w:val="ro-RO"/>
              </w:rPr>
              <w:t>:</w:t>
            </w:r>
          </w:p>
          <w:p w14:paraId="56285ADB" w14:textId="1FAD3D14" w:rsidR="005023ED" w:rsidRPr="00684853" w:rsidRDefault="005023ED"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  valoarea totală a activelor consolidate ale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 </w:t>
            </w:r>
            <w:r w:rsidR="00744979" w:rsidRPr="00684853">
              <w:rPr>
                <w:rFonts w:ascii="Times New Roman" w:eastAsia="Arial Unicode MS" w:hAnsi="Times New Roman" w:cs="Times New Roman"/>
                <w:color w:val="000000" w:themeColor="text1"/>
                <w:sz w:val="20"/>
                <w:szCs w:val="20"/>
                <w:lang w:val="ro-RO"/>
              </w:rPr>
              <w:t xml:space="preserve"> stabilite în Uniune, inclusiv ale oricăreia dintre sucursalele și filialele sale stabilite într-o țară terță, este cel puțin </w:t>
            </w:r>
            <w:r w:rsidRPr="00684853">
              <w:rPr>
                <w:rFonts w:ascii="Times New Roman" w:eastAsia="Arial Unicode MS" w:hAnsi="Times New Roman" w:cs="Times New Roman"/>
                <w:color w:val="000000" w:themeColor="text1"/>
                <w:sz w:val="20"/>
                <w:szCs w:val="20"/>
                <w:lang w:val="ro-RO"/>
              </w:rPr>
              <w:t>egală cu 30 de miliarde EUR;</w:t>
            </w:r>
          </w:p>
          <w:p w14:paraId="6532577A" w14:textId="3F609EBF" w:rsidR="005023ED" w:rsidRPr="00684853" w:rsidRDefault="005023ED"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(ii)  valoarea totală a activelor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 </w:t>
            </w:r>
            <w:r w:rsidR="00744979" w:rsidRPr="00684853">
              <w:rPr>
                <w:rFonts w:ascii="Times New Roman" w:eastAsia="Arial Unicode MS" w:hAnsi="Times New Roman" w:cs="Times New Roman"/>
                <w:color w:val="000000" w:themeColor="text1"/>
                <w:sz w:val="20"/>
                <w:szCs w:val="20"/>
                <w:lang w:val="ro-RO"/>
              </w:rPr>
              <w:t xml:space="preserve">stabilite în Uniune, inclusiv ale oricăreia dintre sucursalele și filialele sale stabilite într-o țară terță, </w:t>
            </w:r>
            <w:r w:rsidRPr="00684853">
              <w:rPr>
                <w:rFonts w:ascii="Times New Roman" w:eastAsia="Arial Unicode MS" w:hAnsi="Times New Roman" w:cs="Times New Roman"/>
                <w:color w:val="000000" w:themeColor="text1"/>
                <w:sz w:val="20"/>
                <w:szCs w:val="20"/>
                <w:lang w:val="ro-RO"/>
              </w:rPr>
              <w:t xml:space="preserve">este mai mică de 30 de miliarde EUR, </w:t>
            </w:r>
            <w:r w:rsidR="00744979" w:rsidRPr="00684853">
              <w:rPr>
                <w:rFonts w:ascii="Times New Roman" w:eastAsia="Arial Unicode MS" w:hAnsi="Times New Roman" w:cs="Times New Roman"/>
                <w:color w:val="000000" w:themeColor="text1"/>
                <w:sz w:val="20"/>
                <w:szCs w:val="20"/>
                <w:lang w:val="ro-RO"/>
              </w:rPr>
              <w:t xml:space="preserve">iar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ntreprinderea face parte dintr-un grup</w:t>
            </w:r>
            <w:r w:rsidR="00744979" w:rsidRPr="00684853">
              <w:rPr>
                <w:rFonts w:ascii="Times New Roman" w:eastAsia="Arial Unicode MS" w:hAnsi="Times New Roman" w:cs="Times New Roman"/>
                <w:color w:val="000000" w:themeColor="text1"/>
                <w:sz w:val="20"/>
                <w:szCs w:val="20"/>
                <w:lang w:val="ro-RO"/>
              </w:rPr>
              <w:t xml:space="preserve"> în care</w:t>
            </w:r>
            <w:r w:rsidRPr="00684853">
              <w:rPr>
                <w:rFonts w:ascii="Times New Roman" w:eastAsia="Arial Unicode MS" w:hAnsi="Times New Roman" w:cs="Times New Roman"/>
                <w:color w:val="000000" w:themeColor="text1"/>
                <w:sz w:val="20"/>
                <w:szCs w:val="20"/>
                <w:lang w:val="ro-RO"/>
              </w:rPr>
              <w:t xml:space="preserve"> valoarea totală a activelor consolidate ale tuturor întreprinderilor din grupul respectiv</w:t>
            </w:r>
            <w:r w:rsidR="00744979" w:rsidRPr="00684853">
              <w:rPr>
                <w:rFonts w:ascii="Times New Roman" w:eastAsia="Arial Unicode MS" w:hAnsi="Times New Roman" w:cs="Times New Roman"/>
                <w:color w:val="000000" w:themeColor="text1"/>
                <w:sz w:val="20"/>
                <w:szCs w:val="20"/>
                <w:lang w:val="ro-RO"/>
              </w:rPr>
              <w:t xml:space="preserve"> care sunt stabilite în Uniune, inclusiv ale oricăreia dintre sucursalele și filialele lor stabilite într-o țară terță</w:t>
            </w:r>
            <w:r w:rsidRPr="00684853">
              <w:rPr>
                <w:rFonts w:ascii="Times New Roman" w:eastAsia="Arial Unicode MS" w:hAnsi="Times New Roman" w:cs="Times New Roman"/>
                <w:color w:val="000000" w:themeColor="text1"/>
                <w:sz w:val="20"/>
                <w:szCs w:val="20"/>
                <w:lang w:val="ro-RO"/>
              </w:rPr>
              <w:t xml:space="preserve">, care la nivel individual au active totale mai mici de 30 de miliarde EUR și care desfășoară oricare dintre activitățile menționate </w:t>
            </w:r>
            <w:r w:rsidR="004E70DC" w:rsidRPr="00684853">
              <w:rPr>
                <w:rFonts w:ascii="Times New Roman" w:eastAsia="Arial Unicode MS" w:hAnsi="Times New Roman" w:cs="Times New Roman"/>
                <w:color w:val="000000" w:themeColor="text1"/>
                <w:sz w:val="20"/>
                <w:szCs w:val="20"/>
                <w:lang w:val="ro-RO"/>
              </w:rPr>
              <w:t>în</w:t>
            </w:r>
            <w:r w:rsidRPr="00684853">
              <w:rPr>
                <w:rFonts w:ascii="Times New Roman" w:eastAsia="Arial Unicode MS" w:hAnsi="Times New Roman" w:cs="Times New Roman"/>
                <w:color w:val="000000" w:themeColor="text1"/>
                <w:sz w:val="20"/>
                <w:szCs w:val="20"/>
                <w:lang w:val="ro-RO"/>
              </w:rPr>
              <w:t xml:space="preserve"> anex</w:t>
            </w:r>
            <w:r w:rsidR="004E70DC" w:rsidRPr="00684853">
              <w:rPr>
                <w:rFonts w:ascii="Times New Roman" w:eastAsia="Arial Unicode MS" w:hAnsi="Times New Roman" w:cs="Times New Roman"/>
                <w:color w:val="000000" w:themeColor="text1"/>
                <w:sz w:val="20"/>
                <w:szCs w:val="20"/>
                <w:lang w:val="ro-RO"/>
              </w:rPr>
              <w:t>a</w:t>
            </w:r>
            <w:r w:rsidRPr="00684853">
              <w:rPr>
                <w:rFonts w:ascii="Times New Roman" w:eastAsia="Arial Unicode MS" w:hAnsi="Times New Roman" w:cs="Times New Roman"/>
                <w:color w:val="000000" w:themeColor="text1"/>
                <w:sz w:val="20"/>
                <w:szCs w:val="20"/>
                <w:lang w:val="ro-RO"/>
              </w:rPr>
              <w:t xml:space="preserve"> I </w:t>
            </w:r>
            <w:r w:rsidR="004E70DC" w:rsidRPr="00684853">
              <w:rPr>
                <w:rFonts w:ascii="Times New Roman" w:eastAsia="Arial Unicode MS" w:hAnsi="Times New Roman" w:cs="Times New Roman"/>
                <w:color w:val="000000" w:themeColor="text1"/>
                <w:sz w:val="20"/>
                <w:szCs w:val="20"/>
                <w:lang w:val="ro-RO"/>
              </w:rPr>
              <w:t>secțiunea A punctele 3 și 6 din</w:t>
            </w:r>
            <w:r w:rsidRPr="00684853">
              <w:rPr>
                <w:rFonts w:ascii="Times New Roman" w:eastAsia="Arial Unicode MS" w:hAnsi="Times New Roman" w:cs="Times New Roman"/>
                <w:color w:val="000000" w:themeColor="text1"/>
                <w:sz w:val="20"/>
                <w:szCs w:val="20"/>
                <w:lang w:val="ro-RO"/>
              </w:rPr>
              <w:t xml:space="preserve"> Directiva 2014/65/UE, este </w:t>
            </w:r>
            <w:r w:rsidR="004E70DC" w:rsidRPr="00684853">
              <w:rPr>
                <w:rFonts w:ascii="Times New Roman" w:eastAsia="Arial Unicode MS" w:hAnsi="Times New Roman" w:cs="Times New Roman"/>
                <w:color w:val="000000" w:themeColor="text1"/>
                <w:sz w:val="20"/>
                <w:szCs w:val="20"/>
                <w:lang w:val="ro-RO"/>
              </w:rPr>
              <w:t xml:space="preserve">cel </w:t>
            </w:r>
            <w:proofErr w:type="spellStart"/>
            <w:r w:rsidR="004E70DC" w:rsidRPr="00684853">
              <w:rPr>
                <w:rFonts w:ascii="Times New Roman" w:eastAsia="Arial Unicode MS" w:hAnsi="Times New Roman" w:cs="Times New Roman"/>
                <w:color w:val="000000" w:themeColor="text1"/>
                <w:sz w:val="20"/>
                <w:szCs w:val="20"/>
                <w:lang w:val="ro-RO"/>
              </w:rPr>
              <w:t>puțin</w:t>
            </w:r>
            <w:r w:rsidRPr="00684853">
              <w:rPr>
                <w:rFonts w:ascii="Times New Roman" w:eastAsia="Arial Unicode MS" w:hAnsi="Times New Roman" w:cs="Times New Roman"/>
                <w:color w:val="000000" w:themeColor="text1"/>
                <w:sz w:val="20"/>
                <w:szCs w:val="20"/>
                <w:lang w:val="ro-RO"/>
              </w:rPr>
              <w:t>egală</w:t>
            </w:r>
            <w:proofErr w:type="spellEnd"/>
            <w:r w:rsidRPr="00684853">
              <w:rPr>
                <w:rFonts w:ascii="Times New Roman" w:eastAsia="Arial Unicode MS" w:hAnsi="Times New Roman" w:cs="Times New Roman"/>
                <w:color w:val="000000" w:themeColor="text1"/>
                <w:sz w:val="20"/>
                <w:szCs w:val="20"/>
                <w:lang w:val="ro-RO"/>
              </w:rPr>
              <w:t xml:space="preserve"> cu 30 de miliarde EUR;</w:t>
            </w:r>
          </w:p>
          <w:p w14:paraId="5752CDF1" w14:textId="7547357A" w:rsidR="005023ED" w:rsidRPr="00684853" w:rsidRDefault="005023ED" w:rsidP="005023ED">
            <w:pPr>
              <w:shd w:val="clear" w:color="auto" w:fill="FFFFFF"/>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(iii) valoarea totală a activelor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 </w:t>
            </w:r>
            <w:r w:rsidR="004E70DC" w:rsidRPr="00684853">
              <w:rPr>
                <w:rFonts w:ascii="Times New Roman" w:eastAsia="Arial Unicode MS" w:hAnsi="Times New Roman" w:cs="Times New Roman"/>
                <w:color w:val="000000" w:themeColor="text1"/>
                <w:sz w:val="20"/>
                <w:szCs w:val="20"/>
                <w:lang w:val="ro-RO"/>
              </w:rPr>
              <w:t xml:space="preserve">stabilite în Uniune, inclusiv ale oricăreia dintre sucursalele și filialele sale stabilite într-o țară terță, </w:t>
            </w:r>
            <w:r w:rsidRPr="00684853">
              <w:rPr>
                <w:rFonts w:ascii="Times New Roman" w:eastAsia="Arial Unicode MS" w:hAnsi="Times New Roman" w:cs="Times New Roman"/>
                <w:color w:val="000000" w:themeColor="text1"/>
                <w:sz w:val="20"/>
                <w:szCs w:val="20"/>
                <w:lang w:val="ro-RO"/>
              </w:rPr>
              <w:t xml:space="preserve">este mai mică de 30 de miliarde EUR, </w:t>
            </w:r>
            <w:r w:rsidR="004E70DC" w:rsidRPr="00684853">
              <w:rPr>
                <w:rFonts w:ascii="Times New Roman" w:eastAsia="Arial Unicode MS" w:hAnsi="Times New Roman" w:cs="Times New Roman"/>
                <w:color w:val="000000" w:themeColor="text1"/>
                <w:sz w:val="20"/>
                <w:szCs w:val="20"/>
                <w:lang w:val="ro-RO"/>
              </w:rPr>
              <w:t xml:space="preserve">iar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ntreprinderea face parte dintr-un grup</w:t>
            </w:r>
            <w:r w:rsidR="004E70DC" w:rsidRPr="00684853">
              <w:rPr>
                <w:rFonts w:ascii="Times New Roman" w:eastAsia="Arial Unicode MS" w:hAnsi="Times New Roman" w:cs="Times New Roman"/>
                <w:color w:val="000000" w:themeColor="text1"/>
                <w:sz w:val="20"/>
                <w:szCs w:val="20"/>
                <w:lang w:val="ro-RO"/>
              </w:rPr>
              <w:t xml:space="preserve"> în care</w:t>
            </w:r>
            <w:r w:rsidRPr="00684853">
              <w:rPr>
                <w:rFonts w:ascii="Times New Roman" w:eastAsia="Arial Unicode MS" w:hAnsi="Times New Roman" w:cs="Times New Roman"/>
                <w:color w:val="000000" w:themeColor="text1"/>
                <w:sz w:val="20"/>
                <w:szCs w:val="20"/>
                <w:lang w:val="ro-RO"/>
              </w:rPr>
              <w:t xml:space="preserve"> valoarea totală a activelor consolidate ale tuturor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ntreprinderilor din grup care desfășoară oricare dintre activitățile menționate </w:t>
            </w:r>
            <w:r w:rsidR="004E70DC" w:rsidRPr="00684853">
              <w:rPr>
                <w:rFonts w:ascii="Times New Roman" w:eastAsia="Arial Unicode MS" w:hAnsi="Times New Roman" w:cs="Times New Roman"/>
                <w:color w:val="000000" w:themeColor="text1"/>
                <w:sz w:val="20"/>
                <w:szCs w:val="20"/>
                <w:lang w:val="ro-RO"/>
              </w:rPr>
              <w:t>în</w:t>
            </w:r>
            <w:r w:rsidRPr="00684853">
              <w:rPr>
                <w:rFonts w:ascii="Times New Roman" w:eastAsia="Arial Unicode MS" w:hAnsi="Times New Roman" w:cs="Times New Roman"/>
                <w:color w:val="000000" w:themeColor="text1"/>
                <w:sz w:val="20"/>
                <w:szCs w:val="20"/>
                <w:lang w:val="ro-RO"/>
              </w:rPr>
              <w:t xml:space="preserve"> secțiunea A </w:t>
            </w:r>
            <w:r w:rsidR="004E70DC" w:rsidRPr="00684853">
              <w:rPr>
                <w:rFonts w:ascii="Times New Roman" w:eastAsia="Arial Unicode MS" w:hAnsi="Times New Roman" w:cs="Times New Roman"/>
                <w:color w:val="000000" w:themeColor="text1"/>
                <w:sz w:val="20"/>
                <w:szCs w:val="20"/>
                <w:lang w:val="ro-RO"/>
              </w:rPr>
              <w:t>punctele 3 și 6 din</w:t>
            </w:r>
            <w:r w:rsidRPr="00684853">
              <w:rPr>
                <w:rFonts w:ascii="Times New Roman" w:eastAsia="Arial Unicode MS" w:hAnsi="Times New Roman" w:cs="Times New Roman"/>
                <w:color w:val="000000" w:themeColor="text1"/>
                <w:sz w:val="20"/>
                <w:szCs w:val="20"/>
                <w:lang w:val="ro-RO"/>
              </w:rPr>
              <w:t xml:space="preserve"> anex</w:t>
            </w:r>
            <w:r w:rsidR="004E70DC" w:rsidRPr="00684853">
              <w:rPr>
                <w:rFonts w:ascii="Times New Roman" w:eastAsia="Arial Unicode MS" w:hAnsi="Times New Roman" w:cs="Times New Roman"/>
                <w:color w:val="000000" w:themeColor="text1"/>
                <w:sz w:val="20"/>
                <w:szCs w:val="20"/>
                <w:lang w:val="ro-RO"/>
              </w:rPr>
              <w:t>a</w:t>
            </w:r>
            <w:r w:rsidRPr="00684853">
              <w:rPr>
                <w:rFonts w:ascii="Times New Roman" w:eastAsia="Arial Unicode MS" w:hAnsi="Times New Roman" w:cs="Times New Roman"/>
                <w:color w:val="000000" w:themeColor="text1"/>
                <w:sz w:val="20"/>
                <w:szCs w:val="20"/>
                <w:lang w:val="ro-RO"/>
              </w:rPr>
              <w:t xml:space="preserve"> I la Directiva 2014/65/UE este </w:t>
            </w:r>
            <w:r w:rsidR="004E70DC" w:rsidRPr="00684853">
              <w:rPr>
                <w:rFonts w:ascii="Times New Roman" w:eastAsia="Arial Unicode MS" w:hAnsi="Times New Roman" w:cs="Times New Roman"/>
                <w:color w:val="000000" w:themeColor="text1"/>
                <w:sz w:val="20"/>
                <w:szCs w:val="20"/>
                <w:lang w:val="ro-RO"/>
              </w:rPr>
              <w:t>cel puțin</w:t>
            </w:r>
            <w:r w:rsidRPr="00684853">
              <w:rPr>
                <w:rFonts w:ascii="Times New Roman" w:eastAsia="Arial Unicode MS" w:hAnsi="Times New Roman" w:cs="Times New Roman"/>
                <w:color w:val="000000" w:themeColor="text1"/>
                <w:sz w:val="20"/>
                <w:szCs w:val="20"/>
                <w:lang w:val="ro-RO"/>
              </w:rPr>
              <w:t xml:space="preserve"> egală cu 30 de miliarde EUR,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cazul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care supraveghetorul consolidant,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consultare cu colegiul </w:t>
            </w:r>
            <w:r w:rsidRPr="00684853">
              <w:rPr>
                <w:rFonts w:ascii="Times New Roman" w:eastAsia="Arial Unicode MS" w:hAnsi="Times New Roman" w:cs="Times New Roman"/>
                <w:color w:val="000000" w:themeColor="text1"/>
                <w:sz w:val="20"/>
                <w:szCs w:val="20"/>
                <w:lang w:val="ro-RO"/>
              </w:rPr>
              <w:lastRenderedPageBreak/>
              <w:t>de supraveghetori, decide astfel pentru a contracara eventualele riscuri de eludare și eventualele riscuri la adresa stabilității financiare a Uniunii;</w:t>
            </w:r>
          </w:p>
          <w:p w14:paraId="75FCAE2D" w14:textId="77777777" w:rsidR="004E70DC" w:rsidRPr="00684853" w:rsidRDefault="004E70DC" w:rsidP="005023ED">
            <w:pPr>
              <w:pStyle w:val="List1"/>
              <w:shd w:val="clear" w:color="auto" w:fill="FFFFFF"/>
              <w:spacing w:before="120" w:beforeAutospacing="0" w:after="0" w:afterAutospacing="0" w:line="312" w:lineRule="atLeast"/>
              <w:jc w:val="both"/>
              <w:rPr>
                <w:rFonts w:eastAsia="Arial Unicode MS"/>
                <w:color w:val="000000" w:themeColor="text1"/>
                <w:sz w:val="20"/>
                <w:szCs w:val="20"/>
                <w:lang w:val="ro-RO"/>
              </w:rPr>
            </w:pPr>
            <w:r w:rsidRPr="00684853">
              <w:rPr>
                <w:rFonts w:eastAsia="Arial Unicode MS"/>
                <w:color w:val="000000" w:themeColor="text1"/>
                <w:sz w:val="20"/>
                <w:szCs w:val="20"/>
                <w:lang w:val="ro-RO"/>
              </w:rPr>
              <w:t>M9</w:t>
            </w:r>
          </w:p>
          <w:p w14:paraId="63A7CFE6" w14:textId="6D15BCE6" w:rsidR="005023ED" w:rsidRPr="00684853" w:rsidRDefault="005023ED" w:rsidP="005023ED">
            <w:pPr>
              <w:pStyle w:val="List1"/>
              <w:shd w:val="clear" w:color="auto" w:fill="FFFFFF"/>
              <w:spacing w:before="120" w:beforeAutospacing="0" w:after="0" w:afterAutospacing="0" w:line="312" w:lineRule="atLeast"/>
              <w:jc w:val="both"/>
              <w:rPr>
                <w:rFonts w:eastAsia="Arial Unicode MS"/>
                <w:color w:val="000000" w:themeColor="text1"/>
                <w:sz w:val="20"/>
                <w:szCs w:val="20"/>
                <w:lang w:val="ro-RO"/>
              </w:rPr>
            </w:pPr>
            <w:r w:rsidRPr="00684853">
              <w:rPr>
                <w:rFonts w:eastAsia="Arial Unicode MS"/>
                <w:color w:val="000000" w:themeColor="text1"/>
                <w:sz w:val="20"/>
                <w:szCs w:val="20"/>
                <w:lang w:val="ro-RO"/>
              </w:rPr>
              <w:t xml:space="preserve">în înțelesul literei (b) punctele (ii) și (iii),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cazul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care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ntreprinderea face parte dintr-un grup dintr-o țară terță, activele totale ale fiecărei sucursale a grupului dintr-o țară terță autorizate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Uniune sunt incluse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valoarea totală combinată a activelor tuturor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ntreprinderilor din grup;</w:t>
            </w:r>
          </w:p>
        </w:tc>
        <w:tc>
          <w:tcPr>
            <w:tcW w:w="1636" w:type="pct"/>
          </w:tcPr>
          <w:p w14:paraId="37DF88BE" w14:textId="77777777" w:rsidR="005023ED" w:rsidRPr="00684853" w:rsidRDefault="005023ED" w:rsidP="002327B0">
            <w:pPr>
              <w:spacing w:after="0" w:line="276" w:lineRule="auto"/>
              <w:jc w:val="both"/>
              <w:rPr>
                <w:rFonts w:ascii="Times New Roman" w:hAnsi="Times New Roman" w:cs="Times New Roman"/>
                <w:b/>
                <w:color w:val="000000" w:themeColor="text1"/>
                <w:sz w:val="20"/>
                <w:szCs w:val="20"/>
                <w:lang w:val="ro-RO"/>
              </w:rPr>
            </w:pPr>
          </w:p>
        </w:tc>
        <w:tc>
          <w:tcPr>
            <w:tcW w:w="562" w:type="pct"/>
          </w:tcPr>
          <w:p w14:paraId="158DA0DE" w14:textId="2021C4AA" w:rsidR="005023ED" w:rsidRPr="00684853" w:rsidRDefault="005023ED"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75610ED5" w14:textId="086123D8" w:rsidR="005023ED" w:rsidRPr="00684853" w:rsidRDefault="00E8673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6B22D5F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2DC10061" w14:textId="6623B959" w:rsidR="00395381" w:rsidRPr="00684853" w:rsidRDefault="00395381" w:rsidP="002327B0">
            <w:pPr>
              <w:autoSpaceDE w:val="0"/>
              <w:autoSpaceDN w:val="0"/>
              <w:adjustRightInd w:val="0"/>
              <w:spacing w:after="12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2. </w:t>
            </w:r>
            <w:r w:rsidRPr="00684853">
              <w:rPr>
                <w:rFonts w:ascii="Times New Roman" w:eastAsia="Arial Unicode MS" w:hAnsi="Times New Roman" w:cs="Times New Roman"/>
                <w:color w:val="000000" w:themeColor="text1"/>
                <w:sz w:val="20"/>
                <w:szCs w:val="20"/>
                <w:lang w:val="ro-RO"/>
              </w:rPr>
              <w:t>„firmă de investiții” înseamnă o firmă de investiții</w:t>
            </w:r>
            <w:r w:rsidRPr="00684853" w:rsidDel="00972C9C">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 xml:space="preserve"> astfel cum este definită la articolul 4 alineatul (1) punctul 1 din  Directiva 2014/65/UE care este autorizată în conformitate cu directiva respectivă, excluzând </w:t>
            </w:r>
            <w:r w:rsidRPr="00684853">
              <w:rPr>
                <w:rFonts w:ascii="Times New Roman" w:eastAsia="Arial Unicode MS" w:hAnsi="Times New Roman" w:cs="Times New Roman"/>
                <w:color w:val="000000" w:themeColor="text1"/>
                <w:sz w:val="20"/>
                <w:szCs w:val="20"/>
                <w:lang w:val="ro-RO" w:eastAsia="ru-RU"/>
              </w:rPr>
              <w:t>instituțiile de credit</w:t>
            </w:r>
          </w:p>
          <w:p w14:paraId="29E52610" w14:textId="37DB90FD" w:rsidR="00395381" w:rsidRPr="00684853" w:rsidRDefault="00395381" w:rsidP="00F5682C">
            <w:pPr>
              <w:spacing w:after="0" w:line="276" w:lineRule="auto"/>
              <w:jc w:val="both"/>
              <w:rPr>
                <w:rFonts w:ascii="Times New Roman" w:hAnsi="Times New Roman" w:cs="Times New Roman"/>
                <w:b/>
                <w:color w:val="000000" w:themeColor="text1"/>
                <w:sz w:val="20"/>
                <w:szCs w:val="20"/>
                <w:lang w:val="ro-RO"/>
              </w:rPr>
            </w:pPr>
          </w:p>
        </w:tc>
        <w:tc>
          <w:tcPr>
            <w:tcW w:w="1636" w:type="pct"/>
          </w:tcPr>
          <w:p w14:paraId="56F1F2AD" w14:textId="17398FDB" w:rsidR="00395381" w:rsidRPr="00684853" w:rsidRDefault="00E43272" w:rsidP="002327B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de </w:t>
            </w:r>
            <w:proofErr w:type="spellStart"/>
            <w:r w:rsidRPr="00684853">
              <w:rPr>
                <w:rFonts w:ascii="Times New Roman" w:hAnsi="Times New Roman" w:cs="Times New Roman"/>
                <w:b/>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astfel cum este definită la art.6 din Legea nr.171/2012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tc>
        <w:tc>
          <w:tcPr>
            <w:tcW w:w="562" w:type="pct"/>
          </w:tcPr>
          <w:p w14:paraId="1AF7BFE6"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D89A75C" w14:textId="77777777" w:rsidR="00395381" w:rsidRPr="00684853" w:rsidRDefault="00395381" w:rsidP="002327B0">
            <w:pPr>
              <w:jc w:val="both"/>
              <w:rPr>
                <w:rFonts w:ascii="Times New Roman" w:hAnsi="Times New Roman" w:cs="Times New Roman"/>
                <w:color w:val="000000" w:themeColor="text1"/>
                <w:sz w:val="20"/>
                <w:szCs w:val="20"/>
                <w:lang w:val="ro-RO"/>
              </w:rPr>
            </w:pPr>
          </w:p>
        </w:tc>
        <w:tc>
          <w:tcPr>
            <w:tcW w:w="885" w:type="pct"/>
          </w:tcPr>
          <w:p w14:paraId="14E62EDE" w14:textId="1C97EF21"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 de „societate de investiții”.</w:t>
            </w:r>
          </w:p>
        </w:tc>
      </w:tr>
      <w:tr w:rsidR="00EA59FA" w:rsidRPr="00684853" w14:paraId="1BC4812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3276A8DD" w14:textId="7D5617B8" w:rsidR="00395381" w:rsidRPr="00684853" w:rsidRDefault="00395381" w:rsidP="00254B0A">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3. </w:t>
            </w:r>
            <w:r w:rsidRPr="00684853">
              <w:rPr>
                <w:rFonts w:ascii="Times New Roman" w:eastAsia="Arial Unicode MS" w:hAnsi="Times New Roman" w:cs="Times New Roman"/>
                <w:color w:val="000000" w:themeColor="text1"/>
                <w:sz w:val="20"/>
                <w:szCs w:val="20"/>
                <w:lang w:val="ro-RO"/>
              </w:rPr>
              <w:t xml:space="preserve">„instituție” înseamnă o instituție de credit </w:t>
            </w:r>
            <w:r w:rsidRPr="00684853">
              <w:rPr>
                <w:rFonts w:ascii="Times New Roman" w:eastAsia="Arial Unicode MS" w:hAnsi="Times New Roman" w:cs="Times New Roman"/>
                <w:color w:val="000000" w:themeColor="text1"/>
                <w:sz w:val="20"/>
                <w:szCs w:val="20"/>
                <w:shd w:val="clear" w:color="auto" w:fill="FFFFFF"/>
                <w:lang w:val="ro-RO"/>
              </w:rPr>
              <w:t xml:space="preserve"> </w:t>
            </w:r>
            <w:r w:rsidRPr="00684853">
              <w:rPr>
                <w:rFonts w:ascii="Times New Roman" w:eastAsia="Arial Unicode MS" w:hAnsi="Times New Roman" w:cs="Times New Roman"/>
                <w:color w:val="000000" w:themeColor="text1"/>
                <w:sz w:val="20"/>
                <w:szCs w:val="20"/>
                <w:lang w:val="ro-RO"/>
              </w:rPr>
              <w:t>autorizată în temeiul articolului 8 din Directiva 2013/36/UE sau o întreprindere astfel cum este menționată la articolul 8a alineatul (3) din respectiva directivă;</w:t>
            </w:r>
          </w:p>
        </w:tc>
        <w:tc>
          <w:tcPr>
            <w:tcW w:w="1636" w:type="pct"/>
          </w:tcPr>
          <w:p w14:paraId="0D38FB2F"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p>
        </w:tc>
        <w:tc>
          <w:tcPr>
            <w:tcW w:w="562" w:type="pct"/>
          </w:tcPr>
          <w:p w14:paraId="5E08E5D5" w14:textId="6AD8D791" w:rsidR="00395381" w:rsidRPr="00684853" w:rsidRDefault="00E43272"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1665F938" w14:textId="77777777" w:rsidR="00395381" w:rsidRPr="00684853" w:rsidRDefault="00395381" w:rsidP="002327B0">
            <w:pPr>
              <w:jc w:val="both"/>
              <w:rPr>
                <w:rFonts w:ascii="Times New Roman" w:hAnsi="Times New Roman" w:cs="Times New Roman"/>
                <w:color w:val="000000" w:themeColor="text1"/>
                <w:sz w:val="20"/>
                <w:szCs w:val="20"/>
                <w:lang w:val="ro-RO"/>
              </w:rPr>
            </w:pPr>
          </w:p>
        </w:tc>
        <w:tc>
          <w:tcPr>
            <w:tcW w:w="885" w:type="pct"/>
          </w:tcPr>
          <w:p w14:paraId="61168ED7" w14:textId="1DE1488D" w:rsidR="00395381" w:rsidRPr="00684853" w:rsidRDefault="00E8673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37E09C7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5C9C7B1B" w14:textId="678C8868" w:rsidR="00E86731" w:rsidRPr="00684853" w:rsidRDefault="00E86731" w:rsidP="002327B0">
            <w:pPr>
              <w:spacing w:after="0" w:line="276" w:lineRule="auto"/>
              <w:jc w:val="both"/>
              <w:rPr>
                <w:rFonts w:ascii="Times New Roman" w:eastAsia="Arial Unicode MS" w:hAnsi="Times New Roman" w:cs="Times New Roman"/>
                <w:b/>
                <w:color w:val="000000" w:themeColor="text1"/>
                <w:sz w:val="20"/>
                <w:szCs w:val="20"/>
                <w:highlight w:val="yellow"/>
                <w:lang w:val="ro-RO"/>
              </w:rPr>
            </w:pPr>
            <w:r w:rsidRPr="00684853">
              <w:rPr>
                <w:rFonts w:ascii="Times New Roman" w:eastAsia="Arial Unicode MS" w:hAnsi="Times New Roman" w:cs="Times New Roman"/>
                <w:b/>
                <w:color w:val="000000" w:themeColor="text1"/>
                <w:sz w:val="20"/>
                <w:szCs w:val="20"/>
                <w:lang w:val="ro-RO"/>
              </w:rPr>
              <w:t>Pct.4 abrogat prin M9</w:t>
            </w:r>
          </w:p>
        </w:tc>
        <w:tc>
          <w:tcPr>
            <w:tcW w:w="1636" w:type="pct"/>
          </w:tcPr>
          <w:p w14:paraId="7A2BB0E4"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p>
        </w:tc>
        <w:tc>
          <w:tcPr>
            <w:tcW w:w="562" w:type="pct"/>
          </w:tcPr>
          <w:p w14:paraId="792E2538" w14:textId="058B2A73" w:rsidR="00395381" w:rsidRPr="00684853" w:rsidRDefault="00395381" w:rsidP="002327B0">
            <w:pPr>
              <w:jc w:val="both"/>
              <w:rPr>
                <w:rFonts w:ascii="Times New Roman" w:hAnsi="Times New Roman" w:cs="Times New Roman"/>
                <w:color w:val="000000" w:themeColor="text1"/>
                <w:sz w:val="20"/>
                <w:szCs w:val="20"/>
                <w:lang w:val="ro-RO"/>
              </w:rPr>
            </w:pPr>
          </w:p>
        </w:tc>
        <w:tc>
          <w:tcPr>
            <w:tcW w:w="885" w:type="pct"/>
          </w:tcPr>
          <w:p w14:paraId="7A56C210" w14:textId="46E8367F" w:rsidR="00395381" w:rsidRPr="00684853" w:rsidRDefault="00395381" w:rsidP="002327B0">
            <w:pPr>
              <w:jc w:val="both"/>
              <w:rPr>
                <w:rFonts w:ascii="Times New Roman" w:hAnsi="Times New Roman" w:cs="Times New Roman"/>
                <w:color w:val="000000" w:themeColor="text1"/>
                <w:sz w:val="20"/>
                <w:szCs w:val="20"/>
                <w:lang w:val="ro-RO"/>
              </w:rPr>
            </w:pPr>
          </w:p>
        </w:tc>
      </w:tr>
      <w:tr w:rsidR="00EA59FA" w:rsidRPr="00684853" w14:paraId="79D7839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36B8A3F1" w14:textId="557F933B" w:rsidR="00E43272" w:rsidRPr="00684853" w:rsidRDefault="00395381" w:rsidP="002327B0">
            <w:pPr>
              <w:spacing w:after="0" w:line="276" w:lineRule="auto"/>
              <w:jc w:val="both"/>
              <w:rPr>
                <w:rFonts w:ascii="Times New Roman" w:eastAsia="Arial Unicode MS"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5. </w:t>
            </w:r>
            <w:r w:rsidRPr="00684853">
              <w:rPr>
                <w:rFonts w:ascii="Times New Roman" w:eastAsia="Arial Unicode MS" w:hAnsi="Times New Roman" w:cs="Times New Roman"/>
                <w:color w:val="000000" w:themeColor="text1"/>
                <w:sz w:val="20"/>
                <w:szCs w:val="20"/>
                <w:lang w:val="ro-RO"/>
              </w:rPr>
              <w:t>„întreprindere de asigurare” înseamnă o întreprindere de asigurare astfel cum este definită la articolul 13 punctul 1 din Directiva 2009/138/CE a Parlamentului European și a Consiliului din 25 noiembrie 2009 privind accesul la activitate și desfășurarea activității de asigurare și de reasigurare (Solvabilitate II) (</w:t>
            </w:r>
            <w:hyperlink r:id="rId18" w:anchor="E0001" w:history="1">
              <w:r w:rsidRPr="00684853">
                <w:rPr>
                  <w:rStyle w:val="Hyperlink"/>
                  <w:rFonts w:ascii="Times New Roman" w:eastAsia="Arial Unicode MS" w:hAnsi="Times New Roman" w:cs="Times New Roman"/>
                  <w:color w:val="000000" w:themeColor="text1"/>
                  <w:sz w:val="20"/>
                  <w:szCs w:val="20"/>
                  <w:lang w:val="ro-RO"/>
                </w:rPr>
                <w:t xml:space="preserve"> </w:t>
              </w:r>
              <w:r w:rsidRPr="00684853">
                <w:rPr>
                  <w:rStyle w:val="superscript"/>
                  <w:rFonts w:ascii="Times New Roman" w:hAnsi="Times New Roman" w:cs="Times New Roman"/>
                  <w:color w:val="000000" w:themeColor="text1"/>
                  <w:sz w:val="20"/>
                  <w:szCs w:val="20"/>
                  <w:lang w:val="ro-RO"/>
                </w:rPr>
                <w:t>7</w:t>
              </w:r>
              <w:r w:rsidRPr="00684853">
                <w:rPr>
                  <w:rStyle w:val="Hyperlink"/>
                  <w:rFonts w:ascii="Times New Roman" w:eastAsia="Arial Unicode MS" w:hAnsi="Times New Roman" w:cs="Times New Roman"/>
                  <w:color w:val="000000" w:themeColor="text1"/>
                  <w:sz w:val="20"/>
                  <w:szCs w:val="20"/>
                  <w:lang w:val="ro-RO"/>
                </w:rPr>
                <w:t xml:space="preserve"> </w:t>
              </w:r>
            </w:hyperlink>
            <w:r w:rsidRPr="00684853">
              <w:rPr>
                <w:rFonts w:ascii="Times New Roman" w:eastAsia="Arial Unicode MS" w:hAnsi="Times New Roman" w:cs="Times New Roman"/>
                <w:color w:val="000000" w:themeColor="text1"/>
                <w:sz w:val="20"/>
                <w:szCs w:val="20"/>
                <w:lang w:val="ro-RO"/>
              </w:rPr>
              <w:t>);</w:t>
            </w:r>
            <w:r w:rsidR="00E43272" w:rsidRPr="00684853">
              <w:rPr>
                <w:rFonts w:ascii="Times New Roman" w:eastAsia="Arial Unicode MS" w:hAnsi="Times New Roman" w:cs="Times New Roman"/>
                <w:b/>
                <w:color w:val="000000" w:themeColor="text1"/>
                <w:sz w:val="20"/>
                <w:szCs w:val="20"/>
                <w:lang w:val="ro-RO"/>
              </w:rPr>
              <w:t xml:space="preserve"> </w:t>
            </w:r>
          </w:p>
          <w:p w14:paraId="3EDED805" w14:textId="12AA9F94" w:rsidR="00395381" w:rsidRPr="00684853" w:rsidRDefault="00E43272"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6.</w:t>
            </w:r>
            <w:r w:rsidRPr="00684853">
              <w:rPr>
                <w:rFonts w:ascii="Times New Roman" w:eastAsia="Arial Unicode MS" w:hAnsi="Times New Roman" w:cs="Times New Roman"/>
                <w:color w:val="000000" w:themeColor="text1"/>
                <w:sz w:val="20"/>
                <w:szCs w:val="20"/>
                <w:lang w:val="ro-RO"/>
              </w:rPr>
              <w:t xml:space="preserve"> „întreprindere de reasigurare” înseamnă o întreprindere de asigurare astfel cum este definită la articolul 13 punctul 4 din Directiva 2009/138/CE;</w:t>
            </w:r>
          </w:p>
        </w:tc>
        <w:tc>
          <w:tcPr>
            <w:tcW w:w="1636" w:type="pct"/>
          </w:tcPr>
          <w:p w14:paraId="06121568" w14:textId="02020410" w:rsidR="00395381" w:rsidRPr="00684853" w:rsidRDefault="00E43272" w:rsidP="002327B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asigurător/</w:t>
            </w:r>
            <w:proofErr w:type="spellStart"/>
            <w:r w:rsidRPr="00684853">
              <w:rPr>
                <w:rFonts w:ascii="Times New Roman" w:hAnsi="Times New Roman" w:cs="Times New Roman"/>
                <w:b/>
                <w:color w:val="000000" w:themeColor="text1"/>
                <w:sz w:val="20"/>
                <w:szCs w:val="20"/>
                <w:lang w:val="ro-RO"/>
              </w:rPr>
              <w:t>reasigurător</w:t>
            </w:r>
            <w:proofErr w:type="spellEnd"/>
            <w:r w:rsidRPr="00684853">
              <w:rPr>
                <w:rFonts w:ascii="Times New Roman" w:hAnsi="Times New Roman" w:cs="Times New Roman"/>
                <w:bCs/>
                <w:color w:val="000000" w:themeColor="text1"/>
                <w:sz w:val="20"/>
                <w:szCs w:val="20"/>
                <w:lang w:val="ro-RO"/>
              </w:rPr>
              <w:t xml:space="preserve"> – societate care </w:t>
            </w:r>
            <w:proofErr w:type="spellStart"/>
            <w:r w:rsidRPr="00684853">
              <w:rPr>
                <w:rFonts w:ascii="Times New Roman" w:hAnsi="Times New Roman" w:cs="Times New Roman"/>
                <w:bCs/>
                <w:color w:val="000000" w:themeColor="text1"/>
                <w:sz w:val="20"/>
                <w:szCs w:val="20"/>
                <w:lang w:val="ro-RO"/>
              </w:rPr>
              <w:t>desfăşoară</w:t>
            </w:r>
            <w:proofErr w:type="spellEnd"/>
            <w:r w:rsidRPr="00684853">
              <w:rPr>
                <w:rFonts w:ascii="Times New Roman" w:hAnsi="Times New Roman" w:cs="Times New Roman"/>
                <w:bCs/>
                <w:color w:val="000000" w:themeColor="text1"/>
                <w:sz w:val="20"/>
                <w:szCs w:val="20"/>
                <w:lang w:val="ro-RO"/>
              </w:rPr>
              <w:t xml:space="preserve"> activitate de asigurare/reasigurare astfel cum este definit în Legea nr.407/2006 cu privire la asigurări;</w:t>
            </w:r>
          </w:p>
        </w:tc>
        <w:tc>
          <w:tcPr>
            <w:tcW w:w="562" w:type="pct"/>
          </w:tcPr>
          <w:p w14:paraId="7ECBE53C"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F262050" w14:textId="77777777" w:rsidR="00395381" w:rsidRPr="00684853" w:rsidRDefault="00395381" w:rsidP="002327B0">
            <w:pPr>
              <w:jc w:val="both"/>
              <w:rPr>
                <w:rFonts w:ascii="Times New Roman" w:hAnsi="Times New Roman" w:cs="Times New Roman"/>
                <w:color w:val="000000" w:themeColor="text1"/>
                <w:sz w:val="20"/>
                <w:szCs w:val="20"/>
                <w:lang w:val="ro-RO"/>
              </w:rPr>
            </w:pPr>
          </w:p>
        </w:tc>
        <w:tc>
          <w:tcPr>
            <w:tcW w:w="885" w:type="pct"/>
          </w:tcPr>
          <w:p w14:paraId="24B27E19" w14:textId="6CC87790" w:rsidR="00395381" w:rsidRPr="00684853" w:rsidRDefault="00395381" w:rsidP="002327B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 din 6 octombrie 2017 privind activitatea băncilor </w:t>
            </w:r>
            <w:r w:rsidRPr="00684853">
              <w:rPr>
                <w:rFonts w:ascii="Times New Roman" w:hAnsi="Times New Roman" w:cs="Times New Roman"/>
                <w:color w:val="000000" w:themeColor="text1"/>
                <w:sz w:val="20"/>
                <w:szCs w:val="20"/>
                <w:lang w:val="ro-RO"/>
              </w:rPr>
              <w:t>prin noțiunea de „asigurator/reasigurator”.</w:t>
            </w:r>
          </w:p>
        </w:tc>
      </w:tr>
      <w:tr w:rsidR="00EA59FA" w:rsidRPr="00684853" w14:paraId="55F0197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10A50122" w14:textId="4AF63268" w:rsidR="00395381" w:rsidRPr="00684853" w:rsidRDefault="00395381" w:rsidP="00542BF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7</w:t>
            </w:r>
            <w:r w:rsidRPr="00684853">
              <w:rPr>
                <w:rFonts w:ascii="Times New Roman" w:hAnsi="Times New Roman" w:cs="Times New Roman"/>
                <w:color w:val="000000" w:themeColor="text1"/>
                <w:sz w:val="20"/>
                <w:szCs w:val="20"/>
                <w:lang w:val="ro-RO"/>
              </w:rPr>
              <w:t>. „organism de plasament colectiv” sau „OPC” înseamnă un OPCVM astfel cum este definit la articolul 1 alineatul (2) din Directiva 2009/65/UE a Parlamentului European și a Consiliului (</w:t>
            </w:r>
            <w:r w:rsidRPr="00684853">
              <w:rPr>
                <w:rStyle w:val="superscript"/>
                <w:rFonts w:ascii="Times New Roman" w:eastAsia="Arial Unicode MS" w:hAnsi="Times New Roman" w:cs="Times New Roman"/>
                <w:color w:val="000000" w:themeColor="text1"/>
                <w:sz w:val="20"/>
                <w:szCs w:val="20"/>
                <w:shd w:val="clear" w:color="auto" w:fill="FFFFFF"/>
                <w:lang w:val="ro-RO"/>
              </w:rPr>
              <w:t>8</w:t>
            </w:r>
            <w:r w:rsidRPr="00684853">
              <w:rPr>
                <w:rFonts w:ascii="Times New Roman" w:eastAsia="Arial Unicode MS" w:hAnsi="Times New Roman" w:cs="Times New Roman"/>
                <w:color w:val="000000" w:themeColor="text1"/>
                <w:sz w:val="20"/>
                <w:szCs w:val="20"/>
                <w:shd w:val="clear" w:color="auto" w:fill="FFFFFF"/>
                <w:lang w:val="ro-RO"/>
              </w:rPr>
              <w:t>), sau un fond de investiții alternative (FIA), astfel cum este definit la articolul</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4 alineatul</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(1) litera</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(a) din Directiva 2011/61/UE a Parlamentului European și a Consiliului</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w:t>
            </w:r>
            <w:hyperlink r:id="rId19" w:anchor="E0009" w:history="1">
              <w:r w:rsidRPr="00684853">
                <w:rPr>
                  <w:rStyle w:val="Hyperlink"/>
                  <w:rFonts w:ascii="Times New Roman" w:eastAsia="Arial Unicode MS" w:hAnsi="Times New Roman" w:cs="Times New Roman"/>
                  <w:color w:val="000000" w:themeColor="text1"/>
                  <w:sz w:val="20"/>
                  <w:szCs w:val="20"/>
                  <w:shd w:val="clear" w:color="auto" w:fill="FFFFFF"/>
                  <w:lang w:val="ro-RO"/>
                </w:rPr>
                <w:t> </w:t>
              </w:r>
              <w:r w:rsidRPr="00684853">
                <w:rPr>
                  <w:rStyle w:val="superscript"/>
                  <w:rFonts w:ascii="Times New Roman" w:eastAsia="Arial Unicode MS" w:hAnsi="Times New Roman" w:cs="Times New Roman"/>
                  <w:color w:val="000000" w:themeColor="text1"/>
                  <w:sz w:val="20"/>
                  <w:szCs w:val="20"/>
                  <w:shd w:val="clear" w:color="auto" w:fill="FFFFFF"/>
                  <w:lang w:val="ro-RO"/>
                </w:rPr>
                <w:t>9</w:t>
              </w:r>
              <w:r w:rsidRPr="00684853">
                <w:rPr>
                  <w:rStyle w:val="Hyperlink"/>
                  <w:rFonts w:ascii="Times New Roman" w:eastAsia="Arial Unicode MS" w:hAnsi="Times New Roman" w:cs="Times New Roman"/>
                  <w:color w:val="000000" w:themeColor="text1"/>
                  <w:sz w:val="20"/>
                  <w:szCs w:val="20"/>
                  <w:shd w:val="clear" w:color="auto" w:fill="FFFFFF"/>
                  <w:lang w:val="ro-RO"/>
                </w:rPr>
                <w:t> </w:t>
              </w:r>
            </w:hyperlink>
            <w:r w:rsidRPr="00684853">
              <w:rPr>
                <w:rFonts w:ascii="Times New Roman" w:eastAsia="Arial Unicode MS" w:hAnsi="Times New Roman" w:cs="Times New Roman"/>
                <w:color w:val="000000" w:themeColor="text1"/>
                <w:sz w:val="20"/>
                <w:szCs w:val="20"/>
                <w:shd w:val="clear" w:color="auto" w:fill="FFFFFF"/>
                <w:lang w:val="ro-RO"/>
              </w:rPr>
              <w:t>)</w:t>
            </w:r>
            <w:r w:rsidRPr="00684853">
              <w:rPr>
                <w:rFonts w:ascii="Times New Roman" w:hAnsi="Times New Roman" w:cs="Times New Roman"/>
                <w:color w:val="000000" w:themeColor="text1"/>
                <w:sz w:val="20"/>
                <w:szCs w:val="20"/>
                <w:lang w:val="ro-RO"/>
              </w:rPr>
              <w:t>;</w:t>
            </w:r>
          </w:p>
        </w:tc>
        <w:tc>
          <w:tcPr>
            <w:tcW w:w="1636" w:type="pct"/>
          </w:tcPr>
          <w:p w14:paraId="252932CB" w14:textId="7D6F54BE" w:rsidR="00395381" w:rsidRPr="00684853" w:rsidRDefault="00B75BD0" w:rsidP="002327B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organism de plasament colectiv (OPC)</w:t>
            </w:r>
            <w:r w:rsidRPr="00684853">
              <w:rPr>
                <w:rFonts w:ascii="Times New Roman" w:hAnsi="Times New Roman" w:cs="Times New Roman"/>
                <w:bCs/>
                <w:color w:val="000000" w:themeColor="text1"/>
                <w:sz w:val="20"/>
                <w:szCs w:val="20"/>
                <w:lang w:val="ro-RO"/>
              </w:rPr>
              <w:t xml:space="preserve"> – organism de plasament colectiv în valori mobiliare (OPCVM) din Republica Moldova sau din alt stat, astfel cum este definit la art.6 din Legea nr.171 din 11 iulie 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(Monitorul Oficial al Republicii Moldova, 2012, nr.193-197, art.665); un fond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alternative (FIA) din statul străin astfel cum este definit la punctul 78 din prezentul regulament;</w:t>
            </w:r>
          </w:p>
        </w:tc>
        <w:tc>
          <w:tcPr>
            <w:tcW w:w="562" w:type="pct"/>
          </w:tcPr>
          <w:p w14:paraId="388E6D7D"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885" w:type="pct"/>
          </w:tcPr>
          <w:p w14:paraId="4B0B22C9" w14:textId="03E42A54" w:rsidR="00395381" w:rsidRPr="00684853" w:rsidRDefault="00395381" w:rsidP="002327B0">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p.3 din </w:t>
            </w:r>
            <w:r w:rsidRPr="00684853">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de</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„organism de plasament colectiv (OPC).</w:t>
            </w:r>
          </w:p>
          <w:p w14:paraId="054252B6" w14:textId="77777777" w:rsidR="00395381" w:rsidRPr="00684853" w:rsidRDefault="00395381" w:rsidP="002327B0">
            <w:pPr>
              <w:jc w:val="both"/>
              <w:rPr>
                <w:rFonts w:ascii="Times New Roman" w:hAnsi="Times New Roman" w:cs="Times New Roman"/>
                <w:color w:val="000000" w:themeColor="text1"/>
                <w:sz w:val="20"/>
                <w:szCs w:val="20"/>
                <w:lang w:val="ro-RO"/>
              </w:rPr>
            </w:pPr>
          </w:p>
        </w:tc>
      </w:tr>
      <w:tr w:rsidR="00EA59FA" w:rsidRPr="00684853" w14:paraId="7E443CF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770EC991"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8. </w:t>
            </w:r>
            <w:r w:rsidRPr="00684853">
              <w:rPr>
                <w:rFonts w:ascii="Times New Roman" w:hAnsi="Times New Roman" w:cs="Times New Roman"/>
                <w:color w:val="000000" w:themeColor="text1"/>
                <w:sz w:val="20"/>
                <w:szCs w:val="20"/>
                <w:lang w:val="ro-RO"/>
              </w:rPr>
              <w:t>„entitate din sectorul public”</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înseamnă un organism administrativ fără caracter comercial subordonat administrațiilor centrale, administrațiilor regionale, autorităților locale sau autorităților care exercită aceleași atribuții ca și autoritățile regionale și locale, sau o întreprindere necomercială deținută sau înființată și finanțată de administrațiile centrale, de administrațiile regionale sau de autoritățile locale și care beneficiază de acorduri de garantare explicite și care poate include organisme autonome guvernate prin lege și aflate sub supraveghere publică;</w:t>
            </w:r>
          </w:p>
        </w:tc>
        <w:tc>
          <w:tcPr>
            <w:tcW w:w="1636" w:type="pct"/>
          </w:tcPr>
          <w:p w14:paraId="0D57B4DE" w14:textId="318916BB" w:rsidR="00395381" w:rsidRPr="00684853" w:rsidRDefault="00B75BD0"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entitate din sectorul public – </w:t>
            </w:r>
            <w:r w:rsidRPr="00684853">
              <w:rPr>
                <w:rFonts w:ascii="Times New Roman" w:hAnsi="Times New Roman" w:cs="Times New Roman"/>
                <w:bCs/>
                <w:color w:val="000000" w:themeColor="text1"/>
                <w:sz w:val="20"/>
                <w:szCs w:val="20"/>
                <w:lang w:val="ro-RO"/>
              </w:rPr>
              <w:t xml:space="preserve">un organism administrativ fără caracter comercial subordonat </w:t>
            </w:r>
            <w:proofErr w:type="spellStart"/>
            <w:r w:rsidRPr="00684853">
              <w:rPr>
                <w:rFonts w:ascii="Times New Roman" w:hAnsi="Times New Roman" w:cs="Times New Roman"/>
                <w:bCs/>
                <w:color w:val="000000" w:themeColor="text1"/>
                <w:sz w:val="20"/>
                <w:szCs w:val="20"/>
                <w:lang w:val="ro-RO"/>
              </w:rPr>
              <w:t>administraţiilor</w:t>
            </w:r>
            <w:proofErr w:type="spellEnd"/>
            <w:r w:rsidRPr="00684853">
              <w:rPr>
                <w:rFonts w:ascii="Times New Roman" w:hAnsi="Times New Roman" w:cs="Times New Roman"/>
                <w:bCs/>
                <w:color w:val="000000" w:themeColor="text1"/>
                <w:sz w:val="20"/>
                <w:szCs w:val="20"/>
                <w:lang w:val="ro-RO"/>
              </w:rPr>
              <w:t xml:space="preserve"> centrale, regionale, </w:t>
            </w:r>
            <w:proofErr w:type="spellStart"/>
            <w:r w:rsidRPr="00684853">
              <w:rPr>
                <w:rFonts w:ascii="Times New Roman" w:hAnsi="Times New Roman" w:cs="Times New Roman"/>
                <w:bCs/>
                <w:color w:val="000000" w:themeColor="text1"/>
                <w:sz w:val="20"/>
                <w:szCs w:val="20"/>
                <w:lang w:val="ro-RO"/>
              </w:rPr>
              <w:t>autorităţilor</w:t>
            </w:r>
            <w:proofErr w:type="spellEnd"/>
            <w:r w:rsidRPr="00684853">
              <w:rPr>
                <w:rFonts w:ascii="Times New Roman" w:hAnsi="Times New Roman" w:cs="Times New Roman"/>
                <w:bCs/>
                <w:color w:val="000000" w:themeColor="text1"/>
                <w:sz w:val="20"/>
                <w:szCs w:val="20"/>
                <w:lang w:val="ro-RO"/>
              </w:rPr>
              <w:t xml:space="preserve"> locale sau celor care exercită </w:t>
            </w:r>
            <w:proofErr w:type="spellStart"/>
            <w:r w:rsidRPr="00684853">
              <w:rPr>
                <w:rFonts w:ascii="Times New Roman" w:hAnsi="Times New Roman" w:cs="Times New Roman"/>
                <w:bCs/>
                <w:color w:val="000000" w:themeColor="text1"/>
                <w:sz w:val="20"/>
                <w:szCs w:val="20"/>
                <w:lang w:val="ro-RO"/>
              </w:rPr>
              <w:t>aceleaşi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atribuţii</w:t>
            </w:r>
            <w:proofErr w:type="spellEnd"/>
            <w:r w:rsidRPr="00684853">
              <w:rPr>
                <w:rFonts w:ascii="Times New Roman" w:hAnsi="Times New Roman" w:cs="Times New Roman"/>
                <w:bCs/>
                <w:color w:val="000000" w:themeColor="text1"/>
                <w:sz w:val="20"/>
                <w:szCs w:val="20"/>
                <w:lang w:val="ro-RO"/>
              </w:rPr>
              <w:t xml:space="preserve"> ca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autorităţile</w:t>
            </w:r>
            <w:proofErr w:type="spellEnd"/>
            <w:r w:rsidRPr="00684853">
              <w:rPr>
                <w:rFonts w:ascii="Times New Roman" w:hAnsi="Times New Roman" w:cs="Times New Roman"/>
                <w:bCs/>
                <w:color w:val="000000" w:themeColor="text1"/>
                <w:sz w:val="20"/>
                <w:szCs w:val="20"/>
                <w:lang w:val="ro-RO"/>
              </w:rPr>
              <w:t xml:space="preserve"> regionale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locale, sau o </w:t>
            </w:r>
            <w:proofErr w:type="spellStart"/>
            <w:r w:rsidRPr="00684853">
              <w:rPr>
                <w:rFonts w:ascii="Times New Roman" w:hAnsi="Times New Roman" w:cs="Times New Roman"/>
                <w:bCs/>
                <w:color w:val="000000" w:themeColor="text1"/>
                <w:sz w:val="20"/>
                <w:szCs w:val="20"/>
                <w:lang w:val="ro-RO"/>
              </w:rPr>
              <w:t>organizaţie</w:t>
            </w:r>
            <w:proofErr w:type="spellEnd"/>
            <w:r w:rsidRPr="00684853">
              <w:rPr>
                <w:rFonts w:ascii="Times New Roman" w:hAnsi="Times New Roman" w:cs="Times New Roman"/>
                <w:bCs/>
                <w:color w:val="000000" w:themeColor="text1"/>
                <w:sz w:val="20"/>
                <w:szCs w:val="20"/>
                <w:lang w:val="ro-RO"/>
              </w:rPr>
              <w:t xml:space="preserve"> necomercială </w:t>
            </w:r>
            <w:proofErr w:type="spellStart"/>
            <w:r w:rsidRPr="00684853">
              <w:rPr>
                <w:rFonts w:ascii="Times New Roman" w:hAnsi="Times New Roman" w:cs="Times New Roman"/>
                <w:bCs/>
                <w:color w:val="000000" w:themeColor="text1"/>
                <w:sz w:val="20"/>
                <w:szCs w:val="20"/>
                <w:lang w:val="ro-RO"/>
              </w:rPr>
              <w:t>deţinută</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înfiinţată</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finanţată</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administraţiile</w:t>
            </w:r>
            <w:proofErr w:type="spellEnd"/>
            <w:r w:rsidRPr="00684853">
              <w:rPr>
                <w:rFonts w:ascii="Times New Roman" w:hAnsi="Times New Roman" w:cs="Times New Roman"/>
                <w:bCs/>
                <w:color w:val="000000" w:themeColor="text1"/>
                <w:sz w:val="20"/>
                <w:szCs w:val="20"/>
                <w:lang w:val="ro-RO"/>
              </w:rPr>
              <w:t xml:space="preserve"> centrale, regionale sau de </w:t>
            </w:r>
            <w:proofErr w:type="spellStart"/>
            <w:r w:rsidRPr="00684853">
              <w:rPr>
                <w:rFonts w:ascii="Times New Roman" w:hAnsi="Times New Roman" w:cs="Times New Roman"/>
                <w:bCs/>
                <w:color w:val="000000" w:themeColor="text1"/>
                <w:sz w:val="20"/>
                <w:szCs w:val="20"/>
                <w:lang w:val="ro-RO"/>
              </w:rPr>
              <w:t>autorităţile</w:t>
            </w:r>
            <w:proofErr w:type="spellEnd"/>
            <w:r w:rsidRPr="00684853">
              <w:rPr>
                <w:rFonts w:ascii="Times New Roman" w:hAnsi="Times New Roman" w:cs="Times New Roman"/>
                <w:bCs/>
                <w:color w:val="000000" w:themeColor="text1"/>
                <w:sz w:val="20"/>
                <w:szCs w:val="20"/>
                <w:lang w:val="ro-RO"/>
              </w:rPr>
              <w:t xml:space="preserve"> locale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beneficiază de acorduri de garantare explicite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poate include organisme autonome guvernate prin lege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aflate sub supraveghere publică;</w:t>
            </w:r>
          </w:p>
        </w:tc>
        <w:tc>
          <w:tcPr>
            <w:tcW w:w="562" w:type="pct"/>
          </w:tcPr>
          <w:p w14:paraId="78C25F6B"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885" w:type="pct"/>
          </w:tcPr>
          <w:p w14:paraId="53D3839B" w14:textId="0A7C4B2A" w:rsidR="00395381" w:rsidRPr="00684853" w:rsidRDefault="00395381" w:rsidP="00BD5CB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p.3 din </w:t>
            </w:r>
            <w:r w:rsidRPr="00684853">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de</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„entitate din sectorul public”.</w:t>
            </w:r>
          </w:p>
        </w:tc>
      </w:tr>
      <w:tr w:rsidR="00EA59FA" w:rsidRPr="00684853" w14:paraId="0665242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AE49EAA" w14:textId="77777777" w:rsidR="00395381" w:rsidRPr="00684853" w:rsidRDefault="00395381" w:rsidP="002327B0">
            <w:pPr>
              <w:pStyle w:val="CM4"/>
              <w:spacing w:after="120"/>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9.</w:t>
            </w:r>
            <w:r w:rsidRPr="00684853">
              <w:rPr>
                <w:rFonts w:ascii="Times New Roman" w:eastAsia="Arial Unicode MS" w:hAnsi="Times New Roman"/>
                <w:color w:val="000000" w:themeColor="text1"/>
                <w:sz w:val="20"/>
                <w:szCs w:val="20"/>
                <w:lang w:val="ro-RO"/>
              </w:rPr>
              <w:t xml:space="preserve"> „organ de conducere” înseamnă organ de conducere astfel cum este definit la articolul 3 alineatul (1) punctul 7 din Directiva 2013/36/UE;</w:t>
            </w:r>
          </w:p>
        </w:tc>
        <w:tc>
          <w:tcPr>
            <w:tcW w:w="1636" w:type="pct"/>
          </w:tcPr>
          <w:p w14:paraId="4FA790D6" w14:textId="5B94B224" w:rsidR="00395381" w:rsidRPr="00684853" w:rsidRDefault="00B75BD0"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organ de conducere – </w:t>
            </w:r>
            <w:r w:rsidRPr="00684853">
              <w:rPr>
                <w:rFonts w:ascii="Times New Roman" w:hAnsi="Times New Roman" w:cs="Times New Roman"/>
                <w:bCs/>
                <w:color w:val="000000" w:themeColor="text1"/>
                <w:sz w:val="20"/>
                <w:szCs w:val="20"/>
                <w:lang w:val="ro-RO"/>
              </w:rPr>
              <w:t xml:space="preserve">organele unei bănci care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numite în conformitate cu </w:t>
            </w:r>
            <w:proofErr w:type="spellStart"/>
            <w:r w:rsidRPr="00684853">
              <w:rPr>
                <w:rFonts w:ascii="Times New Roman" w:hAnsi="Times New Roman" w:cs="Times New Roman"/>
                <w:bCs/>
                <w:color w:val="000000" w:themeColor="text1"/>
                <w:sz w:val="20"/>
                <w:szCs w:val="20"/>
                <w:lang w:val="ro-RO"/>
              </w:rPr>
              <w:t>legislaţia</w:t>
            </w:r>
            <w:proofErr w:type="spellEnd"/>
            <w:r w:rsidRPr="00684853">
              <w:rPr>
                <w:rFonts w:ascii="Times New Roman" w:hAnsi="Times New Roman" w:cs="Times New Roman"/>
                <w:bCs/>
                <w:color w:val="000000" w:themeColor="text1"/>
                <w:sz w:val="20"/>
                <w:szCs w:val="20"/>
                <w:lang w:val="ro-RO"/>
              </w:rPr>
              <w:t xml:space="preserve"> aplicabilă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împuternicite să stabilească strategia, obiectivele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orientarea generală ale băncii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supraveghează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monitorizează procesul decizional de conducere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persoanele fizice care conduc în mod efectiv activitatea băncii;</w:t>
            </w:r>
          </w:p>
        </w:tc>
        <w:tc>
          <w:tcPr>
            <w:tcW w:w="562" w:type="pct"/>
          </w:tcPr>
          <w:p w14:paraId="6A6C3A9B"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5511367B" w14:textId="3973A78B" w:rsidR="00395381" w:rsidRPr="00684853" w:rsidRDefault="00395381" w:rsidP="002327B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 din 6 octombrie 2017 privind activitatea băncilor </w:t>
            </w:r>
            <w:r w:rsidRPr="00684853">
              <w:rPr>
                <w:rFonts w:ascii="Times New Roman" w:hAnsi="Times New Roman" w:cs="Times New Roman"/>
                <w:color w:val="000000" w:themeColor="text1"/>
                <w:sz w:val="20"/>
                <w:szCs w:val="20"/>
                <w:lang w:val="ro-RO"/>
              </w:rPr>
              <w:t>prin noțiunea „organ de conducere”.</w:t>
            </w:r>
          </w:p>
          <w:p w14:paraId="1063F549" w14:textId="77777777" w:rsidR="00395381" w:rsidRPr="00684853" w:rsidRDefault="00395381" w:rsidP="002327B0">
            <w:pPr>
              <w:jc w:val="both"/>
              <w:rPr>
                <w:rFonts w:ascii="Times New Roman" w:hAnsi="Times New Roman" w:cs="Times New Roman"/>
                <w:color w:val="000000" w:themeColor="text1"/>
                <w:sz w:val="20"/>
                <w:szCs w:val="20"/>
                <w:lang w:val="ro-RO"/>
              </w:rPr>
            </w:pPr>
          </w:p>
        </w:tc>
      </w:tr>
      <w:tr w:rsidR="00EA59FA" w:rsidRPr="00684853" w14:paraId="3896482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12927DC" w14:textId="77777777" w:rsidR="00395381" w:rsidRPr="00684853" w:rsidRDefault="00395381" w:rsidP="002327B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10. </w:t>
            </w:r>
            <w:r w:rsidRPr="00684853">
              <w:rPr>
                <w:rFonts w:ascii="Times New Roman" w:eastAsia="Arial Unicode MS" w:hAnsi="Times New Roman"/>
                <w:color w:val="000000" w:themeColor="text1"/>
                <w:sz w:val="20"/>
                <w:szCs w:val="20"/>
                <w:lang w:val="ro-RO"/>
              </w:rPr>
              <w:t>„conducere superioară” înseamnă conducere superioară astfel cum este definită la articolul 3 alineatul (1) punctul 9 din Directiva 2013/36/UE;</w:t>
            </w:r>
          </w:p>
        </w:tc>
        <w:tc>
          <w:tcPr>
            <w:tcW w:w="1636" w:type="pct"/>
          </w:tcPr>
          <w:p w14:paraId="52EB237F"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p>
        </w:tc>
        <w:tc>
          <w:tcPr>
            <w:tcW w:w="562" w:type="pct"/>
          </w:tcPr>
          <w:p w14:paraId="21BDB3A7"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05A1D275" w14:textId="10769D4C"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Nu </w:t>
            </w:r>
            <w:r w:rsidR="00823626" w:rsidRPr="00684853">
              <w:rPr>
                <w:rFonts w:ascii="Times New Roman" w:hAnsi="Times New Roman" w:cs="Times New Roman"/>
                <w:color w:val="000000" w:themeColor="text1"/>
                <w:sz w:val="20"/>
                <w:szCs w:val="20"/>
                <w:lang w:val="ro-RO"/>
              </w:rPr>
              <w:t>este</w:t>
            </w:r>
            <w:r w:rsidRPr="00684853">
              <w:rPr>
                <w:rFonts w:ascii="Times New Roman" w:hAnsi="Times New Roman" w:cs="Times New Roman"/>
                <w:color w:val="000000" w:themeColor="text1"/>
                <w:sz w:val="20"/>
                <w:szCs w:val="20"/>
                <w:lang w:val="ro-RO"/>
              </w:rPr>
              <w:t xml:space="preserve"> utilizat</w:t>
            </w:r>
            <w:r w:rsidR="00823626" w:rsidRPr="00684853">
              <w:rPr>
                <w:rFonts w:ascii="Times New Roman" w:hAnsi="Times New Roman" w:cs="Times New Roman"/>
                <w:color w:val="000000" w:themeColor="text1"/>
                <w:sz w:val="20"/>
                <w:szCs w:val="20"/>
                <w:lang w:val="ro-RO"/>
              </w:rPr>
              <w:t>ă</w:t>
            </w:r>
            <w:r w:rsidRPr="00684853">
              <w:rPr>
                <w:rFonts w:ascii="Times New Roman" w:hAnsi="Times New Roman" w:cs="Times New Roman"/>
                <w:color w:val="000000" w:themeColor="text1"/>
                <w:sz w:val="20"/>
                <w:szCs w:val="20"/>
                <w:lang w:val="ro-RO"/>
              </w:rPr>
              <w:t xml:space="preserve"> ca noțiune și este transpusă în reglementările BNM ca </w:t>
            </w:r>
            <w:r w:rsidRPr="00684853">
              <w:rPr>
                <w:rFonts w:ascii="Times New Roman" w:hAnsi="Times New Roman" w:cs="Times New Roman"/>
                <w:color w:val="000000" w:themeColor="text1"/>
                <w:sz w:val="20"/>
                <w:szCs w:val="20"/>
                <w:lang w:val="ro-RO"/>
              </w:rPr>
              <w:lastRenderedPageBreak/>
              <w:t>referință directă la „consiliul băncii”.</w:t>
            </w:r>
          </w:p>
        </w:tc>
      </w:tr>
      <w:tr w:rsidR="00EA59FA" w:rsidRPr="00684853" w14:paraId="09412EB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7"/>
        </w:trPr>
        <w:tc>
          <w:tcPr>
            <w:tcW w:w="1916" w:type="pct"/>
          </w:tcPr>
          <w:p w14:paraId="785B3724" w14:textId="77777777" w:rsidR="00395381" w:rsidRPr="00684853" w:rsidRDefault="00395381" w:rsidP="002327B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 xml:space="preserve">11. </w:t>
            </w:r>
            <w:r w:rsidRPr="00684853">
              <w:rPr>
                <w:rFonts w:ascii="Times New Roman" w:eastAsia="Arial Unicode MS" w:hAnsi="Times New Roman"/>
                <w:color w:val="000000" w:themeColor="text1"/>
                <w:sz w:val="20"/>
                <w:szCs w:val="20"/>
                <w:lang w:val="ro-RO"/>
              </w:rPr>
              <w:t>„risc sistemic” înseamnă risc sistemic astfel cum este definit la articolul 3 alineatul (1) punctul 10 din Directiva 2013/36/UE;</w:t>
            </w:r>
          </w:p>
        </w:tc>
        <w:tc>
          <w:tcPr>
            <w:tcW w:w="1636" w:type="pct"/>
          </w:tcPr>
          <w:p w14:paraId="5E5F66A6" w14:textId="60EC1EF7" w:rsidR="00395381" w:rsidRPr="00684853" w:rsidRDefault="00E57BFC" w:rsidP="002327B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risc sistemic – </w:t>
            </w:r>
            <w:r w:rsidRPr="00684853">
              <w:rPr>
                <w:rFonts w:ascii="Times New Roman" w:hAnsi="Times New Roman" w:cs="Times New Roman"/>
                <w:bCs/>
                <w:color w:val="000000" w:themeColor="text1"/>
                <w:sz w:val="20"/>
                <w:szCs w:val="20"/>
                <w:lang w:val="ro-RO"/>
              </w:rPr>
              <w:t xml:space="preserve">riscul de perturbare a sistemului financiar, care poate avea </w:t>
            </w:r>
            <w:proofErr w:type="spellStart"/>
            <w:r w:rsidRPr="00684853">
              <w:rPr>
                <w:rFonts w:ascii="Times New Roman" w:hAnsi="Times New Roman" w:cs="Times New Roman"/>
                <w:bCs/>
                <w:color w:val="000000" w:themeColor="text1"/>
                <w:sz w:val="20"/>
                <w:szCs w:val="20"/>
                <w:lang w:val="ro-RO"/>
              </w:rPr>
              <w:t>consecinţe</w:t>
            </w:r>
            <w:proofErr w:type="spellEnd"/>
            <w:r w:rsidRPr="00684853">
              <w:rPr>
                <w:rFonts w:ascii="Times New Roman" w:hAnsi="Times New Roman" w:cs="Times New Roman"/>
                <w:bCs/>
                <w:color w:val="000000" w:themeColor="text1"/>
                <w:sz w:val="20"/>
                <w:szCs w:val="20"/>
                <w:lang w:val="ro-RO"/>
              </w:rPr>
              <w:t xml:space="preserve"> negative foarte grave pentru sistemul financiar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economia reală;</w:t>
            </w:r>
          </w:p>
        </w:tc>
        <w:tc>
          <w:tcPr>
            <w:tcW w:w="562" w:type="pct"/>
          </w:tcPr>
          <w:p w14:paraId="0CF1D0D7" w14:textId="77777777"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885" w:type="pct"/>
          </w:tcPr>
          <w:p w14:paraId="33E5761D" w14:textId="73F0AE50" w:rsidR="00395381" w:rsidRPr="00684853" w:rsidRDefault="00395381"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 „risc sistemic”</w:t>
            </w:r>
            <w:r w:rsidRPr="00684853">
              <w:rPr>
                <w:rFonts w:ascii="Times New Roman" w:hAnsi="Times New Roman" w:cs="Times New Roman"/>
                <w:b/>
                <w:color w:val="000000" w:themeColor="text1"/>
                <w:sz w:val="20"/>
                <w:szCs w:val="20"/>
                <w:lang w:val="ro-RO"/>
              </w:rPr>
              <w:t>.</w:t>
            </w:r>
          </w:p>
        </w:tc>
      </w:tr>
      <w:tr w:rsidR="00EA59FA" w:rsidRPr="00684853" w14:paraId="2FE5088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4A9BC68" w14:textId="548E91F3" w:rsidR="00395381" w:rsidRPr="00684853" w:rsidRDefault="00823626" w:rsidP="002327B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Pct. </w:t>
            </w:r>
            <w:r w:rsidR="00395381" w:rsidRPr="00684853">
              <w:rPr>
                <w:rFonts w:ascii="Times New Roman" w:eastAsia="Arial Unicode MS" w:hAnsi="Times New Roman"/>
                <w:b/>
                <w:color w:val="000000" w:themeColor="text1"/>
                <w:sz w:val="20"/>
                <w:szCs w:val="20"/>
                <w:lang w:val="ro-RO"/>
              </w:rPr>
              <w:t xml:space="preserve">12. </w:t>
            </w:r>
            <w:r w:rsidRPr="00684853">
              <w:rPr>
                <w:rFonts w:ascii="Times New Roman" w:eastAsia="Arial Unicode MS" w:hAnsi="Times New Roman"/>
                <w:color w:val="000000" w:themeColor="text1"/>
                <w:sz w:val="20"/>
                <w:szCs w:val="20"/>
                <w:lang w:val="ro-RO"/>
              </w:rPr>
              <w:t>e</w:t>
            </w:r>
            <w:r w:rsidR="00C91E91" w:rsidRPr="00684853">
              <w:rPr>
                <w:rFonts w:ascii="Times New Roman" w:eastAsia="Arial Unicode MS" w:hAnsi="Times New Roman"/>
                <w:color w:val="000000" w:themeColor="text1"/>
                <w:sz w:val="20"/>
                <w:szCs w:val="20"/>
                <w:lang w:val="ro-RO"/>
              </w:rPr>
              <w:t>liminat prin M1</w:t>
            </w:r>
            <w:r w:rsidR="00665EA5" w:rsidRPr="00684853">
              <w:rPr>
                <w:rFonts w:ascii="Times New Roman" w:eastAsia="Arial Unicode MS" w:hAnsi="Times New Roman"/>
                <w:color w:val="000000" w:themeColor="text1"/>
                <w:sz w:val="20"/>
                <w:szCs w:val="20"/>
                <w:lang w:val="ro-RO"/>
              </w:rPr>
              <w:t>7</w:t>
            </w:r>
            <w:r w:rsidR="00C91E91" w:rsidRPr="00684853">
              <w:rPr>
                <w:rFonts w:ascii="Times New Roman" w:eastAsia="Arial Unicode MS" w:hAnsi="Times New Roman"/>
                <w:color w:val="000000" w:themeColor="text1"/>
                <w:sz w:val="20"/>
                <w:szCs w:val="20"/>
                <w:lang w:val="ro-RO"/>
              </w:rPr>
              <w:t xml:space="preserve"> (Regulamentul UE 2024/1623)</w:t>
            </w:r>
          </w:p>
        </w:tc>
        <w:tc>
          <w:tcPr>
            <w:tcW w:w="1636" w:type="pct"/>
          </w:tcPr>
          <w:p w14:paraId="1EADB5C7" w14:textId="77777777" w:rsidR="00395381" w:rsidRPr="00684853" w:rsidRDefault="00395381" w:rsidP="002327B0">
            <w:pPr>
              <w:spacing w:after="0" w:line="276" w:lineRule="auto"/>
              <w:jc w:val="both"/>
              <w:rPr>
                <w:rFonts w:ascii="Times New Roman" w:hAnsi="Times New Roman" w:cs="Times New Roman"/>
                <w:b/>
                <w:color w:val="000000" w:themeColor="text1"/>
                <w:sz w:val="20"/>
                <w:szCs w:val="20"/>
                <w:lang w:val="ro-RO"/>
              </w:rPr>
            </w:pPr>
          </w:p>
        </w:tc>
        <w:tc>
          <w:tcPr>
            <w:tcW w:w="562" w:type="pct"/>
          </w:tcPr>
          <w:p w14:paraId="09235E86" w14:textId="21424F9B" w:rsidR="00395381" w:rsidRPr="00684853" w:rsidRDefault="00E57BFC" w:rsidP="002327B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 </w:t>
            </w:r>
          </w:p>
        </w:tc>
        <w:tc>
          <w:tcPr>
            <w:tcW w:w="885" w:type="pct"/>
          </w:tcPr>
          <w:p w14:paraId="2CEDFC3E" w14:textId="0061E2B2" w:rsidR="00395381" w:rsidRPr="00684853" w:rsidRDefault="00395381" w:rsidP="002327B0">
            <w:pPr>
              <w:rPr>
                <w:rFonts w:ascii="Times New Roman" w:hAnsi="Times New Roman" w:cs="Times New Roman"/>
                <w:color w:val="000000" w:themeColor="text1"/>
                <w:sz w:val="20"/>
                <w:szCs w:val="20"/>
                <w:lang w:val="ro-RO"/>
              </w:rPr>
            </w:pPr>
          </w:p>
        </w:tc>
      </w:tr>
      <w:tr w:rsidR="00EA59FA" w:rsidRPr="00684853" w14:paraId="241E12E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083FEBB" w14:textId="464287ED" w:rsidR="00395381" w:rsidRPr="00684853" w:rsidRDefault="00395381" w:rsidP="004C1560">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13. </w:t>
            </w:r>
            <w:r w:rsidRPr="00684853">
              <w:rPr>
                <w:rFonts w:ascii="Times New Roman" w:eastAsia="Arial Unicode MS" w:hAnsi="Times New Roman"/>
                <w:color w:val="000000" w:themeColor="text1"/>
                <w:sz w:val="20"/>
                <w:szCs w:val="20"/>
                <w:lang w:val="ro-RO"/>
              </w:rPr>
              <w:t xml:space="preserve">„inițiator” înseamnă </w:t>
            </w:r>
            <w:r w:rsidRPr="00684853">
              <w:rPr>
                <w:rFonts w:ascii="Times New Roman" w:eastAsia="Arial Unicode MS" w:hAnsi="Times New Roman"/>
                <w:color w:val="000000" w:themeColor="text1"/>
                <w:sz w:val="20"/>
                <w:szCs w:val="20"/>
                <w:shd w:val="clear" w:color="auto" w:fill="FFFFFF"/>
                <w:lang w:val="ro-RO"/>
              </w:rPr>
              <w:t xml:space="preserve"> un inițiator astfel cum este definit la articolul 2 punctul 3 din Regulamentul (UE) 2017/2402</w:t>
            </w:r>
            <w:r w:rsidRPr="00684853">
              <w:rPr>
                <w:rFonts w:ascii="Times New Roman" w:eastAsia="Malgun Gothic Semilight" w:hAnsi="Times New Roman"/>
                <w:color w:val="000000" w:themeColor="text1"/>
                <w:sz w:val="20"/>
                <w:szCs w:val="20"/>
                <w:shd w:val="clear" w:color="auto" w:fill="FFFFFF"/>
                <w:lang w:val="ro-RO"/>
              </w:rPr>
              <w:t> </w:t>
            </w:r>
            <w:r w:rsidRPr="00684853">
              <w:rPr>
                <w:rFonts w:ascii="Times New Roman" w:eastAsia="Arial Unicode MS" w:hAnsi="Times New Roman"/>
                <w:color w:val="000000" w:themeColor="text1"/>
                <w:sz w:val="20"/>
                <w:szCs w:val="20"/>
                <w:shd w:val="clear" w:color="auto" w:fill="FFFFFF"/>
                <w:lang w:val="ro-RO"/>
              </w:rPr>
              <w:t>(</w:t>
            </w:r>
            <w:hyperlink r:id="rId20" w:anchor="E0010" w:history="1">
              <w:r w:rsidRPr="00684853">
                <w:rPr>
                  <w:rStyle w:val="Hyperlink"/>
                  <w:rFonts w:ascii="Times New Roman" w:eastAsia="Arial Unicode MS" w:hAnsi="Times New Roman"/>
                  <w:color w:val="000000" w:themeColor="text1"/>
                  <w:sz w:val="20"/>
                  <w:szCs w:val="20"/>
                  <w:shd w:val="clear" w:color="auto" w:fill="FFFFFF"/>
                  <w:lang w:val="ro-RO"/>
                </w:rPr>
                <w:t> </w:t>
              </w:r>
              <w:r w:rsidRPr="00684853">
                <w:rPr>
                  <w:rStyle w:val="superscript"/>
                  <w:rFonts w:ascii="Times New Roman" w:eastAsia="Arial Unicode MS" w:hAnsi="Times New Roman"/>
                  <w:color w:val="000000" w:themeColor="text1"/>
                  <w:sz w:val="20"/>
                  <w:szCs w:val="20"/>
                  <w:shd w:val="clear" w:color="auto" w:fill="FFFFFF"/>
                  <w:lang w:val="ro-RO"/>
                </w:rPr>
                <w:t>10</w:t>
              </w:r>
              <w:r w:rsidRPr="00684853">
                <w:rPr>
                  <w:rStyle w:val="Hyperlink"/>
                  <w:rFonts w:ascii="Times New Roman" w:eastAsia="Arial Unicode MS" w:hAnsi="Times New Roman"/>
                  <w:color w:val="000000" w:themeColor="text1"/>
                  <w:sz w:val="20"/>
                  <w:szCs w:val="20"/>
                  <w:shd w:val="clear" w:color="auto" w:fill="FFFFFF"/>
                  <w:lang w:val="ro-RO"/>
                </w:rPr>
                <w:t> </w:t>
              </w:r>
            </w:hyperlink>
            <w:r w:rsidRPr="00684853">
              <w:rPr>
                <w:rFonts w:ascii="Times New Roman" w:eastAsia="Arial Unicode MS" w:hAnsi="Times New Roman"/>
                <w:color w:val="000000" w:themeColor="text1"/>
                <w:sz w:val="20"/>
                <w:szCs w:val="20"/>
                <w:shd w:val="clear" w:color="auto" w:fill="FFFFFF"/>
                <w:lang w:val="ro-RO"/>
              </w:rPr>
              <w:t>);</w:t>
            </w:r>
          </w:p>
          <w:p w14:paraId="5E94E730" w14:textId="6AA8C47D" w:rsidR="00395381" w:rsidRPr="00684853" w:rsidRDefault="00395381" w:rsidP="004C1560">
            <w:pPr>
              <w:rPr>
                <w:rFonts w:ascii="Times New Roman" w:eastAsia="Arial Unicode MS" w:hAnsi="Times New Roman" w:cs="Times New Roman"/>
                <w:color w:val="000000" w:themeColor="text1"/>
                <w:sz w:val="20"/>
                <w:szCs w:val="20"/>
                <w:lang w:val="ro-RO"/>
              </w:rPr>
            </w:pPr>
          </w:p>
        </w:tc>
        <w:tc>
          <w:tcPr>
            <w:tcW w:w="1636" w:type="pct"/>
          </w:tcPr>
          <w:p w14:paraId="117617B3" w14:textId="77777777" w:rsidR="00395381" w:rsidRPr="00684853" w:rsidRDefault="00395381" w:rsidP="004C1560">
            <w:pPr>
              <w:spacing w:after="0" w:line="276" w:lineRule="auto"/>
              <w:jc w:val="both"/>
              <w:rPr>
                <w:rFonts w:ascii="Times New Roman" w:hAnsi="Times New Roman" w:cs="Times New Roman"/>
                <w:b/>
                <w:color w:val="000000" w:themeColor="text1"/>
                <w:sz w:val="20"/>
                <w:szCs w:val="20"/>
                <w:lang w:val="ro-RO"/>
              </w:rPr>
            </w:pPr>
          </w:p>
        </w:tc>
        <w:tc>
          <w:tcPr>
            <w:tcW w:w="562" w:type="pct"/>
          </w:tcPr>
          <w:p w14:paraId="7A77D9C8" w14:textId="6786F23C" w:rsidR="00395381" w:rsidRPr="00684853" w:rsidRDefault="002F79A6"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vMerge w:val="restart"/>
          </w:tcPr>
          <w:p w14:paraId="62EAD0DB" w14:textId="2328ABFF" w:rsidR="00395381" w:rsidRPr="00684853" w:rsidRDefault="00160DB6" w:rsidP="00BD5CB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transpun prin proiectul Hotărârii CE al BNM „Pentru aprobarea Regulamentului privind tratamentul prudențial al securitizărilor”.</w:t>
            </w:r>
          </w:p>
        </w:tc>
      </w:tr>
      <w:tr w:rsidR="00EA59FA" w:rsidRPr="00684853" w14:paraId="113C532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0C7DA59" w14:textId="28711251" w:rsidR="00395381" w:rsidRPr="00684853" w:rsidRDefault="00395381" w:rsidP="00CF33C7">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14. </w:t>
            </w:r>
            <w:r w:rsidRPr="00684853">
              <w:rPr>
                <w:rFonts w:ascii="Times New Roman" w:eastAsia="Arial Unicode MS" w:hAnsi="Times New Roman"/>
                <w:color w:val="000000" w:themeColor="text1"/>
                <w:sz w:val="20"/>
                <w:szCs w:val="20"/>
                <w:lang w:val="ro-RO"/>
              </w:rPr>
              <w:t xml:space="preserve">„sponsor” înseamnă </w:t>
            </w:r>
            <w:r w:rsidRPr="00684853">
              <w:rPr>
                <w:rFonts w:ascii="Times New Roman" w:eastAsia="Arial Unicode MS" w:hAnsi="Times New Roman"/>
                <w:color w:val="000000" w:themeColor="text1"/>
                <w:sz w:val="20"/>
                <w:szCs w:val="20"/>
                <w:shd w:val="clear" w:color="auto" w:fill="FFFFFF"/>
                <w:lang w:val="ro-RO"/>
              </w:rPr>
              <w:t>un sponsor astfel cum este definit la articolul 2 punctul 5 din Regulamentul (UE) 2017/2402;</w:t>
            </w:r>
          </w:p>
        </w:tc>
        <w:tc>
          <w:tcPr>
            <w:tcW w:w="1636" w:type="pct"/>
          </w:tcPr>
          <w:p w14:paraId="7E10452C" w14:textId="77777777" w:rsidR="00395381" w:rsidRPr="00684853" w:rsidRDefault="00395381" w:rsidP="004C1560">
            <w:pPr>
              <w:spacing w:after="0" w:line="276" w:lineRule="auto"/>
              <w:jc w:val="both"/>
              <w:rPr>
                <w:rFonts w:ascii="Times New Roman" w:hAnsi="Times New Roman" w:cs="Times New Roman"/>
                <w:b/>
                <w:color w:val="000000" w:themeColor="text1"/>
                <w:sz w:val="20"/>
                <w:szCs w:val="20"/>
                <w:lang w:val="ro-RO"/>
              </w:rPr>
            </w:pPr>
          </w:p>
        </w:tc>
        <w:tc>
          <w:tcPr>
            <w:tcW w:w="562" w:type="pct"/>
          </w:tcPr>
          <w:p w14:paraId="513A95B4" w14:textId="14D888C4" w:rsidR="00395381" w:rsidRPr="00684853" w:rsidRDefault="002F79A6"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vMerge/>
          </w:tcPr>
          <w:p w14:paraId="4F8E09CF" w14:textId="5FE54E18" w:rsidR="00395381" w:rsidRPr="00684853" w:rsidRDefault="00395381" w:rsidP="004C1560">
            <w:pPr>
              <w:jc w:val="both"/>
              <w:rPr>
                <w:rFonts w:ascii="Times New Roman" w:hAnsi="Times New Roman" w:cs="Times New Roman"/>
                <w:color w:val="000000" w:themeColor="text1"/>
                <w:sz w:val="20"/>
                <w:szCs w:val="20"/>
                <w:lang w:val="ro-RO"/>
              </w:rPr>
            </w:pPr>
          </w:p>
        </w:tc>
      </w:tr>
      <w:tr w:rsidR="00EA59FA" w:rsidRPr="00684853" w14:paraId="7904471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B09C63C" w14:textId="77777777" w:rsidR="00CD5E39" w:rsidRPr="00684853" w:rsidRDefault="00CD5E39" w:rsidP="00CF33C7">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M5</w:t>
            </w:r>
          </w:p>
          <w:p w14:paraId="3855D243" w14:textId="05488B04" w:rsidR="001F678D" w:rsidRPr="00684853" w:rsidRDefault="001F678D" w:rsidP="00CF33C7">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
                <w:color w:val="000000" w:themeColor="text1"/>
                <w:sz w:val="20"/>
                <w:szCs w:val="20"/>
                <w:lang w:val="ro-RO"/>
              </w:rPr>
              <w:t>14a.</w:t>
            </w:r>
            <w:r w:rsidRPr="00684853">
              <w:rPr>
                <w:rFonts w:ascii="Times New Roman" w:eastAsia="Arial Unicode MS" w:hAnsi="Times New Roman"/>
                <w:bCs/>
                <w:color w:val="000000" w:themeColor="text1"/>
                <w:sz w:val="20"/>
                <w:szCs w:val="20"/>
                <w:lang w:val="ro-RO"/>
              </w:rPr>
              <w:t xml:space="preserve"> „creditor inițial” înseamnă un creditor inițial astfel cum este definit la articolul 2 punctul 20 din Regulamentul (UE) 2017/2402;</w:t>
            </w:r>
          </w:p>
        </w:tc>
        <w:tc>
          <w:tcPr>
            <w:tcW w:w="1636" w:type="pct"/>
          </w:tcPr>
          <w:p w14:paraId="4F701839" w14:textId="77777777" w:rsidR="001F678D" w:rsidRPr="00684853" w:rsidRDefault="001F678D" w:rsidP="004C1560">
            <w:pPr>
              <w:spacing w:after="0" w:line="276" w:lineRule="auto"/>
              <w:jc w:val="both"/>
              <w:rPr>
                <w:rFonts w:ascii="Times New Roman" w:hAnsi="Times New Roman" w:cs="Times New Roman"/>
                <w:b/>
                <w:color w:val="000000" w:themeColor="text1"/>
                <w:sz w:val="20"/>
                <w:szCs w:val="20"/>
                <w:lang w:val="ro-RO"/>
              </w:rPr>
            </w:pPr>
          </w:p>
        </w:tc>
        <w:tc>
          <w:tcPr>
            <w:tcW w:w="562" w:type="pct"/>
          </w:tcPr>
          <w:p w14:paraId="1A5E3247" w14:textId="494E2790" w:rsidR="001F678D" w:rsidRPr="00684853" w:rsidRDefault="001F678D"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2ABB9307" w14:textId="17F1D0DC" w:rsidR="001F678D" w:rsidRPr="00684853" w:rsidRDefault="00BE5BB2"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Proiectul Hotărârii CE al BNM „Pentru aprobarea Regulamentului privind tratamentul prudențial al securitizărilor</w:t>
            </w:r>
          </w:p>
        </w:tc>
      </w:tr>
      <w:tr w:rsidR="00EA59FA" w:rsidRPr="00684853" w14:paraId="6E96D0A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19F9BF7" w14:textId="77777777" w:rsidR="00665EA5" w:rsidRPr="00684853" w:rsidRDefault="00665EA5" w:rsidP="004C1560">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M17</w:t>
            </w:r>
          </w:p>
          <w:p w14:paraId="251EFE7E" w14:textId="32E64AAF" w:rsidR="00395381" w:rsidRPr="00684853" w:rsidRDefault="00395381" w:rsidP="00BE5BB2">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15. </w:t>
            </w:r>
            <w:r w:rsidRPr="00684853">
              <w:rPr>
                <w:rFonts w:ascii="Times New Roman" w:eastAsia="Arial Unicode MS" w:hAnsi="Times New Roman"/>
                <w:color w:val="000000" w:themeColor="text1"/>
                <w:sz w:val="20"/>
                <w:szCs w:val="20"/>
                <w:lang w:val="ro-RO"/>
              </w:rPr>
              <w:t xml:space="preserve">„întreprindere-mamă” </w:t>
            </w:r>
            <w:proofErr w:type="spellStart"/>
            <w:r w:rsidRPr="00684853">
              <w:rPr>
                <w:rFonts w:ascii="Times New Roman" w:eastAsia="Arial Unicode MS" w:hAnsi="Times New Roman"/>
                <w:color w:val="000000" w:themeColor="text1"/>
                <w:sz w:val="20"/>
                <w:szCs w:val="20"/>
                <w:lang w:val="ro-RO"/>
              </w:rPr>
              <w:t>înseamnă</w:t>
            </w:r>
            <w:r w:rsidR="004E70DC" w:rsidRPr="00684853">
              <w:rPr>
                <w:rFonts w:ascii="Times New Roman" w:eastAsia="Arial Unicode MS" w:hAnsi="Times New Roman"/>
                <w:color w:val="000000" w:themeColor="text1"/>
                <w:sz w:val="20"/>
                <w:szCs w:val="20"/>
                <w:lang w:val="ro-RO"/>
              </w:rPr>
              <w:t>o</w:t>
            </w:r>
            <w:proofErr w:type="spellEnd"/>
            <w:r w:rsidR="004E70DC" w:rsidRPr="00684853">
              <w:rPr>
                <w:rFonts w:ascii="Times New Roman" w:eastAsia="Arial Unicode MS" w:hAnsi="Times New Roman"/>
                <w:color w:val="000000" w:themeColor="text1"/>
                <w:sz w:val="20"/>
                <w:szCs w:val="20"/>
                <w:lang w:val="ro-RO"/>
              </w:rPr>
              <w:t xml:space="preserve"> </w:t>
            </w:r>
            <w:r w:rsidR="00C91E91" w:rsidRPr="00684853">
              <w:rPr>
                <w:rFonts w:ascii="Times New Roman" w:eastAsia="Arial Unicode MS" w:hAnsi="Times New Roman"/>
                <w:color w:val="000000" w:themeColor="text1"/>
                <w:sz w:val="20"/>
                <w:szCs w:val="20"/>
                <w:lang w:val="ro-RO"/>
              </w:rPr>
              <w:t>întreprindere care controlează, în sensul punctului 37, una sau mai multe întreprinderi</w:t>
            </w:r>
            <w:r w:rsidRPr="00684853">
              <w:rPr>
                <w:rFonts w:ascii="Times New Roman" w:eastAsia="Arial Unicode MS" w:hAnsi="Times New Roman"/>
                <w:color w:val="000000" w:themeColor="text1"/>
                <w:sz w:val="20"/>
                <w:szCs w:val="20"/>
                <w:lang w:val="ro-RO"/>
              </w:rPr>
              <w:t>;</w:t>
            </w:r>
          </w:p>
        </w:tc>
        <w:tc>
          <w:tcPr>
            <w:tcW w:w="1636" w:type="pct"/>
          </w:tcPr>
          <w:p w14:paraId="3F9758FA"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întreprindere-mamă</w:t>
            </w:r>
            <w:r w:rsidRPr="00684853">
              <w:rPr>
                <w:rFonts w:ascii="Times New Roman" w:hAnsi="Times New Roman" w:cs="Times New Roman"/>
                <w:bCs/>
                <w:color w:val="000000" w:themeColor="text1"/>
                <w:sz w:val="20"/>
                <w:szCs w:val="20"/>
                <w:lang w:val="ro-RO"/>
              </w:rPr>
              <w:t xml:space="preserve"> – persoană care se află în oricare dintre următoarele </w:t>
            </w:r>
            <w:proofErr w:type="spellStart"/>
            <w:r w:rsidRPr="00684853">
              <w:rPr>
                <w:rFonts w:ascii="Times New Roman" w:hAnsi="Times New Roman" w:cs="Times New Roman"/>
                <w:bCs/>
                <w:color w:val="000000" w:themeColor="text1"/>
                <w:sz w:val="20"/>
                <w:szCs w:val="20"/>
                <w:lang w:val="ro-RO"/>
              </w:rPr>
              <w:t>situaţii</w:t>
            </w:r>
            <w:proofErr w:type="spellEnd"/>
            <w:r w:rsidRPr="00684853">
              <w:rPr>
                <w:rFonts w:ascii="Times New Roman" w:hAnsi="Times New Roman" w:cs="Times New Roman"/>
                <w:bCs/>
                <w:color w:val="000000" w:themeColor="text1"/>
                <w:sz w:val="20"/>
                <w:szCs w:val="20"/>
                <w:lang w:val="ro-RO"/>
              </w:rPr>
              <w:t>:</w:t>
            </w:r>
          </w:p>
          <w:p w14:paraId="2C3D36E7"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 are majoritatea drepturilor de vot într-o altă persoană (filială);</w:t>
            </w:r>
          </w:p>
          <w:p w14:paraId="43700BB7"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are dreptul de a numi sau de a înlocui majoritatea membrilor organului de conducere al altei persoane (filiale)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este în </w:t>
            </w:r>
            <w:proofErr w:type="spellStart"/>
            <w:r w:rsidRPr="00684853">
              <w:rPr>
                <w:rFonts w:ascii="Times New Roman" w:hAnsi="Times New Roman" w:cs="Times New Roman"/>
                <w:bCs/>
                <w:color w:val="000000" w:themeColor="text1"/>
                <w:sz w:val="20"/>
                <w:szCs w:val="20"/>
                <w:lang w:val="ro-RO"/>
              </w:rPr>
              <w:t>acelaşi</w:t>
            </w:r>
            <w:proofErr w:type="spellEnd"/>
            <w:r w:rsidRPr="00684853">
              <w:rPr>
                <w:rFonts w:ascii="Times New Roman" w:hAnsi="Times New Roman" w:cs="Times New Roman"/>
                <w:bCs/>
                <w:color w:val="000000" w:themeColor="text1"/>
                <w:sz w:val="20"/>
                <w:szCs w:val="20"/>
                <w:lang w:val="ro-RO"/>
              </w:rPr>
              <w:t xml:space="preserve"> timp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/asociat sau membru al acelei persoane (filiale);</w:t>
            </w:r>
          </w:p>
          <w:p w14:paraId="3C7E567B"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are dreptul de a exercita o </w:t>
            </w:r>
            <w:proofErr w:type="spellStart"/>
            <w:r w:rsidRPr="00684853">
              <w:rPr>
                <w:rFonts w:ascii="Times New Roman" w:hAnsi="Times New Roman" w:cs="Times New Roman"/>
                <w:bCs/>
                <w:color w:val="000000" w:themeColor="text1"/>
                <w:sz w:val="20"/>
                <w:szCs w:val="20"/>
                <w:lang w:val="ro-RO"/>
              </w:rPr>
              <w:t>influenţă</w:t>
            </w:r>
            <w:proofErr w:type="spellEnd"/>
            <w:r w:rsidRPr="00684853">
              <w:rPr>
                <w:rFonts w:ascii="Times New Roman" w:hAnsi="Times New Roman" w:cs="Times New Roman"/>
                <w:bCs/>
                <w:color w:val="000000" w:themeColor="text1"/>
                <w:sz w:val="20"/>
                <w:szCs w:val="20"/>
                <w:lang w:val="ro-RO"/>
              </w:rPr>
              <w:t xml:space="preserve"> dominantă asupra unei persoane (filiale), fiind sau nefiind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ori </w:t>
            </w:r>
            <w:r w:rsidRPr="00684853">
              <w:rPr>
                <w:rFonts w:ascii="Times New Roman" w:hAnsi="Times New Roman" w:cs="Times New Roman"/>
                <w:bCs/>
                <w:color w:val="000000" w:themeColor="text1"/>
                <w:sz w:val="20"/>
                <w:szCs w:val="20"/>
                <w:lang w:val="ro-RO"/>
              </w:rPr>
              <w:lastRenderedPageBreak/>
              <w:t xml:space="preserve">membru al acesteia, în virtutea unui contract încheiat cu acea persoană (filială) sau a unor prevederi din actul de constituire al persoanei (filialei), în cazul în care </w:t>
            </w:r>
            <w:proofErr w:type="spellStart"/>
            <w:r w:rsidRPr="00684853">
              <w:rPr>
                <w:rFonts w:ascii="Times New Roman" w:hAnsi="Times New Roman" w:cs="Times New Roman"/>
                <w:bCs/>
                <w:color w:val="000000" w:themeColor="text1"/>
                <w:sz w:val="20"/>
                <w:szCs w:val="20"/>
                <w:lang w:val="ro-RO"/>
              </w:rPr>
              <w:t>legislaţia</w:t>
            </w:r>
            <w:proofErr w:type="spellEnd"/>
            <w:r w:rsidRPr="00684853">
              <w:rPr>
                <w:rFonts w:ascii="Times New Roman" w:hAnsi="Times New Roman" w:cs="Times New Roman"/>
                <w:bCs/>
                <w:color w:val="000000" w:themeColor="text1"/>
                <w:sz w:val="20"/>
                <w:szCs w:val="20"/>
                <w:lang w:val="ro-RO"/>
              </w:rPr>
              <w:t xml:space="preserve"> aplicabilă persoanei (filialei) îi permite acesteia să fie supusă unor astfel de contracte sau prevederi;</w:t>
            </w:r>
          </w:p>
          <w:p w14:paraId="55C86ED8"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d) este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sau membru al unei persoane (filiale)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majoritatea membrilor organului de conducere al acelei persoane (filiale),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w:t>
            </w:r>
            <w:proofErr w:type="spellStart"/>
            <w:r w:rsidRPr="00684853">
              <w:rPr>
                <w:rFonts w:ascii="Times New Roman" w:hAnsi="Times New Roman" w:cs="Times New Roman"/>
                <w:bCs/>
                <w:color w:val="000000" w:themeColor="text1"/>
                <w:sz w:val="20"/>
                <w:szCs w:val="20"/>
                <w:lang w:val="ro-RO"/>
              </w:rPr>
              <w:t>funcţie</w:t>
            </w:r>
            <w:proofErr w:type="spellEnd"/>
            <w:r w:rsidRPr="00684853">
              <w:rPr>
                <w:rFonts w:ascii="Times New Roman" w:hAnsi="Times New Roman" w:cs="Times New Roman"/>
                <w:bCs/>
                <w:color w:val="000000" w:themeColor="text1"/>
                <w:sz w:val="20"/>
                <w:szCs w:val="20"/>
                <w:lang w:val="ro-RO"/>
              </w:rPr>
              <w:t xml:space="preserve"> în perioada de gestiune în curs, în perioada de gestiune anterioară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pînă</w:t>
            </w:r>
            <w:proofErr w:type="spellEnd"/>
            <w:r w:rsidRPr="00684853">
              <w:rPr>
                <w:rFonts w:ascii="Times New Roman" w:hAnsi="Times New Roman" w:cs="Times New Roman"/>
                <w:bCs/>
                <w:color w:val="000000" w:themeColor="text1"/>
                <w:sz w:val="20"/>
                <w:szCs w:val="20"/>
                <w:lang w:val="ro-RO"/>
              </w:rPr>
              <w:t xml:space="preserve"> la data la care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întocmite </w:t>
            </w:r>
            <w:proofErr w:type="spellStart"/>
            <w:r w:rsidRPr="00684853">
              <w:rPr>
                <w:rFonts w:ascii="Times New Roman" w:hAnsi="Times New Roman" w:cs="Times New Roman"/>
                <w:bCs/>
                <w:color w:val="000000" w:themeColor="text1"/>
                <w:sz w:val="20"/>
                <w:szCs w:val="20"/>
                <w:lang w:val="ro-RO"/>
              </w:rPr>
              <w:t>situaţiile</w:t>
            </w:r>
            <w:proofErr w:type="spellEnd"/>
            <w:r w:rsidRPr="00684853">
              <w:rPr>
                <w:rFonts w:ascii="Times New Roman" w:hAnsi="Times New Roman" w:cs="Times New Roman"/>
                <w:bCs/>
                <w:color w:val="000000" w:themeColor="text1"/>
                <w:sz w:val="20"/>
                <w:szCs w:val="20"/>
                <w:lang w:val="ro-RO"/>
              </w:rPr>
              <w:t xml:space="preserve"> financiare anuale consolidate, au fost </w:t>
            </w:r>
            <w:proofErr w:type="spellStart"/>
            <w:r w:rsidRPr="00684853">
              <w:rPr>
                <w:rFonts w:ascii="Times New Roman" w:hAnsi="Times New Roman" w:cs="Times New Roman"/>
                <w:bCs/>
                <w:color w:val="000000" w:themeColor="text1"/>
                <w:sz w:val="20"/>
                <w:szCs w:val="20"/>
                <w:lang w:val="ro-RO"/>
              </w:rPr>
              <w:t>numiţi</w:t>
            </w:r>
            <w:proofErr w:type="spellEnd"/>
            <w:r w:rsidRPr="00684853">
              <w:rPr>
                <w:rFonts w:ascii="Times New Roman" w:hAnsi="Times New Roman" w:cs="Times New Roman"/>
                <w:bCs/>
                <w:color w:val="000000" w:themeColor="text1"/>
                <w:sz w:val="20"/>
                <w:szCs w:val="20"/>
                <w:lang w:val="ro-RO"/>
              </w:rPr>
              <w:t xml:space="preserve"> ca urmare a exercitării drepturilor lor de vot; această prevedere nu se aplică în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în care o altă persoană are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filială drepturile prevăzute la </w:t>
            </w:r>
            <w:proofErr w:type="spellStart"/>
            <w:r w:rsidRPr="00684853">
              <w:rPr>
                <w:rFonts w:ascii="Times New Roman" w:hAnsi="Times New Roman" w:cs="Times New Roman"/>
                <w:bCs/>
                <w:color w:val="000000" w:themeColor="text1"/>
                <w:sz w:val="20"/>
                <w:szCs w:val="20"/>
                <w:lang w:val="ro-RO"/>
              </w:rPr>
              <w:t>lit.a</w:t>
            </w:r>
            <w:proofErr w:type="spellEnd"/>
            <w:r w:rsidRPr="00684853">
              <w:rPr>
                <w:rFonts w:ascii="Times New Roman" w:hAnsi="Times New Roman" w:cs="Times New Roman"/>
                <w:bCs/>
                <w:color w:val="000000" w:themeColor="text1"/>
                <w:sz w:val="20"/>
                <w:szCs w:val="20"/>
                <w:lang w:val="ro-RO"/>
              </w:rPr>
              <w:t>), b) sau c);</w:t>
            </w:r>
          </w:p>
          <w:p w14:paraId="05513D39" w14:textId="77777777" w:rsidR="00486F40"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e) este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sau membru al unei persoane (filiale)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controlează singură, în baza unui acord încheiat cu </w:t>
            </w:r>
            <w:proofErr w:type="spellStart"/>
            <w:r w:rsidRPr="00684853">
              <w:rPr>
                <w:rFonts w:ascii="Times New Roman" w:hAnsi="Times New Roman" w:cs="Times New Roman"/>
                <w:bCs/>
                <w:color w:val="000000" w:themeColor="text1"/>
                <w:sz w:val="20"/>
                <w:szCs w:val="20"/>
                <w:lang w:val="ro-RO"/>
              </w:rPr>
              <w:t>alţi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acţionari</w:t>
            </w:r>
            <w:proofErr w:type="spellEnd"/>
            <w:r w:rsidRPr="00684853">
              <w:rPr>
                <w:rFonts w:ascii="Times New Roman" w:hAnsi="Times New Roman" w:cs="Times New Roman"/>
                <w:bCs/>
                <w:color w:val="000000" w:themeColor="text1"/>
                <w:sz w:val="20"/>
                <w:szCs w:val="20"/>
                <w:lang w:val="ro-RO"/>
              </w:rPr>
              <w:t>/</w:t>
            </w:r>
            <w:proofErr w:type="spellStart"/>
            <w:r w:rsidRPr="00684853">
              <w:rPr>
                <w:rFonts w:ascii="Times New Roman" w:hAnsi="Times New Roman" w:cs="Times New Roman"/>
                <w:bCs/>
                <w:color w:val="000000" w:themeColor="text1"/>
                <w:sz w:val="20"/>
                <w:szCs w:val="20"/>
                <w:lang w:val="ro-RO"/>
              </w:rPr>
              <w:t>asociaţi</w:t>
            </w:r>
            <w:proofErr w:type="spellEnd"/>
            <w:r w:rsidRPr="00684853">
              <w:rPr>
                <w:rFonts w:ascii="Times New Roman" w:hAnsi="Times New Roman" w:cs="Times New Roman"/>
                <w:bCs/>
                <w:color w:val="000000" w:themeColor="text1"/>
                <w:sz w:val="20"/>
                <w:szCs w:val="20"/>
                <w:lang w:val="ro-RO"/>
              </w:rPr>
              <w:t xml:space="preserve"> sau membri ai acelei persoane (filiale), majoritatea drepturilor de vot în acea filială;</w:t>
            </w:r>
          </w:p>
          <w:p w14:paraId="3115F51A" w14:textId="18A664A3" w:rsidR="00395381" w:rsidRPr="00684853" w:rsidRDefault="00486F40" w:rsidP="00486F4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 exercită efectiv </w:t>
            </w:r>
            <w:proofErr w:type="spellStart"/>
            <w:r w:rsidRPr="00684853">
              <w:rPr>
                <w:rFonts w:ascii="Times New Roman" w:hAnsi="Times New Roman" w:cs="Times New Roman"/>
                <w:bCs/>
                <w:color w:val="000000" w:themeColor="text1"/>
                <w:sz w:val="20"/>
                <w:szCs w:val="20"/>
                <w:lang w:val="ro-RO"/>
              </w:rPr>
              <w:t>influenţă</w:t>
            </w:r>
            <w:proofErr w:type="spellEnd"/>
            <w:r w:rsidRPr="00684853">
              <w:rPr>
                <w:rFonts w:ascii="Times New Roman" w:hAnsi="Times New Roman" w:cs="Times New Roman"/>
                <w:bCs/>
                <w:color w:val="000000" w:themeColor="text1"/>
                <w:sz w:val="20"/>
                <w:szCs w:val="20"/>
                <w:lang w:val="ro-RO"/>
              </w:rPr>
              <w:t xml:space="preserve"> dominantă asupra altei persoane (filiale) conform criteriilor prevăzute în actele normative ale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w:t>
            </w:r>
          </w:p>
        </w:tc>
        <w:tc>
          <w:tcPr>
            <w:tcW w:w="562" w:type="pct"/>
          </w:tcPr>
          <w:p w14:paraId="3268AB4E"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885" w:type="pct"/>
          </w:tcPr>
          <w:p w14:paraId="7480A666" w14:textId="2D6AB0CA" w:rsidR="00395381" w:rsidRPr="00684853" w:rsidRDefault="00395381" w:rsidP="004C1560">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„întreprindere-mamă”</w:t>
            </w:r>
            <w:r w:rsidRPr="00684853">
              <w:rPr>
                <w:rFonts w:ascii="Times New Roman" w:hAnsi="Times New Roman" w:cs="Times New Roman"/>
                <w:b/>
                <w:color w:val="000000" w:themeColor="text1"/>
                <w:sz w:val="20"/>
                <w:szCs w:val="20"/>
                <w:lang w:val="ro-RO"/>
              </w:rPr>
              <w:t>.</w:t>
            </w:r>
          </w:p>
          <w:p w14:paraId="067C99CF" w14:textId="77777777" w:rsidR="00395381" w:rsidRPr="00684853" w:rsidRDefault="00395381" w:rsidP="004C1560">
            <w:pPr>
              <w:jc w:val="both"/>
              <w:rPr>
                <w:rFonts w:ascii="Times New Roman" w:hAnsi="Times New Roman" w:cs="Times New Roman"/>
                <w:color w:val="000000" w:themeColor="text1"/>
                <w:sz w:val="20"/>
                <w:szCs w:val="20"/>
                <w:lang w:val="ro-RO"/>
              </w:rPr>
            </w:pPr>
          </w:p>
        </w:tc>
      </w:tr>
      <w:tr w:rsidR="00EA59FA" w:rsidRPr="00684853" w14:paraId="3A73537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46A9550" w14:textId="51445062" w:rsidR="004B398B" w:rsidRPr="00684853" w:rsidRDefault="004B398B" w:rsidP="004C1560">
            <w:pPr>
              <w:pStyle w:val="CM4"/>
              <w:spacing w:after="120"/>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M17</w:t>
            </w:r>
          </w:p>
          <w:p w14:paraId="2AD04455" w14:textId="36D280FA" w:rsidR="00395381" w:rsidRPr="00684853" w:rsidRDefault="00395381" w:rsidP="004C1560">
            <w:pPr>
              <w:pStyle w:val="CM4"/>
              <w:spacing w:after="120"/>
              <w:jc w:val="both"/>
              <w:rPr>
                <w:rFonts w:ascii="Times New Roman" w:eastAsia="Arial Unicode MS"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16. </w:t>
            </w:r>
            <w:r w:rsidRPr="00684853">
              <w:rPr>
                <w:rFonts w:ascii="Times New Roman" w:eastAsia="Arial Unicode MS" w:hAnsi="Times New Roman"/>
                <w:color w:val="000000" w:themeColor="text1"/>
                <w:sz w:val="20"/>
                <w:szCs w:val="20"/>
                <w:lang w:val="ro-RO"/>
              </w:rPr>
              <w:t>„filială” înseamnă</w:t>
            </w:r>
          </w:p>
          <w:p w14:paraId="578C7F24" w14:textId="037CA3B7" w:rsidR="00395381" w:rsidRPr="00684853" w:rsidRDefault="004B398B" w:rsidP="004C1560">
            <w:pPr>
              <w:rPr>
                <w:rFonts w:ascii="Times New Roman" w:hAnsi="Times New Roman" w:cs="Times New Roman"/>
                <w:color w:val="000000" w:themeColor="text1"/>
                <w:sz w:val="20"/>
                <w:szCs w:val="20"/>
                <w:lang w:val="ro-RO"/>
              </w:rPr>
            </w:pPr>
            <w:r w:rsidRPr="00684853">
              <w:rPr>
                <w:color w:val="000000" w:themeColor="text1"/>
              </w:rPr>
              <w:t xml:space="preserve"> </w:t>
            </w:r>
            <w:r w:rsidRPr="00684853">
              <w:rPr>
                <w:rFonts w:ascii="Times New Roman" w:eastAsia="Arial Unicode MS" w:hAnsi="Times New Roman" w:cs="Times New Roman"/>
                <w:color w:val="000000" w:themeColor="text1"/>
                <w:sz w:val="20"/>
                <w:szCs w:val="20"/>
                <w:lang w:val="ro-RO"/>
              </w:rPr>
              <w:t>o întreprindere care este controlată, în sensul punctului 37, de o altă întreprindere; filialele unei filiale sunt considerate de asemenea a fi filiale ale întreprinderii care este întreprinderea lor mamă inițială;</w:t>
            </w:r>
          </w:p>
        </w:tc>
        <w:tc>
          <w:tcPr>
            <w:tcW w:w="1636" w:type="pct"/>
          </w:tcPr>
          <w:p w14:paraId="43F66763" w14:textId="5B5E2429" w:rsidR="00395381" w:rsidRPr="00684853" w:rsidRDefault="00635C6D" w:rsidP="004C156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filială</w:t>
            </w:r>
            <w:r w:rsidRPr="00684853">
              <w:rPr>
                <w:rFonts w:ascii="Times New Roman" w:hAnsi="Times New Roman" w:cs="Times New Roman"/>
                <w:bCs/>
                <w:color w:val="000000" w:themeColor="text1"/>
                <w:sz w:val="20"/>
                <w:szCs w:val="20"/>
                <w:lang w:val="ro-RO"/>
              </w:rPr>
              <w:t xml:space="preserve"> – persoană juridică aflată în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cu o întreprindere-mamă, în una dintre </w:t>
            </w:r>
            <w:proofErr w:type="spellStart"/>
            <w:r w:rsidRPr="00684853">
              <w:rPr>
                <w:rFonts w:ascii="Times New Roman" w:hAnsi="Times New Roman" w:cs="Times New Roman"/>
                <w:bCs/>
                <w:color w:val="000000" w:themeColor="text1"/>
                <w:sz w:val="20"/>
                <w:szCs w:val="20"/>
                <w:lang w:val="ro-RO"/>
              </w:rPr>
              <w:t>situaţiile</w:t>
            </w:r>
            <w:proofErr w:type="spellEnd"/>
            <w:r w:rsidRPr="00684853">
              <w:rPr>
                <w:rFonts w:ascii="Times New Roman" w:hAnsi="Times New Roman" w:cs="Times New Roman"/>
                <w:bCs/>
                <w:color w:val="000000" w:themeColor="text1"/>
                <w:sz w:val="20"/>
                <w:szCs w:val="20"/>
                <w:lang w:val="ro-RO"/>
              </w:rPr>
              <w:t xml:space="preserve"> prevăzute la </w:t>
            </w:r>
            <w:proofErr w:type="spellStart"/>
            <w:r w:rsidRPr="00684853">
              <w:rPr>
                <w:rFonts w:ascii="Times New Roman" w:hAnsi="Times New Roman" w:cs="Times New Roman"/>
                <w:bCs/>
                <w:color w:val="000000" w:themeColor="text1"/>
                <w:sz w:val="20"/>
                <w:szCs w:val="20"/>
                <w:lang w:val="ro-RO"/>
              </w:rPr>
              <w:t>noţiunea</w:t>
            </w:r>
            <w:proofErr w:type="spellEnd"/>
            <w:r w:rsidRPr="00684853">
              <w:rPr>
                <w:rFonts w:ascii="Times New Roman" w:hAnsi="Times New Roman" w:cs="Times New Roman"/>
                <w:bCs/>
                <w:color w:val="000000" w:themeColor="text1"/>
                <w:sz w:val="20"/>
                <w:szCs w:val="20"/>
                <w:lang w:val="ro-RO"/>
              </w:rPr>
              <w:t xml:space="preserve"> "întreprindere-mamă". Filialele unei filiale se consideră filiale ale întreprinderii care este întreprinderea-mamă </w:t>
            </w:r>
            <w:proofErr w:type="spellStart"/>
            <w:r w:rsidRPr="00684853">
              <w:rPr>
                <w:rFonts w:ascii="Times New Roman" w:hAnsi="Times New Roman" w:cs="Times New Roman"/>
                <w:bCs/>
                <w:color w:val="000000" w:themeColor="text1"/>
                <w:sz w:val="20"/>
                <w:szCs w:val="20"/>
                <w:lang w:val="ro-RO"/>
              </w:rPr>
              <w:t>iniţială</w:t>
            </w:r>
            <w:proofErr w:type="spellEnd"/>
            <w:r w:rsidRPr="00684853">
              <w:rPr>
                <w:rFonts w:ascii="Times New Roman" w:hAnsi="Times New Roman" w:cs="Times New Roman"/>
                <w:bCs/>
                <w:color w:val="000000" w:themeColor="text1"/>
                <w:sz w:val="20"/>
                <w:szCs w:val="20"/>
                <w:lang w:val="ro-RO"/>
              </w:rPr>
              <w:t>;</w:t>
            </w:r>
          </w:p>
        </w:tc>
        <w:tc>
          <w:tcPr>
            <w:tcW w:w="562" w:type="pct"/>
          </w:tcPr>
          <w:p w14:paraId="5EE91C9A"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2FFB1F68" w14:textId="19DD741C" w:rsidR="00395381" w:rsidRPr="00684853" w:rsidRDefault="00395381" w:rsidP="004C1560">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„filială”</w:t>
            </w:r>
            <w:r w:rsidRPr="00684853">
              <w:rPr>
                <w:rFonts w:ascii="Times New Roman" w:hAnsi="Times New Roman" w:cs="Times New Roman"/>
                <w:b/>
                <w:color w:val="000000" w:themeColor="text1"/>
                <w:sz w:val="20"/>
                <w:szCs w:val="20"/>
                <w:lang w:val="ro-RO"/>
              </w:rPr>
              <w:t>.</w:t>
            </w:r>
          </w:p>
          <w:p w14:paraId="4FF09BFE" w14:textId="77777777" w:rsidR="00395381" w:rsidRPr="00684853" w:rsidRDefault="00395381" w:rsidP="004C1560">
            <w:pPr>
              <w:jc w:val="both"/>
              <w:rPr>
                <w:rFonts w:ascii="Times New Roman" w:hAnsi="Times New Roman" w:cs="Times New Roman"/>
                <w:color w:val="000000" w:themeColor="text1"/>
                <w:sz w:val="20"/>
                <w:szCs w:val="20"/>
                <w:lang w:val="ro-RO"/>
              </w:rPr>
            </w:pPr>
          </w:p>
        </w:tc>
      </w:tr>
      <w:tr w:rsidR="00EA59FA" w:rsidRPr="00684853" w14:paraId="5725028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5560A11" w14:textId="77777777" w:rsidR="00395381" w:rsidRPr="00684853" w:rsidRDefault="00395381" w:rsidP="004C1560">
            <w:pPr>
              <w:pStyle w:val="CM4"/>
              <w:spacing w:after="120"/>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17.</w:t>
            </w:r>
            <w:r w:rsidRPr="00684853">
              <w:rPr>
                <w:rFonts w:ascii="Times New Roman" w:eastAsia="Arial Unicode MS" w:hAnsi="Times New Roman"/>
                <w:color w:val="000000" w:themeColor="text1"/>
                <w:sz w:val="20"/>
                <w:szCs w:val="20"/>
                <w:lang w:val="ro-RO"/>
              </w:rPr>
              <w:t xml:space="preserve"> „sucursală” înseamnă un punct de lucru care reprezintă o parte dependentă din punct de vedere juridic de o instituție și care </w:t>
            </w:r>
            <w:r w:rsidRPr="00684853">
              <w:rPr>
                <w:rFonts w:ascii="Times New Roman" w:eastAsia="Arial Unicode MS" w:hAnsi="Times New Roman"/>
                <w:color w:val="000000" w:themeColor="text1"/>
                <w:sz w:val="20"/>
                <w:szCs w:val="20"/>
                <w:lang w:val="ro-RO"/>
              </w:rPr>
              <w:lastRenderedPageBreak/>
              <w:t>desfășoară direct toate sau unele dintre tranzacțiile specifice activității instituțiilor;</w:t>
            </w:r>
          </w:p>
        </w:tc>
        <w:tc>
          <w:tcPr>
            <w:tcW w:w="1636" w:type="pct"/>
          </w:tcPr>
          <w:p w14:paraId="00CD2877" w14:textId="74130691" w:rsidR="00395381" w:rsidRPr="00684853" w:rsidRDefault="00D37970"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sucursală – </w:t>
            </w:r>
            <w:r w:rsidRPr="00684853">
              <w:rPr>
                <w:rFonts w:ascii="Times New Roman" w:hAnsi="Times New Roman" w:cs="Times New Roman"/>
                <w:bCs/>
                <w:color w:val="000000" w:themeColor="text1"/>
                <w:sz w:val="20"/>
                <w:szCs w:val="20"/>
                <w:lang w:val="ro-RO"/>
              </w:rPr>
              <w:t xml:space="preserve">subdiviziune separată a băncii, care este o parte dependentă din punct de vedere juridic de banca </w:t>
            </w:r>
            <w:r w:rsidRPr="00684853">
              <w:rPr>
                <w:rFonts w:ascii="Times New Roman" w:hAnsi="Times New Roman" w:cs="Times New Roman"/>
                <w:bCs/>
                <w:color w:val="000000" w:themeColor="text1"/>
                <w:sz w:val="20"/>
                <w:szCs w:val="20"/>
                <w:lang w:val="ro-RO"/>
              </w:rPr>
              <w:lastRenderedPageBreak/>
              <w:t xml:space="preserve">respectivă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w:t>
            </w:r>
            <w:proofErr w:type="spellStart"/>
            <w:r w:rsidRPr="00684853">
              <w:rPr>
                <w:rFonts w:ascii="Times New Roman" w:hAnsi="Times New Roman" w:cs="Times New Roman"/>
                <w:bCs/>
                <w:color w:val="000000" w:themeColor="text1"/>
                <w:sz w:val="20"/>
                <w:szCs w:val="20"/>
                <w:lang w:val="ro-RO"/>
              </w:rPr>
              <w:t>desfăşoară</w:t>
            </w:r>
            <w:proofErr w:type="spellEnd"/>
            <w:r w:rsidRPr="00684853">
              <w:rPr>
                <w:rFonts w:ascii="Times New Roman" w:hAnsi="Times New Roman" w:cs="Times New Roman"/>
                <w:bCs/>
                <w:color w:val="000000" w:themeColor="text1"/>
                <w:sz w:val="20"/>
                <w:szCs w:val="20"/>
                <w:lang w:val="ro-RO"/>
              </w:rPr>
              <w:t xml:space="preserve"> direct toate sau unele dintre </w:t>
            </w:r>
            <w:proofErr w:type="spellStart"/>
            <w:r w:rsidRPr="00684853">
              <w:rPr>
                <w:rFonts w:ascii="Times New Roman" w:hAnsi="Times New Roman" w:cs="Times New Roman"/>
                <w:bCs/>
                <w:color w:val="000000" w:themeColor="text1"/>
                <w:sz w:val="20"/>
                <w:szCs w:val="20"/>
                <w:lang w:val="ro-RO"/>
              </w:rPr>
              <w:t>tranzacţiile</w:t>
            </w:r>
            <w:proofErr w:type="spellEnd"/>
            <w:r w:rsidRPr="00684853">
              <w:rPr>
                <w:rFonts w:ascii="Times New Roman" w:hAnsi="Times New Roman" w:cs="Times New Roman"/>
                <w:bCs/>
                <w:color w:val="000000" w:themeColor="text1"/>
                <w:sz w:val="20"/>
                <w:szCs w:val="20"/>
                <w:lang w:val="ro-RO"/>
              </w:rPr>
              <w:t xml:space="preserve"> specifice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băncilor;</w:t>
            </w:r>
          </w:p>
        </w:tc>
        <w:tc>
          <w:tcPr>
            <w:tcW w:w="562" w:type="pct"/>
          </w:tcPr>
          <w:p w14:paraId="5995FB20"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885" w:type="pct"/>
          </w:tcPr>
          <w:p w14:paraId="67D136F0" w14:textId="4EAAD5DE" w:rsidR="00395381" w:rsidRPr="00684853" w:rsidRDefault="00395381" w:rsidP="0073353C">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w:t>
            </w:r>
            <w:r w:rsidRPr="00684853">
              <w:rPr>
                <w:rFonts w:ascii="Times New Roman" w:hAnsi="Times New Roman" w:cs="Times New Roman"/>
                <w:b/>
                <w:color w:val="000000" w:themeColor="text1"/>
                <w:sz w:val="20"/>
                <w:szCs w:val="20"/>
                <w:lang w:val="ro-RO"/>
              </w:rPr>
              <w:lastRenderedPageBreak/>
              <w:t>activitatea băncilor</w:t>
            </w:r>
            <w:r w:rsidRPr="00684853">
              <w:rPr>
                <w:rFonts w:ascii="Times New Roman" w:hAnsi="Times New Roman" w:cs="Times New Roman"/>
                <w:color w:val="000000" w:themeColor="text1"/>
                <w:sz w:val="20"/>
                <w:szCs w:val="20"/>
                <w:lang w:val="ro-RO"/>
              </w:rPr>
              <w:t xml:space="preserve"> prin noțiunea </w:t>
            </w:r>
            <w:r w:rsidRPr="00684853">
              <w:rPr>
                <w:rFonts w:ascii="Times New Roman" w:eastAsia="Arial Unicode MS" w:hAnsi="Times New Roman" w:cs="Times New Roman"/>
                <w:color w:val="000000" w:themeColor="text1"/>
                <w:sz w:val="20"/>
                <w:szCs w:val="20"/>
                <w:lang w:val="ro-RO"/>
              </w:rPr>
              <w:t>„sucursală”</w:t>
            </w:r>
            <w:r w:rsidRPr="00684853">
              <w:rPr>
                <w:rFonts w:ascii="Times New Roman" w:hAnsi="Times New Roman" w:cs="Times New Roman"/>
                <w:b/>
                <w:color w:val="000000" w:themeColor="text1"/>
                <w:sz w:val="20"/>
                <w:szCs w:val="20"/>
                <w:lang w:val="ro-RO"/>
              </w:rPr>
              <w:t>.</w:t>
            </w:r>
          </w:p>
        </w:tc>
      </w:tr>
      <w:tr w:rsidR="00EA59FA" w:rsidRPr="00684853" w14:paraId="04FA658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6F48634" w14:textId="2F6C6833" w:rsidR="004B398B" w:rsidRPr="00684853" w:rsidRDefault="004B398B" w:rsidP="004B398B">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M17</w:t>
            </w:r>
          </w:p>
          <w:p w14:paraId="6BE8F244" w14:textId="5FA15FA5" w:rsidR="004B398B" w:rsidRPr="00684853" w:rsidRDefault="00395381"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18. </w:t>
            </w:r>
            <w:r w:rsidRPr="00684853">
              <w:rPr>
                <w:rFonts w:ascii="Times New Roman" w:eastAsia="Arial Unicode MS" w:hAnsi="Times New Roman"/>
                <w:color w:val="000000" w:themeColor="text1"/>
                <w:sz w:val="20"/>
                <w:szCs w:val="20"/>
                <w:lang w:val="ro-RO"/>
              </w:rPr>
              <w:t>„întreprindere prestatoare de servicii auxiliare” înseamnă o întreprindere a cărei activitate principală</w:t>
            </w:r>
            <w:r w:rsidR="004B398B" w:rsidRPr="00684853">
              <w:rPr>
                <w:rFonts w:ascii="Times New Roman" w:eastAsia="Arial Unicode MS" w:hAnsi="Times New Roman"/>
                <w:color w:val="000000" w:themeColor="text1"/>
                <w:sz w:val="20"/>
                <w:szCs w:val="20"/>
                <w:lang w:val="ro-RO"/>
              </w:rPr>
              <w:t>,</w:t>
            </w:r>
            <w:r w:rsidR="004B398B" w:rsidRPr="00684853">
              <w:rPr>
                <w:color w:val="000000" w:themeColor="text1"/>
              </w:rPr>
              <w:t xml:space="preserve"> </w:t>
            </w:r>
            <w:r w:rsidR="004B398B" w:rsidRPr="00684853">
              <w:rPr>
                <w:rFonts w:ascii="Times New Roman" w:eastAsia="Arial Unicode MS" w:hAnsi="Times New Roman"/>
                <w:color w:val="000000" w:themeColor="text1"/>
                <w:sz w:val="20"/>
                <w:szCs w:val="20"/>
                <w:lang w:val="ro-RO"/>
              </w:rPr>
              <w:t>indiferent dacă este furnizată unor întreprinderi din cadrul grupului sau unor clienți din afara grupului, constă în oricare dintre următoarele:</w:t>
            </w:r>
          </w:p>
          <w:p w14:paraId="62A30F84"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o prelungire directă a serviciilor bancare;</w:t>
            </w:r>
          </w:p>
          <w:p w14:paraId="24971BB0"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activități de leasing operațional, deținere sau administrare de bunuri, prestare de servicii de prelucrare a datelor sau orice altă activitate, în măsura în care aceste activități sunt auxiliare serviciilor bancare;</w:t>
            </w:r>
          </w:p>
          <w:p w14:paraId="41DF44E5" w14:textId="540DF585" w:rsidR="00395381" w:rsidRPr="00684853" w:rsidRDefault="004B398B" w:rsidP="004B398B">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color w:val="000000" w:themeColor="text1"/>
                <w:sz w:val="20"/>
                <w:szCs w:val="20"/>
                <w:lang w:val="ro-RO"/>
              </w:rPr>
              <w:t>(c)</w:t>
            </w:r>
            <w:r w:rsidRPr="00684853">
              <w:rPr>
                <w:rFonts w:ascii="Times New Roman" w:eastAsia="Arial Unicode MS" w:hAnsi="Times New Roman"/>
                <w:color w:val="000000" w:themeColor="text1"/>
                <w:sz w:val="20"/>
                <w:szCs w:val="20"/>
                <w:lang w:val="ro-RO"/>
              </w:rPr>
              <w:tab/>
              <w:t>orice altă activitate considerată de ABE similară cu cele menționate la literele (a) și (b);”</w:t>
            </w:r>
          </w:p>
        </w:tc>
        <w:tc>
          <w:tcPr>
            <w:tcW w:w="1636" w:type="pct"/>
          </w:tcPr>
          <w:p w14:paraId="2D62E58D" w14:textId="7B293487" w:rsidR="00395381" w:rsidRPr="00684853" w:rsidRDefault="00AF46DB"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întreprindere prestatoare de servicii auxiliare – </w:t>
            </w:r>
            <w:r w:rsidRPr="00684853">
              <w:rPr>
                <w:rFonts w:ascii="Times New Roman" w:hAnsi="Times New Roman" w:cs="Times New Roman"/>
                <w:bCs/>
                <w:color w:val="000000" w:themeColor="text1"/>
                <w:sz w:val="20"/>
                <w:szCs w:val="20"/>
                <w:lang w:val="ro-RO"/>
              </w:rPr>
              <w:t xml:space="preserve">întreprindere a cărei activitate principală este </w:t>
            </w:r>
            <w:proofErr w:type="spellStart"/>
            <w:r w:rsidRPr="00684853">
              <w:rPr>
                <w:rFonts w:ascii="Times New Roman" w:hAnsi="Times New Roman" w:cs="Times New Roman"/>
                <w:bCs/>
                <w:color w:val="000000" w:themeColor="text1"/>
                <w:sz w:val="20"/>
                <w:szCs w:val="20"/>
                <w:lang w:val="ro-RO"/>
              </w:rPr>
              <w:t>deţinerea</w:t>
            </w:r>
            <w:proofErr w:type="spellEnd"/>
            <w:r w:rsidRPr="00684853">
              <w:rPr>
                <w:rFonts w:ascii="Times New Roman" w:hAnsi="Times New Roman" w:cs="Times New Roman"/>
                <w:bCs/>
                <w:color w:val="000000" w:themeColor="text1"/>
                <w:sz w:val="20"/>
                <w:szCs w:val="20"/>
                <w:lang w:val="ro-RO"/>
              </w:rPr>
              <w:t xml:space="preserve"> sau administrarea de bunuri, administrarea de servicii de prelucrare a datelor sau o activitate similară care este auxiliară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principale a uneia sau a mai multe bănci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562" w:type="pct"/>
          </w:tcPr>
          <w:p w14:paraId="460D1C54" w14:textId="0CC87E92" w:rsidR="00395381" w:rsidRPr="00684853" w:rsidRDefault="004B398B"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w:t>
            </w:r>
            <w:r w:rsidR="004E70DC" w:rsidRPr="00684853">
              <w:rPr>
                <w:rFonts w:ascii="Times New Roman" w:hAnsi="Times New Roman" w:cs="Times New Roman"/>
                <w:color w:val="000000" w:themeColor="text1"/>
                <w:sz w:val="20"/>
                <w:szCs w:val="20"/>
                <w:lang w:val="ro-RO"/>
              </w:rPr>
              <w:t>arțial</w:t>
            </w:r>
            <w:r w:rsidRPr="00684853">
              <w:rPr>
                <w:rFonts w:ascii="Times New Roman" w:hAnsi="Times New Roman" w:cs="Times New Roman"/>
                <w:color w:val="000000" w:themeColor="text1"/>
                <w:sz w:val="20"/>
                <w:szCs w:val="20"/>
                <w:lang w:val="ro-RO"/>
              </w:rPr>
              <w:t xml:space="preserve"> </w:t>
            </w:r>
            <w:r w:rsidR="00395381" w:rsidRPr="00684853">
              <w:rPr>
                <w:rFonts w:ascii="Times New Roman" w:hAnsi="Times New Roman" w:cs="Times New Roman"/>
                <w:color w:val="000000" w:themeColor="text1"/>
                <w:sz w:val="20"/>
                <w:szCs w:val="20"/>
                <w:lang w:val="ro-RO"/>
              </w:rPr>
              <w:t>Compatibil</w:t>
            </w:r>
          </w:p>
        </w:tc>
        <w:tc>
          <w:tcPr>
            <w:tcW w:w="885" w:type="pct"/>
          </w:tcPr>
          <w:p w14:paraId="49E11866" w14:textId="24854FC1"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Legea nr.202/2017 privind activitatea băncilor</w:t>
            </w:r>
            <w:r w:rsidRPr="00684853">
              <w:rPr>
                <w:rFonts w:ascii="Times New Roman" w:hAnsi="Times New Roman" w:cs="Times New Roman"/>
                <w:color w:val="000000" w:themeColor="text1"/>
                <w:sz w:val="20"/>
                <w:szCs w:val="20"/>
                <w:lang w:val="ro-RO"/>
              </w:rPr>
              <w:t xml:space="preserve"> prin noțiunea </w:t>
            </w:r>
            <w:r w:rsidRPr="00684853">
              <w:rPr>
                <w:rFonts w:ascii="Times New Roman" w:eastAsia="Arial Unicode MS" w:hAnsi="Times New Roman" w:cs="Times New Roman"/>
                <w:color w:val="000000" w:themeColor="text1"/>
                <w:sz w:val="20"/>
                <w:szCs w:val="20"/>
                <w:lang w:val="ro-RO"/>
              </w:rPr>
              <w:t>„întreprindere prestatoare de servicii auxiliare”</w:t>
            </w:r>
            <w:r w:rsidRPr="00684853">
              <w:rPr>
                <w:rFonts w:ascii="Times New Roman" w:hAnsi="Times New Roman" w:cs="Times New Roman"/>
                <w:b/>
                <w:color w:val="000000" w:themeColor="text1"/>
                <w:sz w:val="20"/>
                <w:szCs w:val="20"/>
                <w:lang w:val="ro-RO"/>
              </w:rPr>
              <w:t>.</w:t>
            </w:r>
          </w:p>
        </w:tc>
      </w:tr>
      <w:tr w:rsidR="00EA59FA" w:rsidRPr="00684853" w14:paraId="3FFFAD1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5163B26" w14:textId="77777777" w:rsidR="00395381" w:rsidRPr="00684853" w:rsidRDefault="00395381"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19. </w:t>
            </w:r>
            <w:r w:rsidRPr="00684853">
              <w:rPr>
                <w:rFonts w:ascii="Times New Roman" w:eastAsia="Arial Unicode MS" w:hAnsi="Times New Roman"/>
                <w:color w:val="000000" w:themeColor="text1"/>
                <w:sz w:val="20"/>
                <w:szCs w:val="20"/>
                <w:lang w:val="ro-RO"/>
              </w:rPr>
              <w:t>„societate de administrare a activelor” înseamnă o societate de administrare a activelor în sensul articolului 2 punctul 5 din Directiva 2002/87/CE sau un AFIA astfel cum este definit la articolul 4 alineatul (1) litera (b) din Directiva 2011/61/UE, inclusiv, cu excepția cazului în care se specifică altfel, entități din țări terțe care desfășoară activități similare și care fac obiectul legislației unei țări terțe care aplică cerințe de supraveghere și de reglementare cel puțin echivalente cu cele aplicate în Uniune;</w:t>
            </w:r>
          </w:p>
        </w:tc>
        <w:tc>
          <w:tcPr>
            <w:tcW w:w="1636" w:type="pct"/>
          </w:tcPr>
          <w:p w14:paraId="10E7D662" w14:textId="39DAE74F" w:rsidR="00395381" w:rsidRPr="00684853" w:rsidRDefault="00D10A0D" w:rsidP="004C1560">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de administrare fiduciară a </w:t>
            </w:r>
            <w:proofErr w:type="spellStart"/>
            <w:r w:rsidRPr="00684853">
              <w:rPr>
                <w:rFonts w:ascii="Times New Roman" w:hAnsi="Times New Roman" w:cs="Times New Roman"/>
                <w:b/>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 societate de administrare fiduciară a </w:t>
            </w:r>
            <w:proofErr w:type="spellStart"/>
            <w:r w:rsidRPr="00684853">
              <w:rPr>
                <w:rFonts w:ascii="Times New Roman" w:hAnsi="Times New Roman" w:cs="Times New Roman"/>
                <w:bCs/>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astfel cum este definită în Legea nr.171/ 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tc>
        <w:tc>
          <w:tcPr>
            <w:tcW w:w="562" w:type="pct"/>
          </w:tcPr>
          <w:p w14:paraId="29181C35"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1CFEF659" w14:textId="309DB3BC" w:rsidR="00395381" w:rsidRPr="00684853" w:rsidRDefault="00395381" w:rsidP="004C15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Legea nr.202 din 6 octombrie 2017 privind activitatea băncilor</w:t>
            </w:r>
            <w:r w:rsidRPr="00684853">
              <w:rPr>
                <w:rFonts w:ascii="Times New Roman" w:hAnsi="Times New Roman" w:cs="Times New Roman"/>
                <w:color w:val="000000" w:themeColor="text1"/>
                <w:sz w:val="20"/>
                <w:szCs w:val="20"/>
                <w:lang w:val="ro-RO"/>
              </w:rPr>
              <w:t xml:space="preserve"> prin noțiunea „societate de administrare fiduciară a </w:t>
            </w:r>
            <w:proofErr w:type="spellStart"/>
            <w:r w:rsidRPr="00684853">
              <w:rPr>
                <w:rFonts w:ascii="Times New Roman" w:hAnsi="Times New Roman" w:cs="Times New Roman"/>
                <w:color w:val="000000" w:themeColor="text1"/>
                <w:sz w:val="20"/>
                <w:szCs w:val="20"/>
                <w:lang w:val="ro-RO"/>
              </w:rPr>
              <w:t>investiţiilor</w:t>
            </w:r>
            <w:proofErr w:type="spellEnd"/>
            <w:r w:rsidRPr="00684853">
              <w:rPr>
                <w:rFonts w:ascii="Times New Roman" w:hAnsi="Times New Roman" w:cs="Times New Roman"/>
                <w:color w:val="000000" w:themeColor="text1"/>
                <w:sz w:val="20"/>
                <w:szCs w:val="20"/>
                <w:lang w:val="ro-RO"/>
              </w:rPr>
              <w:t>”</w:t>
            </w:r>
          </w:p>
        </w:tc>
      </w:tr>
      <w:tr w:rsidR="00EA59FA" w:rsidRPr="00684853" w14:paraId="03A1EA5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A478611" w14:textId="77777777" w:rsidR="004B398B" w:rsidRPr="00684853" w:rsidRDefault="004B398B"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7568D3CD" w14:textId="481C763F" w:rsidR="004B398B" w:rsidRPr="00684853" w:rsidRDefault="00395381"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20. </w:t>
            </w:r>
            <w:r w:rsidRPr="00684853">
              <w:rPr>
                <w:rFonts w:ascii="Times New Roman" w:eastAsia="Arial Unicode MS" w:hAnsi="Times New Roman"/>
                <w:color w:val="000000" w:themeColor="text1"/>
                <w:sz w:val="20"/>
                <w:szCs w:val="20"/>
                <w:lang w:val="ro-RO"/>
              </w:rPr>
              <w:t>„societate financiară holding” înseamnă o</w:t>
            </w:r>
            <w:r w:rsidR="004B398B" w:rsidRPr="00684853">
              <w:rPr>
                <w:rFonts w:ascii="Times New Roman" w:eastAsia="Arial Unicode MS" w:hAnsi="Times New Roman"/>
                <w:color w:val="000000" w:themeColor="text1"/>
                <w:sz w:val="20"/>
                <w:szCs w:val="20"/>
                <w:lang w:val="ro-RO"/>
              </w:rPr>
              <w:t xml:space="preserve"> întreprindere care îndeplinește toate condițiile următoare:</w:t>
            </w:r>
          </w:p>
          <w:p w14:paraId="51925D5A"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este o instituție financiară;</w:t>
            </w:r>
          </w:p>
          <w:p w14:paraId="77142587"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nu este o societate financiară holding mixtă;</w:t>
            </w:r>
          </w:p>
          <w:p w14:paraId="5AF09218"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(c)</w:t>
            </w:r>
            <w:r w:rsidRPr="00684853">
              <w:rPr>
                <w:rFonts w:ascii="Times New Roman" w:eastAsia="Arial Unicode MS" w:hAnsi="Times New Roman"/>
                <w:color w:val="000000" w:themeColor="text1"/>
                <w:sz w:val="20"/>
                <w:szCs w:val="20"/>
                <w:lang w:val="ro-RO"/>
              </w:rPr>
              <w:tab/>
              <w:t>are cel puțin o filială care este o instituție;</w:t>
            </w:r>
          </w:p>
          <w:p w14:paraId="5A218BD8"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lastRenderedPageBreak/>
              <w:t>(d)</w:t>
            </w:r>
            <w:r w:rsidRPr="00684853">
              <w:rPr>
                <w:rFonts w:ascii="Times New Roman" w:eastAsia="Arial Unicode MS" w:hAnsi="Times New Roman"/>
                <w:color w:val="000000" w:themeColor="text1"/>
                <w:sz w:val="20"/>
                <w:szCs w:val="20"/>
                <w:lang w:val="ro-RO"/>
              </w:rPr>
              <w:tab/>
              <w:t>peste 50 % din oricare dintre următorii indicatori sunt asociați, în mod constant, cu filiale care sunt instituții sau instituții financiare și cu activități desfășurate de întreprinderea însăși care nu sunt legate de achiziționarea sau posesia unor dețineri în filiale, atunci când activitățile respective sunt de aceeași natură cu cele desfășurate de instituții sau de instituții financiare:</w:t>
            </w:r>
          </w:p>
          <w:p w14:paraId="53FEB13D"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w:t>
            </w:r>
            <w:r w:rsidRPr="00684853">
              <w:rPr>
                <w:rFonts w:ascii="Times New Roman" w:eastAsia="Arial Unicode MS" w:hAnsi="Times New Roman"/>
                <w:color w:val="000000" w:themeColor="text1"/>
                <w:sz w:val="20"/>
                <w:szCs w:val="20"/>
                <w:lang w:val="ro-RO"/>
              </w:rPr>
              <w:tab/>
              <w:t>capitalul propriu al întreprinderii pe baza situației sale consolidate;</w:t>
            </w:r>
          </w:p>
          <w:p w14:paraId="6CE24DD8"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w:t>
            </w:r>
            <w:r w:rsidRPr="00684853">
              <w:rPr>
                <w:rFonts w:ascii="Times New Roman" w:eastAsia="Arial Unicode MS" w:hAnsi="Times New Roman"/>
                <w:color w:val="000000" w:themeColor="text1"/>
                <w:sz w:val="20"/>
                <w:szCs w:val="20"/>
                <w:lang w:val="ro-RO"/>
              </w:rPr>
              <w:tab/>
              <w:t>activele întreprinderii pe baza situației sale consolidate;</w:t>
            </w:r>
          </w:p>
          <w:p w14:paraId="40D14BC2"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(iii)</w:t>
            </w:r>
            <w:r w:rsidRPr="00684853">
              <w:rPr>
                <w:rFonts w:ascii="Times New Roman" w:eastAsia="Arial Unicode MS" w:hAnsi="Times New Roman"/>
                <w:color w:val="000000" w:themeColor="text1"/>
                <w:sz w:val="20"/>
                <w:szCs w:val="20"/>
                <w:lang w:val="ro-RO"/>
              </w:rPr>
              <w:tab/>
              <w:t>veniturile întreprinderii pe baza situației sale consolidate;</w:t>
            </w:r>
          </w:p>
          <w:p w14:paraId="385427B8"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(iv)</w:t>
            </w:r>
            <w:r w:rsidRPr="00684853">
              <w:rPr>
                <w:rFonts w:ascii="Times New Roman" w:eastAsia="Arial Unicode MS" w:hAnsi="Times New Roman"/>
                <w:color w:val="000000" w:themeColor="text1"/>
                <w:sz w:val="20"/>
                <w:szCs w:val="20"/>
                <w:lang w:val="ro-RO"/>
              </w:rPr>
              <w:tab/>
              <w:t>personalul întreprinderii pe baza situației sale consolidate;</w:t>
            </w:r>
          </w:p>
          <w:p w14:paraId="0F849A4F" w14:textId="77777777" w:rsidR="004B398B" w:rsidRPr="00684853" w:rsidRDefault="004B398B" w:rsidP="004B398B">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(v)</w:t>
            </w:r>
            <w:r w:rsidRPr="00684853">
              <w:rPr>
                <w:rFonts w:ascii="Times New Roman" w:eastAsia="Arial Unicode MS" w:hAnsi="Times New Roman"/>
                <w:color w:val="000000" w:themeColor="text1"/>
                <w:sz w:val="20"/>
                <w:szCs w:val="20"/>
                <w:lang w:val="ro-RO"/>
              </w:rPr>
              <w:tab/>
              <w:t>alți indicatori considerați relevanți de către autoritatea competentă.</w:t>
            </w:r>
          </w:p>
          <w:p w14:paraId="4EA12779" w14:textId="131D5274" w:rsidR="00395381" w:rsidRPr="00684853" w:rsidRDefault="004B398B" w:rsidP="004B398B">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color w:val="000000" w:themeColor="text1"/>
                <w:sz w:val="20"/>
                <w:szCs w:val="20"/>
                <w:lang w:val="ro-RO"/>
              </w:rPr>
              <w:t>Autoritatea competentă poate decide că o entitate nu se califică drept societate financiară holding chiar dacă este îndeplinit unul dintre indicatorii menționați la primul paragraf subpunctele (i)-(iv), în cazul în care autoritatea competentă consideră că indicatorul relevant nu oferă o imagine corectă și fidelă a principalelor activități și riscuri ale grupului. Înainte de a lua o astfel de decizie, autoritatea competentă consultă ABE și furnizează o justificare calitativă și cantitativă motivată și detaliată. Autoritatea competentă ține seama în mod corespunzător de avizul ABE și, în cazul în care decide să se abată de la acesta, transmite ABE, în termen de trei luni de la data primirii avizului ABE, motivele abaterii de la avizul relevant;</w:t>
            </w:r>
          </w:p>
        </w:tc>
        <w:tc>
          <w:tcPr>
            <w:tcW w:w="1636" w:type="pct"/>
          </w:tcPr>
          <w:p w14:paraId="1774230D" w14:textId="37897F72" w:rsidR="00395381" w:rsidRPr="00684853" w:rsidRDefault="00A74596"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societate financiară holding – </w:t>
            </w:r>
            <w:r w:rsidRPr="00684853">
              <w:rPr>
                <w:rFonts w:ascii="Times New Roman" w:hAnsi="Times New Roman" w:cs="Times New Roman"/>
                <w:bCs/>
                <w:color w:val="000000" w:themeColor="text1"/>
                <w:sz w:val="20"/>
                <w:szCs w:val="20"/>
                <w:lang w:val="ro-RO"/>
              </w:rPr>
              <w:t xml:space="preserve">societate financiară </w:t>
            </w:r>
            <w:proofErr w:type="spellStart"/>
            <w:r w:rsidRPr="00684853">
              <w:rPr>
                <w:rFonts w:ascii="Times New Roman" w:hAnsi="Times New Roman" w:cs="Times New Roman"/>
                <w:bCs/>
                <w:color w:val="000000" w:themeColor="text1"/>
                <w:sz w:val="20"/>
                <w:szCs w:val="20"/>
                <w:lang w:val="ro-RO"/>
              </w:rPr>
              <w:t>nonbancară</w:t>
            </w:r>
            <w:proofErr w:type="spellEnd"/>
            <w:r w:rsidRPr="00684853">
              <w:rPr>
                <w:rFonts w:ascii="Times New Roman" w:hAnsi="Times New Roman" w:cs="Times New Roman"/>
                <w:bCs/>
                <w:color w:val="000000" w:themeColor="text1"/>
                <w:sz w:val="20"/>
                <w:szCs w:val="20"/>
                <w:lang w:val="ro-RO"/>
              </w:rPr>
              <w:t xml:space="preserve"> ale cărei filiale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în exclusivitate sau în principal, bănci,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financiare </w:t>
            </w:r>
            <w:proofErr w:type="spellStart"/>
            <w:r w:rsidRPr="00684853">
              <w:rPr>
                <w:rFonts w:ascii="Times New Roman" w:hAnsi="Times New Roman" w:cs="Times New Roman"/>
                <w:bCs/>
                <w:color w:val="000000" w:themeColor="text1"/>
                <w:sz w:val="20"/>
                <w:szCs w:val="20"/>
                <w:lang w:val="ro-RO"/>
              </w:rPr>
              <w:t>nonbancare</w:t>
            </w:r>
            <w:proofErr w:type="spellEnd"/>
            <w:r w:rsidRPr="00684853">
              <w:rPr>
                <w:rFonts w:ascii="Times New Roman" w:hAnsi="Times New Roman" w:cs="Times New Roman"/>
                <w:bCs/>
                <w:color w:val="000000" w:themeColor="text1"/>
                <w:sz w:val="20"/>
                <w:szCs w:val="20"/>
                <w:lang w:val="ro-RO"/>
              </w:rPr>
              <w:t xml:space="preserv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una dintre aceste filiale fiind o bancă sau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nu este o societate financiară holding mixtă;</w:t>
            </w:r>
          </w:p>
        </w:tc>
        <w:tc>
          <w:tcPr>
            <w:tcW w:w="562" w:type="pct"/>
          </w:tcPr>
          <w:p w14:paraId="5D71783F" w14:textId="4CFAA8E0" w:rsidR="00395381" w:rsidRPr="00684853" w:rsidRDefault="00495AF6"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885" w:type="pct"/>
          </w:tcPr>
          <w:p w14:paraId="6EFDB372" w14:textId="34041E57"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„societate financiară holding”</w:t>
            </w:r>
            <w:r w:rsidRPr="00684853">
              <w:rPr>
                <w:rFonts w:ascii="Times New Roman" w:hAnsi="Times New Roman" w:cs="Times New Roman"/>
                <w:b/>
                <w:color w:val="000000" w:themeColor="text1"/>
                <w:sz w:val="20"/>
                <w:szCs w:val="20"/>
                <w:lang w:val="ro-RO"/>
              </w:rPr>
              <w:t>.</w:t>
            </w:r>
          </w:p>
        </w:tc>
      </w:tr>
      <w:tr w:rsidR="00EA59FA" w:rsidRPr="00684853" w14:paraId="0589694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A6BE5BE" w14:textId="77777777" w:rsidR="004B398B" w:rsidRPr="00684853" w:rsidRDefault="004B398B"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70498A74" w14:textId="49A3377F" w:rsidR="004B398B" w:rsidRPr="00684853" w:rsidRDefault="004B398B" w:rsidP="004B398B">
            <w:pPr>
              <w:rPr>
                <w:color w:val="000000" w:themeColor="text1"/>
                <w:lang w:val="ro-RO"/>
              </w:rPr>
            </w:pPr>
            <w:r w:rsidRPr="00684853">
              <w:rPr>
                <w:rFonts w:ascii="Times New Roman" w:eastAsia="Arial Unicode MS" w:hAnsi="Times New Roman" w:cs="Times New Roman"/>
                <w:b/>
                <w:bCs/>
                <w:color w:val="000000" w:themeColor="text1"/>
                <w:sz w:val="20"/>
                <w:szCs w:val="20"/>
                <w:lang w:val="ro-RO"/>
              </w:rPr>
              <w:t>20a.</w:t>
            </w:r>
            <w:r w:rsidRPr="00684853">
              <w:rPr>
                <w:color w:val="000000" w:themeColor="text1"/>
                <w:lang w:val="ro-RO"/>
              </w:rPr>
              <w:t xml:space="preserve"> </w:t>
            </w:r>
            <w:r w:rsidRPr="00684853">
              <w:rPr>
                <w:rFonts w:ascii="Times New Roman" w:eastAsia="Arial Unicode MS" w:hAnsi="Times New Roman" w:cs="Times New Roman"/>
                <w:color w:val="000000" w:themeColor="text1"/>
                <w:sz w:val="20"/>
                <w:szCs w:val="20"/>
                <w:lang w:val="ro-RO"/>
              </w:rPr>
              <w:t>societate de investiții holding» înseamnă o societate de investiții holding astfel cum este definită la articolul 4 alineatul (1) punctul 23 din Regulamentul (UE) 2019/2033;</w:t>
            </w:r>
          </w:p>
        </w:tc>
        <w:tc>
          <w:tcPr>
            <w:tcW w:w="1636" w:type="pct"/>
          </w:tcPr>
          <w:p w14:paraId="50516612" w14:textId="77777777" w:rsidR="004B398B" w:rsidRPr="00684853" w:rsidRDefault="004B398B" w:rsidP="004C1560">
            <w:pPr>
              <w:spacing w:after="0" w:line="276" w:lineRule="auto"/>
              <w:jc w:val="both"/>
              <w:rPr>
                <w:rFonts w:ascii="Times New Roman" w:hAnsi="Times New Roman" w:cs="Times New Roman"/>
                <w:b/>
                <w:color w:val="000000" w:themeColor="text1"/>
                <w:sz w:val="20"/>
                <w:szCs w:val="20"/>
                <w:lang w:val="ro-RO"/>
              </w:rPr>
            </w:pPr>
          </w:p>
        </w:tc>
        <w:tc>
          <w:tcPr>
            <w:tcW w:w="562" w:type="pct"/>
          </w:tcPr>
          <w:p w14:paraId="5DC5A9F6" w14:textId="3F85B19C" w:rsidR="004B398B" w:rsidRPr="00684853" w:rsidRDefault="004B398B"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03163204" w14:textId="54096032" w:rsidR="004B398B" w:rsidRPr="00684853" w:rsidRDefault="00BE5BB2" w:rsidP="00A53416">
            <w:pPr>
              <w:rPr>
                <w:rFonts w:ascii="Times New Roman" w:hAnsi="Times New Roman" w:cs="Times New Roman"/>
                <w:color w:val="000000" w:themeColor="text1"/>
                <w:sz w:val="20"/>
                <w:szCs w:val="20"/>
                <w:lang w:val="ro-RO"/>
              </w:rPr>
            </w:pPr>
            <w:bookmarkStart w:id="0" w:name="_Hlk209433389"/>
            <w:r w:rsidRPr="00684853">
              <w:rPr>
                <w:rFonts w:ascii="Times New Roman" w:hAnsi="Times New Roman" w:cs="Times New Roman"/>
                <w:color w:val="000000" w:themeColor="text1"/>
                <w:sz w:val="20"/>
                <w:szCs w:val="20"/>
                <w:lang w:val="ro-RO"/>
              </w:rPr>
              <w:t>Urmează a se transpune prin proiectul de modificare a Legii nr.202/2017.</w:t>
            </w:r>
            <w:bookmarkEnd w:id="0"/>
          </w:p>
        </w:tc>
      </w:tr>
      <w:tr w:rsidR="00EA59FA" w:rsidRPr="00684853" w14:paraId="0EE6F37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5A6F3DF" w14:textId="77777777" w:rsidR="00395381" w:rsidRPr="00684853" w:rsidRDefault="00395381"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 xml:space="preserve">21. </w:t>
            </w:r>
            <w:r w:rsidRPr="00684853">
              <w:rPr>
                <w:rFonts w:ascii="Times New Roman" w:eastAsia="Arial Unicode MS" w:hAnsi="Times New Roman"/>
                <w:color w:val="000000" w:themeColor="text1"/>
                <w:sz w:val="20"/>
                <w:szCs w:val="20"/>
                <w:lang w:val="ro-RO"/>
              </w:rPr>
              <w:t>„societate financiară holding mixtă” înseamnă o societate financiară holding mixtă astfel cum este definită la articolul 2 punctul 15 din Directiva 2002/87/CE;</w:t>
            </w:r>
          </w:p>
        </w:tc>
        <w:tc>
          <w:tcPr>
            <w:tcW w:w="1636" w:type="pct"/>
          </w:tcPr>
          <w:p w14:paraId="20E6B909" w14:textId="147B790E" w:rsidR="00395381" w:rsidRPr="00684853" w:rsidRDefault="00980D7A"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financiară holding mixtă – </w:t>
            </w:r>
            <w:r w:rsidRPr="00684853">
              <w:rPr>
                <w:rFonts w:ascii="Times New Roman" w:hAnsi="Times New Roman" w:cs="Times New Roman"/>
                <w:bCs/>
                <w:color w:val="000000" w:themeColor="text1"/>
                <w:sz w:val="20"/>
                <w:szCs w:val="20"/>
                <w:lang w:val="ro-RO"/>
              </w:rPr>
              <w:t xml:space="preserve">întreprindere-mamă diferită de o entitate reglementată, care, împreună cu filialele sale, dintre care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una este o entitate reglementată cu sediul pe teritoriul Republicii Moldova,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cu alte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 constituie un conglomerat financiar;</w:t>
            </w:r>
          </w:p>
        </w:tc>
        <w:tc>
          <w:tcPr>
            <w:tcW w:w="562" w:type="pct"/>
          </w:tcPr>
          <w:p w14:paraId="4E554E08"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35EC04E9" w14:textId="0B181470"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„societate financiară holding mixtă”</w:t>
            </w:r>
            <w:r w:rsidRPr="00684853">
              <w:rPr>
                <w:rFonts w:ascii="Times New Roman" w:hAnsi="Times New Roman" w:cs="Times New Roman"/>
                <w:b/>
                <w:color w:val="000000" w:themeColor="text1"/>
                <w:sz w:val="20"/>
                <w:szCs w:val="20"/>
                <w:lang w:val="ro-RO"/>
              </w:rPr>
              <w:t>.</w:t>
            </w:r>
          </w:p>
        </w:tc>
      </w:tr>
      <w:tr w:rsidR="00EA59FA" w:rsidRPr="00684853" w14:paraId="0683587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D17BD3A" w14:textId="77777777" w:rsidR="00395381" w:rsidRPr="00684853" w:rsidRDefault="00395381" w:rsidP="004C1560">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22. </w:t>
            </w:r>
            <w:r w:rsidRPr="00684853">
              <w:rPr>
                <w:rFonts w:ascii="Times New Roman" w:eastAsia="Arial Unicode MS" w:hAnsi="Times New Roman"/>
                <w:color w:val="000000" w:themeColor="text1"/>
                <w:sz w:val="20"/>
                <w:szCs w:val="20"/>
                <w:lang w:val="ro-RO"/>
              </w:rPr>
              <w:t>„societate holding cu activitate mixtă” înseamnă o întreprindere-mamă, alta decât o societate financiară holding, o instituție sau o societate financiară holding mixtă, ale cărei filiale includ cel puțin o instituție;</w:t>
            </w:r>
          </w:p>
        </w:tc>
        <w:tc>
          <w:tcPr>
            <w:tcW w:w="1636" w:type="pct"/>
          </w:tcPr>
          <w:p w14:paraId="22C34A77" w14:textId="0ED12C1B" w:rsidR="00395381" w:rsidRPr="00684853" w:rsidRDefault="00980D7A" w:rsidP="004C1560">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holding cu activitate mixtă – </w:t>
            </w:r>
            <w:r w:rsidRPr="00684853">
              <w:rPr>
                <w:rFonts w:ascii="Times New Roman" w:hAnsi="Times New Roman" w:cs="Times New Roman"/>
                <w:bCs/>
                <w:color w:val="000000" w:themeColor="text1"/>
                <w:sz w:val="20"/>
                <w:szCs w:val="20"/>
                <w:lang w:val="ro-RO"/>
              </w:rPr>
              <w:t xml:space="preserve">întreprindere-mamă, alta </w:t>
            </w:r>
            <w:proofErr w:type="spellStart"/>
            <w:r w:rsidRPr="00684853">
              <w:rPr>
                <w:rFonts w:ascii="Times New Roman" w:hAnsi="Times New Roman" w:cs="Times New Roman"/>
                <w:bCs/>
                <w:color w:val="000000" w:themeColor="text1"/>
                <w:sz w:val="20"/>
                <w:szCs w:val="20"/>
                <w:lang w:val="ro-RO"/>
              </w:rPr>
              <w:t>decît</w:t>
            </w:r>
            <w:proofErr w:type="spellEnd"/>
            <w:r w:rsidRPr="00684853">
              <w:rPr>
                <w:rFonts w:ascii="Times New Roman" w:hAnsi="Times New Roman" w:cs="Times New Roman"/>
                <w:bCs/>
                <w:color w:val="000000" w:themeColor="text1"/>
                <w:sz w:val="20"/>
                <w:szCs w:val="20"/>
                <w:lang w:val="ro-RO"/>
              </w:rPr>
              <w:t xml:space="preserve"> o societate financiară holding, o bancă,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sau o societate financiară holding mixtă, ale cărei filiale includ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o bancă sau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562" w:type="pct"/>
          </w:tcPr>
          <w:p w14:paraId="390C7C64" w14:textId="77777777" w:rsidR="00395381" w:rsidRPr="00684853" w:rsidRDefault="00395381" w:rsidP="004C15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1A509430" w14:textId="40C27B90"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„societate holding cu activitate mixtă”</w:t>
            </w:r>
            <w:r w:rsidRPr="00684853">
              <w:rPr>
                <w:rFonts w:ascii="Times New Roman" w:hAnsi="Times New Roman" w:cs="Times New Roman"/>
                <w:b/>
                <w:color w:val="000000" w:themeColor="text1"/>
                <w:sz w:val="20"/>
                <w:szCs w:val="20"/>
                <w:lang w:val="ro-RO"/>
              </w:rPr>
              <w:t>.</w:t>
            </w:r>
          </w:p>
        </w:tc>
      </w:tr>
      <w:tr w:rsidR="00EA59FA" w:rsidRPr="00684853" w14:paraId="251DBA7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7E6A885"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23. </w:t>
            </w:r>
            <w:r w:rsidRPr="00684853">
              <w:rPr>
                <w:rFonts w:ascii="Times New Roman" w:eastAsia="Arial Unicode MS" w:hAnsi="Times New Roman"/>
                <w:color w:val="000000" w:themeColor="text1"/>
                <w:sz w:val="20"/>
                <w:szCs w:val="20"/>
                <w:lang w:val="ro-RO"/>
              </w:rPr>
              <w:t>„întreprindere de asigurare dintr-o țară terță” înseamnă o întreprindere de asigurare dintr-o țară terță astfel cum este definită la articolul 13 punctul 3 din Directiva 2009/138/CE;</w:t>
            </w:r>
          </w:p>
        </w:tc>
        <w:tc>
          <w:tcPr>
            <w:tcW w:w="1636" w:type="pct"/>
          </w:tcPr>
          <w:p w14:paraId="66DBF2D8"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62" w:type="pct"/>
          </w:tcPr>
          <w:p w14:paraId="1F00447A" w14:textId="6F0A7685"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84FC765" w14:textId="165938CE" w:rsidR="006C32A5" w:rsidRPr="00684853" w:rsidRDefault="006C32A5" w:rsidP="006C32A5">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331E5D5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086E97C"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24. </w:t>
            </w:r>
            <w:r w:rsidRPr="00684853">
              <w:rPr>
                <w:rFonts w:ascii="Times New Roman" w:eastAsia="Arial Unicode MS" w:hAnsi="Times New Roman"/>
                <w:color w:val="000000" w:themeColor="text1"/>
                <w:sz w:val="20"/>
                <w:szCs w:val="20"/>
                <w:lang w:val="ro-RO"/>
              </w:rPr>
              <w:t>„întreprindere de reasigurare dintr-o țară terță” înseamnă o întreprindere de reasigurare dintr-o țară terță astfel cum este definită la articolul 13 punctul 6 din Directiva 2009/138/CE;</w:t>
            </w:r>
          </w:p>
        </w:tc>
        <w:tc>
          <w:tcPr>
            <w:tcW w:w="1636" w:type="pct"/>
          </w:tcPr>
          <w:p w14:paraId="52B7D864"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62" w:type="pct"/>
          </w:tcPr>
          <w:p w14:paraId="71F563D2" w14:textId="47EBA83D"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E035F61" w14:textId="77E4F71F" w:rsidR="006C32A5" w:rsidRPr="00684853" w:rsidRDefault="006C32A5" w:rsidP="006C32A5">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15634CA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EEF901F" w14:textId="77777777" w:rsidR="00395381" w:rsidRPr="00684853" w:rsidRDefault="00395381" w:rsidP="009E0E54">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25.</w:t>
            </w:r>
            <w:r w:rsidRPr="00684853">
              <w:rPr>
                <w:rFonts w:ascii="Times New Roman" w:eastAsia="Arial Unicode MS" w:hAnsi="Times New Roman"/>
                <w:color w:val="000000" w:themeColor="text1"/>
                <w:sz w:val="20"/>
                <w:szCs w:val="20"/>
                <w:lang w:val="ro-RO"/>
              </w:rPr>
              <w:t xml:space="preserve"> „firmă de investiții recunoscută din țări terțe” înseamnă o firmă care îndeplinește cumulativ următoarele condiții:</w:t>
            </w:r>
          </w:p>
          <w:p w14:paraId="3778D3F9" w14:textId="77777777" w:rsidR="00395381" w:rsidRPr="00684853" w:rsidRDefault="00395381" w:rsidP="009E0E54">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cazul în care ar fi stabilită în Uniune, s-ar încadra în definiția firmei de investiții;</w:t>
            </w:r>
          </w:p>
          <w:p w14:paraId="3168C1B6" w14:textId="77777777" w:rsidR="00395381" w:rsidRPr="00684853" w:rsidRDefault="00395381" w:rsidP="009E0E54">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este autorizată într-o țară terță;</w:t>
            </w:r>
          </w:p>
          <w:p w14:paraId="1ADC3D2F" w14:textId="77777777" w:rsidR="00395381" w:rsidRPr="00684853" w:rsidRDefault="00395381" w:rsidP="009E0E54">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intră sub incidența și respectă regulile prudențiale considerate de autoritățile competente ca fiind cel puțin la fel de stricte ca cele prevăzute în prezentul regulament sau în Directiva 2013/36/UE;</w:t>
            </w:r>
          </w:p>
        </w:tc>
        <w:tc>
          <w:tcPr>
            <w:tcW w:w="1636" w:type="pct"/>
          </w:tcPr>
          <w:p w14:paraId="0E23F44B"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p>
        </w:tc>
        <w:tc>
          <w:tcPr>
            <w:tcW w:w="562" w:type="pct"/>
          </w:tcPr>
          <w:p w14:paraId="145F87E9" w14:textId="00B600B6" w:rsidR="00395381" w:rsidRPr="00684853" w:rsidRDefault="00980D7A" w:rsidP="009E0E54">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04465112"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2FEDC4FF" w14:textId="25E95A9F" w:rsidR="00395381" w:rsidRPr="00684853" w:rsidRDefault="00395381" w:rsidP="009E0E54">
            <w:pPr>
              <w:rPr>
                <w:rFonts w:ascii="Times New Roman" w:hAnsi="Times New Roman" w:cs="Times New Roman"/>
                <w:color w:val="000000" w:themeColor="text1"/>
                <w:sz w:val="20"/>
                <w:szCs w:val="20"/>
              </w:rPr>
            </w:pPr>
          </w:p>
        </w:tc>
      </w:tr>
      <w:tr w:rsidR="00EA59FA" w:rsidRPr="00684853" w14:paraId="1954CBD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0754380" w14:textId="77777777" w:rsidR="000353FF" w:rsidRPr="00684853" w:rsidRDefault="000353FF" w:rsidP="000353FF">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212240F7" w14:textId="5A56E78F" w:rsidR="000353FF" w:rsidRPr="00684853" w:rsidRDefault="00395381" w:rsidP="000353FF">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26. </w:t>
            </w:r>
            <w:r w:rsidRPr="00684853">
              <w:rPr>
                <w:rFonts w:ascii="Times New Roman" w:eastAsia="Arial Unicode MS" w:hAnsi="Times New Roman"/>
                <w:color w:val="000000" w:themeColor="text1"/>
                <w:sz w:val="20"/>
                <w:szCs w:val="20"/>
                <w:lang w:val="ro-RO"/>
              </w:rPr>
              <w:t>„instituție financiară” înseamnă o întreprindere</w:t>
            </w:r>
            <w:r w:rsidR="006566D0" w:rsidRPr="00684853">
              <w:rPr>
                <w:color w:val="000000" w:themeColor="text1"/>
              </w:rPr>
              <w:t xml:space="preserve"> </w:t>
            </w:r>
            <w:r w:rsidR="000353FF" w:rsidRPr="00684853">
              <w:rPr>
                <w:rFonts w:ascii="Times New Roman" w:eastAsia="Arial Unicode MS" w:hAnsi="Times New Roman"/>
                <w:color w:val="000000" w:themeColor="text1"/>
                <w:sz w:val="20"/>
                <w:szCs w:val="20"/>
                <w:lang w:val="ro-RO"/>
              </w:rPr>
              <w:t>care îndeplinește următoarele două condiții:</w:t>
            </w:r>
          </w:p>
          <w:p w14:paraId="3A22FAE1" w14:textId="77777777" w:rsidR="000353FF" w:rsidRPr="00684853" w:rsidRDefault="000353FF" w:rsidP="000353FF">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 xml:space="preserve">nu este o instituție, un holding pur industrial, o entitate special constituită în scopul securitizării, un holding de asigurare, </w:t>
            </w:r>
            <w:r w:rsidRPr="00684853">
              <w:rPr>
                <w:rFonts w:ascii="Times New Roman" w:eastAsia="Arial Unicode MS" w:hAnsi="Times New Roman"/>
                <w:color w:val="000000" w:themeColor="text1"/>
                <w:sz w:val="20"/>
                <w:szCs w:val="20"/>
                <w:lang w:val="ro-RO"/>
              </w:rPr>
              <w:lastRenderedPageBreak/>
              <w:t>astfel cum este definit la articolul 212 alineatul (1) litera (f) din Directiva 2009/138/CE, sau un holding mixt de asigurare, astfel cum este definit la articolul 212 alineatul (1) litera (g) din directiva menționată, cu excepția cazului în care un holding mixt de asigurare are o instituție-filială;</w:t>
            </w:r>
          </w:p>
          <w:p w14:paraId="6AFF5796" w14:textId="77777777" w:rsidR="000353FF" w:rsidRPr="00684853" w:rsidRDefault="000353FF" w:rsidP="000353FF">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îndeplinește una sau mai multe din următoarele condiții:</w:t>
            </w:r>
          </w:p>
          <w:p w14:paraId="60D00B21" w14:textId="77777777" w:rsidR="000353FF" w:rsidRPr="00684853" w:rsidRDefault="000353FF" w:rsidP="000353FF">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w:t>
            </w:r>
            <w:r w:rsidRPr="00684853">
              <w:rPr>
                <w:rFonts w:ascii="Times New Roman" w:eastAsia="Arial Unicode MS" w:hAnsi="Times New Roman"/>
                <w:color w:val="000000" w:themeColor="text1"/>
                <w:sz w:val="20"/>
                <w:szCs w:val="20"/>
                <w:lang w:val="ro-RO"/>
              </w:rPr>
              <w:tab/>
              <w:t>activitatea principală a întreprinderii constă în achiziționarea sau posesia unor dețineri ori desfășurarea uneia sau mai multora dintre activitățile enumerate în anexa I punctele 2-12 și punctele 15, 16 și 17 din Directiva 2013/36/UE ori prestarea unuia (uneia) sau mai multora dintre serviciile sau activitățile enumerate în anexa I secțiunea A sau B din Directiva 2014/65/UE în legătură cu instrumentele financiare enumerate în anexa I secțiunea C din Directiva 2014/65/UE;</w:t>
            </w:r>
          </w:p>
          <w:p w14:paraId="02AD8CCF" w14:textId="073F9338" w:rsidR="00395381" w:rsidRPr="00684853" w:rsidRDefault="000353FF" w:rsidP="009E0E54">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w:t>
            </w:r>
            <w:r w:rsidRPr="00684853">
              <w:rPr>
                <w:rFonts w:ascii="Times New Roman" w:eastAsia="Arial Unicode MS" w:hAnsi="Times New Roman"/>
                <w:color w:val="000000" w:themeColor="text1"/>
                <w:sz w:val="20"/>
                <w:szCs w:val="20"/>
                <w:lang w:val="ro-RO"/>
              </w:rPr>
              <w:tab/>
              <w:t>întreprinderea este o firmă de investiții, o societate financiară holding mixtă, o societate de investiții holding, un prestator de servicii de plată conform clasificării în temeiul articolului 1 alineatul (1) literele (a)-(d) din Directiva (UE) 2015/2366 a Parlamentului European și a Consiliului (*2), o societate de administrare a activelor sau o întreprindere prestatoare de servicii auxiliare;</w:t>
            </w:r>
          </w:p>
          <w:p w14:paraId="1D7FCF46" w14:textId="6E3916C3" w:rsidR="000353FF" w:rsidRPr="00684853" w:rsidRDefault="000353FF" w:rsidP="00213257">
            <w:pPr>
              <w:rPr>
                <w:color w:val="000000" w:themeColor="text1"/>
                <w:lang w:val="ro-RO"/>
              </w:rPr>
            </w:pPr>
          </w:p>
        </w:tc>
        <w:tc>
          <w:tcPr>
            <w:tcW w:w="1636" w:type="pct"/>
          </w:tcPr>
          <w:p w14:paraId="4B3F83E6" w14:textId="314BF44F" w:rsidR="00395381" w:rsidRPr="00684853" w:rsidRDefault="00980D7A" w:rsidP="009E0E54">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societate financiară </w:t>
            </w:r>
            <w:proofErr w:type="spellStart"/>
            <w:r w:rsidRPr="00684853">
              <w:rPr>
                <w:rFonts w:ascii="Times New Roman" w:hAnsi="Times New Roman" w:cs="Times New Roman"/>
                <w:b/>
                <w:color w:val="000000" w:themeColor="text1"/>
                <w:sz w:val="20"/>
                <w:szCs w:val="20"/>
                <w:lang w:val="ro-RO"/>
              </w:rPr>
              <w:t>nonbancară</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întreprindere, alta </w:t>
            </w:r>
            <w:proofErr w:type="spellStart"/>
            <w:r w:rsidRPr="00684853">
              <w:rPr>
                <w:rFonts w:ascii="Times New Roman" w:hAnsi="Times New Roman" w:cs="Times New Roman"/>
                <w:bCs/>
                <w:color w:val="000000" w:themeColor="text1"/>
                <w:sz w:val="20"/>
                <w:szCs w:val="20"/>
                <w:lang w:val="ro-RO"/>
              </w:rPr>
              <w:t>decît</w:t>
            </w:r>
            <w:proofErr w:type="spellEnd"/>
            <w:r w:rsidRPr="00684853">
              <w:rPr>
                <w:rFonts w:ascii="Times New Roman" w:hAnsi="Times New Roman" w:cs="Times New Roman"/>
                <w:bCs/>
                <w:color w:val="000000" w:themeColor="text1"/>
                <w:sz w:val="20"/>
                <w:szCs w:val="20"/>
                <w:lang w:val="ro-RO"/>
              </w:rPr>
              <w:t xml:space="preserve"> o bancă sau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 cărei activitate principală constă în </w:t>
            </w:r>
            <w:proofErr w:type="spellStart"/>
            <w:r w:rsidRPr="00684853">
              <w:rPr>
                <w:rFonts w:ascii="Times New Roman" w:hAnsi="Times New Roman" w:cs="Times New Roman"/>
                <w:bCs/>
                <w:color w:val="000000" w:themeColor="text1"/>
                <w:sz w:val="20"/>
                <w:szCs w:val="20"/>
                <w:lang w:val="ro-RO"/>
              </w:rPr>
              <w:t>dobîndirea</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deţineri</w:t>
            </w:r>
            <w:proofErr w:type="spellEnd"/>
            <w:r w:rsidRPr="00684853">
              <w:rPr>
                <w:rFonts w:ascii="Times New Roman" w:hAnsi="Times New Roman" w:cs="Times New Roman"/>
                <w:bCs/>
                <w:color w:val="000000" w:themeColor="text1"/>
                <w:sz w:val="20"/>
                <w:szCs w:val="20"/>
                <w:lang w:val="ro-RO"/>
              </w:rPr>
              <w:t xml:space="preserve"> sau în </w:t>
            </w:r>
            <w:proofErr w:type="spellStart"/>
            <w:r w:rsidRPr="00684853">
              <w:rPr>
                <w:rFonts w:ascii="Times New Roman" w:hAnsi="Times New Roman" w:cs="Times New Roman"/>
                <w:bCs/>
                <w:color w:val="000000" w:themeColor="text1"/>
                <w:sz w:val="20"/>
                <w:szCs w:val="20"/>
                <w:lang w:val="ro-RO"/>
              </w:rPr>
              <w:t>desfăşurarea</w:t>
            </w:r>
            <w:proofErr w:type="spellEnd"/>
            <w:r w:rsidRPr="00684853">
              <w:rPr>
                <w:rFonts w:ascii="Times New Roman" w:hAnsi="Times New Roman" w:cs="Times New Roman"/>
                <w:bCs/>
                <w:color w:val="000000" w:themeColor="text1"/>
                <w:sz w:val="20"/>
                <w:szCs w:val="20"/>
                <w:lang w:val="ro-RO"/>
              </w:rPr>
              <w:t xml:space="preserve"> uneia sau mai multor </w:t>
            </w:r>
            <w:proofErr w:type="spellStart"/>
            <w:r w:rsidRPr="00684853">
              <w:rPr>
                <w:rFonts w:ascii="Times New Roman" w:hAnsi="Times New Roman" w:cs="Times New Roman"/>
                <w:bCs/>
                <w:color w:val="000000" w:themeColor="text1"/>
                <w:sz w:val="20"/>
                <w:szCs w:val="20"/>
                <w:lang w:val="ro-RO"/>
              </w:rPr>
              <w:t>activităţi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art.14 alin.(1) </w:t>
            </w:r>
            <w:proofErr w:type="spellStart"/>
            <w:r w:rsidRPr="00684853">
              <w:rPr>
                <w:rFonts w:ascii="Times New Roman" w:hAnsi="Times New Roman" w:cs="Times New Roman"/>
                <w:bCs/>
                <w:color w:val="000000" w:themeColor="text1"/>
                <w:sz w:val="20"/>
                <w:szCs w:val="20"/>
                <w:lang w:val="ro-RO"/>
              </w:rPr>
              <w:t>lit.b</w:t>
            </w:r>
            <w:proofErr w:type="spellEnd"/>
            <w:r w:rsidRPr="00684853">
              <w:rPr>
                <w:rFonts w:ascii="Times New Roman" w:hAnsi="Times New Roman" w:cs="Times New Roman"/>
                <w:bCs/>
                <w:color w:val="000000" w:themeColor="text1"/>
                <w:sz w:val="20"/>
                <w:szCs w:val="20"/>
                <w:lang w:val="ro-RO"/>
              </w:rPr>
              <w:t xml:space="preserve">)–p), inclusiv o societate financiară </w:t>
            </w:r>
            <w:r w:rsidRPr="00684853">
              <w:rPr>
                <w:rFonts w:ascii="Times New Roman" w:hAnsi="Times New Roman" w:cs="Times New Roman"/>
                <w:bCs/>
                <w:color w:val="000000" w:themeColor="text1"/>
                <w:sz w:val="20"/>
                <w:szCs w:val="20"/>
                <w:lang w:val="ro-RO"/>
              </w:rPr>
              <w:lastRenderedPageBreak/>
              <w:t xml:space="preserve">holding, o societate financiară holding mixtă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societate de administrare fiduciară a </w:t>
            </w:r>
            <w:proofErr w:type="spellStart"/>
            <w:r w:rsidRPr="00684853">
              <w:rPr>
                <w:rFonts w:ascii="Times New Roman" w:hAnsi="Times New Roman" w:cs="Times New Roman"/>
                <w:bCs/>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dar cu excluderea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holding de asigurare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holding de asigurare cu activitate mixtă;</w:t>
            </w:r>
          </w:p>
        </w:tc>
        <w:tc>
          <w:tcPr>
            <w:tcW w:w="562" w:type="pct"/>
          </w:tcPr>
          <w:p w14:paraId="5EB3F5BB" w14:textId="1357C1A4" w:rsidR="00395381" w:rsidRPr="00684853" w:rsidRDefault="00834AD6" w:rsidP="009E0E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Parțial compatibil</w:t>
            </w:r>
          </w:p>
        </w:tc>
        <w:tc>
          <w:tcPr>
            <w:tcW w:w="885" w:type="pct"/>
          </w:tcPr>
          <w:p w14:paraId="38E6E558" w14:textId="5E4448FF" w:rsidR="00395381" w:rsidRPr="00684853" w:rsidRDefault="00395381" w:rsidP="009E0E54">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 din 6 octombrie 2017 privind activitatea băncilor </w:t>
            </w:r>
            <w:r w:rsidRPr="00684853">
              <w:rPr>
                <w:rFonts w:ascii="Times New Roman" w:hAnsi="Times New Roman" w:cs="Times New Roman"/>
                <w:color w:val="000000" w:themeColor="text1"/>
                <w:sz w:val="20"/>
                <w:szCs w:val="20"/>
                <w:lang w:val="ro-RO"/>
              </w:rPr>
              <w:t xml:space="preserve">prin noțiunea „societate financiară </w:t>
            </w:r>
            <w:proofErr w:type="spellStart"/>
            <w:r w:rsidRPr="00684853">
              <w:rPr>
                <w:rFonts w:ascii="Times New Roman" w:hAnsi="Times New Roman" w:cs="Times New Roman"/>
                <w:color w:val="000000" w:themeColor="text1"/>
                <w:sz w:val="20"/>
                <w:szCs w:val="20"/>
                <w:lang w:val="ro-RO"/>
              </w:rPr>
              <w:t>nonbancară</w:t>
            </w:r>
            <w:proofErr w:type="spellEnd"/>
            <w:r w:rsidRPr="00684853">
              <w:rPr>
                <w:rFonts w:ascii="Times New Roman" w:hAnsi="Times New Roman" w:cs="Times New Roman"/>
                <w:color w:val="000000" w:themeColor="text1"/>
                <w:sz w:val="20"/>
                <w:szCs w:val="20"/>
                <w:lang w:val="ro-RO"/>
              </w:rPr>
              <w:t>”.</w:t>
            </w:r>
          </w:p>
          <w:p w14:paraId="0CF935B7" w14:textId="77777777" w:rsidR="00395381" w:rsidRPr="00684853" w:rsidRDefault="00395381" w:rsidP="009E0E54">
            <w:pPr>
              <w:jc w:val="both"/>
              <w:rPr>
                <w:rFonts w:ascii="Times New Roman" w:hAnsi="Times New Roman" w:cs="Times New Roman"/>
                <w:color w:val="000000" w:themeColor="text1"/>
                <w:sz w:val="20"/>
                <w:szCs w:val="20"/>
                <w:lang w:val="ro-RO"/>
              </w:rPr>
            </w:pPr>
          </w:p>
        </w:tc>
      </w:tr>
      <w:tr w:rsidR="00EA59FA" w:rsidRPr="00684853" w14:paraId="4819E8E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F549503" w14:textId="77777777" w:rsidR="00213257" w:rsidRPr="00684853" w:rsidRDefault="00213257" w:rsidP="000353FF">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M17</w:t>
            </w:r>
          </w:p>
          <w:p w14:paraId="621CB1B6" w14:textId="22E94AB0" w:rsidR="00213257" w:rsidRPr="00684853" w:rsidRDefault="00213257" w:rsidP="00213257">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
                <w:color w:val="000000" w:themeColor="text1"/>
                <w:sz w:val="20"/>
                <w:szCs w:val="20"/>
                <w:lang w:val="ro-RO"/>
              </w:rPr>
              <w:t>26a.</w:t>
            </w:r>
            <w:r w:rsidRPr="00684853">
              <w:rPr>
                <w:rFonts w:ascii="Times New Roman" w:eastAsia="Arial Unicode MS" w:hAnsi="Times New Roman"/>
                <w:bCs/>
                <w:color w:val="000000" w:themeColor="text1"/>
                <w:sz w:val="20"/>
                <w:szCs w:val="20"/>
                <w:lang w:val="ro-RO"/>
              </w:rPr>
              <w:t xml:space="preserve"> „holding pur industrial» înseamnă o întreprindere care îndeplinește toate condițiile următoare:</w:t>
            </w:r>
          </w:p>
          <w:p w14:paraId="01DA6E62" w14:textId="77777777" w:rsidR="00213257" w:rsidRPr="00684853" w:rsidRDefault="00213257" w:rsidP="00213257">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(a)</w:t>
            </w:r>
            <w:r w:rsidRPr="00684853">
              <w:rPr>
                <w:rFonts w:ascii="Times New Roman" w:eastAsia="Arial Unicode MS" w:hAnsi="Times New Roman"/>
                <w:bCs/>
                <w:color w:val="000000" w:themeColor="text1"/>
                <w:sz w:val="20"/>
                <w:szCs w:val="20"/>
                <w:lang w:val="ro-RO"/>
              </w:rPr>
              <w:tab/>
              <w:t>activitate sa principală constă în dobândirea sau posesia de dețineri;</w:t>
            </w:r>
          </w:p>
          <w:p w14:paraId="33C96238" w14:textId="77777777" w:rsidR="00213257" w:rsidRPr="00684853" w:rsidRDefault="00213257" w:rsidP="00213257">
            <w:pPr>
              <w:pStyle w:val="CM4"/>
              <w:spacing w:after="120"/>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(b)</w:t>
            </w:r>
            <w:r w:rsidRPr="00684853">
              <w:rPr>
                <w:rFonts w:ascii="Times New Roman" w:eastAsia="Arial Unicode MS" w:hAnsi="Times New Roman"/>
                <w:bCs/>
                <w:color w:val="000000" w:themeColor="text1"/>
                <w:sz w:val="20"/>
                <w:szCs w:val="20"/>
                <w:lang w:val="ro-RO"/>
              </w:rPr>
              <w:tab/>
              <w:t xml:space="preserve">nu este menționată la punctul 27 litera (a) sau la punctul 27 literele (d)-(l) de la prezentul alineat și nu este o firmă de investiții sau o societate de administrare a activelor ori un prestator de servicii </w:t>
            </w:r>
            <w:r w:rsidRPr="00684853">
              <w:rPr>
                <w:rFonts w:ascii="Times New Roman" w:eastAsia="Arial Unicode MS" w:hAnsi="Times New Roman"/>
                <w:bCs/>
                <w:color w:val="000000" w:themeColor="text1"/>
                <w:sz w:val="20"/>
                <w:szCs w:val="20"/>
                <w:lang w:val="ro-RO"/>
              </w:rPr>
              <w:lastRenderedPageBreak/>
              <w:t>de plată conform clasificării în temeiul articolului 1 alineatul (1) literele (a)-(d) din Directiva (UE) 2015/2366;</w:t>
            </w:r>
          </w:p>
          <w:p w14:paraId="71FBD3E6" w14:textId="4FC9D629" w:rsidR="00213257" w:rsidRPr="00684853" w:rsidRDefault="00213257" w:rsidP="00213257">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Cs/>
                <w:color w:val="000000" w:themeColor="text1"/>
                <w:sz w:val="20"/>
                <w:szCs w:val="20"/>
                <w:lang w:val="ro-RO"/>
              </w:rPr>
              <w:t>(c)</w:t>
            </w:r>
            <w:r w:rsidRPr="00684853">
              <w:rPr>
                <w:rFonts w:ascii="Times New Roman" w:eastAsia="Arial Unicode MS" w:hAnsi="Times New Roman"/>
                <w:bCs/>
                <w:color w:val="000000" w:themeColor="text1"/>
                <w:sz w:val="20"/>
                <w:szCs w:val="20"/>
                <w:lang w:val="ro-RO"/>
              </w:rPr>
              <w:tab/>
              <w:t>nu deține nicio participație într-o entitate din sectorul financiar;”</w:t>
            </w:r>
          </w:p>
        </w:tc>
        <w:tc>
          <w:tcPr>
            <w:tcW w:w="1636" w:type="pct"/>
          </w:tcPr>
          <w:p w14:paraId="64FD0701" w14:textId="77777777" w:rsidR="00213257" w:rsidRPr="00684853" w:rsidRDefault="00213257" w:rsidP="009E0E54">
            <w:pPr>
              <w:spacing w:after="0" w:line="276" w:lineRule="auto"/>
              <w:jc w:val="both"/>
              <w:rPr>
                <w:rFonts w:ascii="Times New Roman" w:hAnsi="Times New Roman" w:cs="Times New Roman"/>
                <w:b/>
                <w:color w:val="000000" w:themeColor="text1"/>
                <w:sz w:val="20"/>
                <w:szCs w:val="20"/>
                <w:lang w:val="ro-RO"/>
              </w:rPr>
            </w:pPr>
          </w:p>
        </w:tc>
        <w:tc>
          <w:tcPr>
            <w:tcW w:w="562" w:type="pct"/>
          </w:tcPr>
          <w:p w14:paraId="5A02934B" w14:textId="26638EAE" w:rsidR="00213257" w:rsidRPr="00684853" w:rsidRDefault="00213257" w:rsidP="009E0E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0C6E9A1E"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2FD98D99" w14:textId="77777777" w:rsidR="00213257" w:rsidRPr="00684853" w:rsidRDefault="00213257" w:rsidP="009E0E54">
            <w:pPr>
              <w:jc w:val="both"/>
              <w:rPr>
                <w:rFonts w:ascii="Times New Roman" w:hAnsi="Times New Roman" w:cs="Times New Roman"/>
                <w:color w:val="000000" w:themeColor="text1"/>
                <w:sz w:val="20"/>
                <w:szCs w:val="20"/>
              </w:rPr>
            </w:pPr>
          </w:p>
        </w:tc>
      </w:tr>
      <w:tr w:rsidR="00EA59FA" w:rsidRPr="00684853" w14:paraId="24A30F6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51D659A" w14:textId="77777777" w:rsidR="00395381" w:rsidRPr="00684853" w:rsidRDefault="00395381" w:rsidP="009E0E54">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27. </w:t>
            </w:r>
            <w:r w:rsidRPr="00684853">
              <w:rPr>
                <w:rFonts w:ascii="Times New Roman" w:eastAsia="Arial Unicode MS" w:hAnsi="Times New Roman"/>
                <w:color w:val="000000" w:themeColor="text1"/>
                <w:sz w:val="20"/>
                <w:szCs w:val="20"/>
                <w:lang w:val="ro-RO"/>
              </w:rPr>
              <w:t>„entitate din sectorul financiar” înseamnă oricare dintre următoarele:</w:t>
            </w:r>
          </w:p>
          <w:p w14:paraId="33CFA501"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o instituție;</w:t>
            </w:r>
          </w:p>
          <w:p w14:paraId="3FF9EBF5"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o instituție financiară;</w:t>
            </w:r>
          </w:p>
          <w:p w14:paraId="71DDF29D" w14:textId="65A8D667" w:rsidR="00395381" w:rsidRPr="00684853" w:rsidRDefault="00213257"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Lit. (c) Eliminat prin M17</w:t>
            </w:r>
          </w:p>
          <w:p w14:paraId="6AB15E5A"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o întreprindere de asigurare;</w:t>
            </w:r>
          </w:p>
          <w:p w14:paraId="317DA380"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o întreprindere de asigurare dintr-o țară terță;</w:t>
            </w:r>
          </w:p>
          <w:p w14:paraId="3BF62231"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 o întreprindere de reasigurare;</w:t>
            </w:r>
          </w:p>
          <w:p w14:paraId="6C8A9095"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(g) o întreprindere de reasigurare dintr-o țară terță;</w:t>
            </w:r>
          </w:p>
          <w:p w14:paraId="1AD99BB8"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(h) o societate holding de asigurare, astfel cum este definită la articolul 212 alineatul (1) litera (f) din Directiva 2009/138/CE;</w:t>
            </w:r>
          </w:p>
          <w:p w14:paraId="2937916D"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(k) o întreprindere exclusă din domeniul de aplicare al Directivei 2009/138/CE în conformitate cu articolul 4 din directiva menționată;</w:t>
            </w:r>
          </w:p>
          <w:p w14:paraId="53D2C32F" w14:textId="77777777" w:rsidR="00395381" w:rsidRPr="00684853" w:rsidRDefault="00395381" w:rsidP="009E0E54">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 o întreprindere dintr-o țară terță cu o activitate principală comparabilă cu a oricăreia dintre entitățile menționate la literele (a)-(k) de mai sus;</w:t>
            </w:r>
          </w:p>
        </w:tc>
        <w:tc>
          <w:tcPr>
            <w:tcW w:w="1636" w:type="pct"/>
          </w:tcPr>
          <w:p w14:paraId="237ED9E3"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entitate din sectorul financiar – </w:t>
            </w:r>
            <w:r w:rsidRPr="00684853">
              <w:rPr>
                <w:rFonts w:ascii="Times New Roman" w:hAnsi="Times New Roman" w:cs="Times New Roman"/>
                <w:bCs/>
                <w:color w:val="000000" w:themeColor="text1"/>
                <w:sz w:val="20"/>
                <w:szCs w:val="20"/>
                <w:lang w:val="ro-RO"/>
              </w:rPr>
              <w:t>oricare dintre următoarele:</w:t>
            </w:r>
          </w:p>
          <w:p w14:paraId="5479933C"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 o bancă;</w:t>
            </w:r>
          </w:p>
          <w:p w14:paraId="5712405C"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p w14:paraId="723BE1E9"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o societate financiară </w:t>
            </w:r>
            <w:proofErr w:type="spellStart"/>
            <w:r w:rsidRPr="00684853">
              <w:rPr>
                <w:rFonts w:ascii="Times New Roman" w:hAnsi="Times New Roman" w:cs="Times New Roman"/>
                <w:bCs/>
                <w:color w:val="000000" w:themeColor="text1"/>
                <w:sz w:val="20"/>
                <w:szCs w:val="20"/>
                <w:lang w:val="ro-RO"/>
              </w:rPr>
              <w:t>nonbancară</w:t>
            </w:r>
            <w:proofErr w:type="spellEnd"/>
            <w:r w:rsidRPr="00684853">
              <w:rPr>
                <w:rFonts w:ascii="Times New Roman" w:hAnsi="Times New Roman" w:cs="Times New Roman"/>
                <w:bCs/>
                <w:color w:val="000000" w:themeColor="text1"/>
                <w:sz w:val="20"/>
                <w:szCs w:val="20"/>
                <w:lang w:val="ro-RO"/>
              </w:rPr>
              <w:t>;</w:t>
            </w:r>
          </w:p>
          <w:p w14:paraId="7E569556"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d) o întreprindere prestatoare de servicii auxiliare inclusă în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financiară consolidată a unei bănci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p w14:paraId="5AAC0172"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e) un asigurător;</w:t>
            </w:r>
          </w:p>
          <w:p w14:paraId="13C06056"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 un </w:t>
            </w:r>
            <w:proofErr w:type="spellStart"/>
            <w:r w:rsidRPr="00684853">
              <w:rPr>
                <w:rFonts w:ascii="Times New Roman" w:hAnsi="Times New Roman" w:cs="Times New Roman"/>
                <w:bCs/>
                <w:color w:val="000000" w:themeColor="text1"/>
                <w:sz w:val="20"/>
                <w:szCs w:val="20"/>
                <w:lang w:val="ro-RO"/>
              </w:rPr>
              <w:t>reasigurător</w:t>
            </w:r>
            <w:proofErr w:type="spellEnd"/>
            <w:r w:rsidRPr="00684853">
              <w:rPr>
                <w:rFonts w:ascii="Times New Roman" w:hAnsi="Times New Roman" w:cs="Times New Roman"/>
                <w:bCs/>
                <w:color w:val="000000" w:themeColor="text1"/>
                <w:sz w:val="20"/>
                <w:szCs w:val="20"/>
                <w:lang w:val="ro-RO"/>
              </w:rPr>
              <w:t>;</w:t>
            </w:r>
          </w:p>
          <w:p w14:paraId="563C88A0"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g) o societate holding cu activitate mixtă;</w:t>
            </w:r>
          </w:p>
          <w:p w14:paraId="6B52439B" w14:textId="77777777" w:rsidR="00B10A8F" w:rsidRPr="00684853" w:rsidRDefault="00B10A8F" w:rsidP="00B10A8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h) o societate holding de asigurare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societate holding de asigurare cu activitate mixtă;</w:t>
            </w:r>
          </w:p>
          <w:p w14:paraId="5796D1F1" w14:textId="4DF87736" w:rsidR="00395381" w:rsidRPr="00684853" w:rsidRDefault="00B10A8F" w:rsidP="00B10A8F">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i) o întreprindere dintr-un alt stat cu activitate principală comparabilă cu a oricărei dintre </w:t>
            </w:r>
            <w:proofErr w:type="spellStart"/>
            <w:r w:rsidRPr="00684853">
              <w:rPr>
                <w:rFonts w:ascii="Times New Roman" w:hAnsi="Times New Roman" w:cs="Times New Roman"/>
                <w:bCs/>
                <w:color w:val="000000" w:themeColor="text1"/>
                <w:sz w:val="20"/>
                <w:szCs w:val="20"/>
                <w:lang w:val="ro-RO"/>
              </w:rPr>
              <w:t>entităţile</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cadrul </w:t>
            </w:r>
            <w:proofErr w:type="spellStart"/>
            <w:r w:rsidRPr="00684853">
              <w:rPr>
                <w:rFonts w:ascii="Times New Roman" w:hAnsi="Times New Roman" w:cs="Times New Roman"/>
                <w:bCs/>
                <w:color w:val="000000" w:themeColor="text1"/>
                <w:sz w:val="20"/>
                <w:szCs w:val="20"/>
                <w:lang w:val="ro-RO"/>
              </w:rPr>
              <w:t>definiţiei</w:t>
            </w:r>
            <w:proofErr w:type="spellEnd"/>
            <w:r w:rsidRPr="00684853">
              <w:rPr>
                <w:rFonts w:ascii="Times New Roman" w:hAnsi="Times New Roman" w:cs="Times New Roman"/>
                <w:bCs/>
                <w:color w:val="000000" w:themeColor="text1"/>
                <w:sz w:val="20"/>
                <w:szCs w:val="20"/>
                <w:lang w:val="ro-RO"/>
              </w:rPr>
              <w:t xml:space="preserve"> respective;</w:t>
            </w:r>
          </w:p>
        </w:tc>
        <w:tc>
          <w:tcPr>
            <w:tcW w:w="562" w:type="pct"/>
          </w:tcPr>
          <w:p w14:paraId="5000EBA8" w14:textId="77777777" w:rsidR="00395381" w:rsidRPr="00684853" w:rsidRDefault="00395381" w:rsidP="009E0E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4E5D7574" w14:textId="19362455" w:rsidR="00395381" w:rsidRPr="00684853" w:rsidRDefault="00395381" w:rsidP="009E0E54">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 „</w:t>
            </w:r>
            <w:r w:rsidR="00B10A8F" w:rsidRPr="00684853">
              <w:rPr>
                <w:rFonts w:ascii="Times New Roman" w:hAnsi="Times New Roman" w:cs="Times New Roman"/>
                <w:color w:val="000000" w:themeColor="text1"/>
                <w:sz w:val="20"/>
                <w:szCs w:val="20"/>
                <w:lang w:val="ro-RO"/>
              </w:rPr>
              <w:t>entitate din sectorul financiar</w:t>
            </w:r>
            <w:r w:rsidRPr="00684853">
              <w:rPr>
                <w:rFonts w:ascii="Times New Roman" w:hAnsi="Times New Roman" w:cs="Times New Roman"/>
                <w:color w:val="000000" w:themeColor="text1"/>
                <w:sz w:val="20"/>
                <w:szCs w:val="20"/>
                <w:lang w:val="ro-RO"/>
              </w:rPr>
              <w:t>”.</w:t>
            </w:r>
          </w:p>
          <w:p w14:paraId="726FD2C8" w14:textId="77777777" w:rsidR="00395381" w:rsidRPr="00684853" w:rsidRDefault="00395381" w:rsidP="009E0E54">
            <w:pPr>
              <w:jc w:val="both"/>
              <w:rPr>
                <w:rFonts w:ascii="Times New Roman" w:hAnsi="Times New Roman" w:cs="Times New Roman"/>
                <w:color w:val="000000" w:themeColor="text1"/>
                <w:sz w:val="20"/>
                <w:szCs w:val="20"/>
                <w:lang w:val="ro-RO"/>
              </w:rPr>
            </w:pPr>
          </w:p>
        </w:tc>
      </w:tr>
      <w:tr w:rsidR="00EA59FA" w:rsidRPr="00684853" w14:paraId="751BD02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AE8021D" w14:textId="77777777" w:rsidR="0043056B" w:rsidRPr="00684853" w:rsidRDefault="0043056B" w:rsidP="009E0E54">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1E91CEE3" w14:textId="5B927745" w:rsidR="00395381" w:rsidRPr="00684853" w:rsidRDefault="00395381" w:rsidP="009E0E54">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28. </w:t>
            </w:r>
            <w:r w:rsidRPr="00684853">
              <w:rPr>
                <w:rFonts w:ascii="Times New Roman" w:eastAsia="Arial Unicode MS" w:hAnsi="Times New Roman"/>
                <w:color w:val="000000" w:themeColor="text1"/>
                <w:sz w:val="20"/>
                <w:szCs w:val="20"/>
                <w:lang w:val="ro-RO"/>
              </w:rPr>
              <w:t xml:space="preserve">„instituție-mamă dintr-un stat membru” înseamnă o instituție dintr-un stat membru care are ca filială o instituție sau o instituție financiară sau care deține o participație într-o instituție sau instituție financiară și care nu este la rândul său o filială a unei alte instituții </w:t>
            </w:r>
            <w:r w:rsidRPr="00684853">
              <w:rPr>
                <w:rFonts w:ascii="Times New Roman" w:eastAsia="Arial Unicode MS" w:hAnsi="Times New Roman"/>
                <w:color w:val="000000" w:themeColor="text1"/>
                <w:sz w:val="20"/>
                <w:szCs w:val="20"/>
                <w:lang w:val="ro-RO"/>
              </w:rPr>
              <w:lastRenderedPageBreak/>
              <w:t xml:space="preserve">autorizate în același stat membru sau a unei societăți financiare holding sau </w:t>
            </w:r>
            <w:r w:rsidR="0043056B" w:rsidRPr="00684853">
              <w:rPr>
                <w:rFonts w:ascii="Times New Roman" w:eastAsia="Arial Unicode MS" w:hAnsi="Times New Roman"/>
                <w:color w:val="000000" w:themeColor="text1"/>
                <w:sz w:val="20"/>
                <w:szCs w:val="20"/>
                <w:lang w:val="ro-RO"/>
              </w:rPr>
              <w:t xml:space="preserve">a unei </w:t>
            </w:r>
            <w:r w:rsidRPr="00684853">
              <w:rPr>
                <w:rFonts w:ascii="Times New Roman" w:eastAsia="Arial Unicode MS" w:hAnsi="Times New Roman"/>
                <w:color w:val="000000" w:themeColor="text1"/>
                <w:sz w:val="20"/>
                <w:szCs w:val="20"/>
                <w:lang w:val="ro-RO"/>
              </w:rPr>
              <w:t>societăți financiare holding mixte înființate în același stat membru;</w:t>
            </w:r>
          </w:p>
        </w:tc>
        <w:tc>
          <w:tcPr>
            <w:tcW w:w="1636" w:type="pct"/>
          </w:tcPr>
          <w:p w14:paraId="5ABA9B5A"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p>
        </w:tc>
        <w:tc>
          <w:tcPr>
            <w:tcW w:w="562" w:type="pct"/>
          </w:tcPr>
          <w:p w14:paraId="43E6B113" w14:textId="5B079F87" w:rsidR="00395381" w:rsidRPr="00684853" w:rsidRDefault="00ED6896" w:rsidP="005361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006C32A5" w:rsidRPr="00684853">
              <w:rPr>
                <w:rFonts w:ascii="Times New Roman" w:hAnsi="Times New Roman" w:cs="Times New Roman"/>
                <w:color w:val="000000" w:themeColor="text1"/>
                <w:sz w:val="20"/>
                <w:szCs w:val="20"/>
                <w:lang w:val="ro-RO"/>
              </w:rPr>
              <w:t>netranspuse</w:t>
            </w:r>
            <w:r w:rsidRPr="00684853">
              <w:rPr>
                <w:rFonts w:ascii="Times New Roman" w:hAnsi="Times New Roman" w:cs="Times New Roman"/>
                <w:color w:val="000000" w:themeColor="text1"/>
                <w:sz w:val="20"/>
                <w:szCs w:val="20"/>
                <w:lang w:val="ro-RO"/>
              </w:rPr>
              <w:t xml:space="preserve"> </w:t>
            </w:r>
          </w:p>
        </w:tc>
        <w:tc>
          <w:tcPr>
            <w:tcW w:w="885" w:type="pct"/>
          </w:tcPr>
          <w:p w14:paraId="1DE60DE0"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72B55D99" w14:textId="77777777" w:rsidR="00395381" w:rsidRPr="00684853" w:rsidRDefault="00395381" w:rsidP="009E0E54">
            <w:pPr>
              <w:jc w:val="both"/>
              <w:rPr>
                <w:rFonts w:ascii="Times New Roman" w:hAnsi="Times New Roman" w:cs="Times New Roman"/>
                <w:color w:val="000000" w:themeColor="text1"/>
                <w:sz w:val="20"/>
                <w:szCs w:val="20"/>
              </w:rPr>
            </w:pPr>
          </w:p>
        </w:tc>
      </w:tr>
      <w:tr w:rsidR="00EA59FA" w:rsidRPr="00684853" w14:paraId="5E3316E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F7EEAE7" w14:textId="77777777" w:rsidR="00395381" w:rsidRPr="00684853" w:rsidRDefault="00395381" w:rsidP="00854485">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29. </w:t>
            </w:r>
            <w:r w:rsidRPr="00684853">
              <w:rPr>
                <w:rFonts w:ascii="Times New Roman" w:eastAsia="Arial Unicode MS" w:hAnsi="Times New Roman"/>
                <w:color w:val="000000" w:themeColor="text1"/>
                <w:sz w:val="20"/>
                <w:szCs w:val="20"/>
                <w:lang w:val="ro-RO"/>
              </w:rPr>
              <w:t>„instituție-mamă din UE” înseamnă o instituție-mamă dintr-un stat membru care nu este filială a unei alte instituții autorizate în orice stat membru sau a unei societăți financiare holding sau societăți financiare holding mixte înființate în orice stat membru;</w:t>
            </w:r>
          </w:p>
          <w:p w14:paraId="1B61B857" w14:textId="77777777" w:rsidR="00854485" w:rsidRPr="00684853" w:rsidRDefault="00854485" w:rsidP="00854485">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29a. „firmă de investiții-mamă dintr-un stat membru” înseamnă o întreprindere‐mamă dintr-un stat membru care este o firmă de investiții;</w:t>
            </w:r>
          </w:p>
          <w:p w14:paraId="0EE9A6C5" w14:textId="77777777" w:rsidR="00854485" w:rsidRPr="00684853" w:rsidRDefault="00854485" w:rsidP="00854485">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29b. „firmă de investiții-mamă din UE” înseamnă o întreprindere-mamă din UE care este o firmă de investiții;</w:t>
            </w:r>
          </w:p>
          <w:p w14:paraId="4ADFB98F" w14:textId="77777777" w:rsidR="00854485" w:rsidRPr="00684853" w:rsidRDefault="00854485" w:rsidP="00854485">
            <w:pPr>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29c. „instituție de credit-mamă dintr-un stat membru” înseamnă o instituție-mamă dintr-un stat membru care este o instituție de credit;</w:t>
            </w:r>
          </w:p>
          <w:p w14:paraId="470DEE31" w14:textId="03DE7CDE" w:rsidR="00854485" w:rsidRPr="00684853" w:rsidRDefault="00854485" w:rsidP="001442B1">
            <w:pPr>
              <w:jc w:val="both"/>
              <w:rPr>
                <w:color w:val="000000" w:themeColor="text1"/>
                <w:lang w:val="ro-RO"/>
              </w:rPr>
            </w:pPr>
            <w:r w:rsidRPr="00684853">
              <w:rPr>
                <w:rFonts w:ascii="Times New Roman" w:eastAsia="Arial Unicode MS" w:hAnsi="Times New Roman" w:cs="Times New Roman"/>
                <w:color w:val="000000" w:themeColor="text1"/>
                <w:sz w:val="20"/>
                <w:szCs w:val="20"/>
                <w:lang w:val="ro-RO"/>
              </w:rPr>
              <w:t>29d. „instituție de credit-mamă din UE” înseamnă o instituție-mamă din UE care este o instituție de credit;</w:t>
            </w:r>
          </w:p>
        </w:tc>
        <w:tc>
          <w:tcPr>
            <w:tcW w:w="1636" w:type="pct"/>
          </w:tcPr>
          <w:p w14:paraId="7C77AF47"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p>
        </w:tc>
        <w:tc>
          <w:tcPr>
            <w:tcW w:w="562" w:type="pct"/>
          </w:tcPr>
          <w:p w14:paraId="168C4310" w14:textId="6B031A76" w:rsidR="00395381" w:rsidRPr="00684853" w:rsidRDefault="00531E6F" w:rsidP="00536154">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006C32A5" w:rsidRPr="00684853">
              <w:rPr>
                <w:rFonts w:ascii="Times New Roman" w:hAnsi="Times New Roman" w:cs="Times New Roman"/>
                <w:color w:val="000000" w:themeColor="text1"/>
                <w:sz w:val="20"/>
                <w:szCs w:val="20"/>
                <w:lang w:val="ro-RO"/>
              </w:rPr>
              <w:t>netranspuse</w:t>
            </w:r>
            <w:r w:rsidRPr="00684853">
              <w:rPr>
                <w:rFonts w:ascii="Times New Roman" w:hAnsi="Times New Roman" w:cs="Times New Roman"/>
                <w:color w:val="000000" w:themeColor="text1"/>
                <w:sz w:val="20"/>
                <w:szCs w:val="20"/>
                <w:lang w:val="ro-RO"/>
              </w:rPr>
              <w:t xml:space="preserve"> </w:t>
            </w:r>
          </w:p>
        </w:tc>
        <w:tc>
          <w:tcPr>
            <w:tcW w:w="885" w:type="pct"/>
          </w:tcPr>
          <w:p w14:paraId="6F717EF5"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6C0F967C" w14:textId="77777777" w:rsidR="00395381" w:rsidRPr="00684853" w:rsidRDefault="00395381" w:rsidP="009E0E54">
            <w:pPr>
              <w:jc w:val="both"/>
              <w:rPr>
                <w:rFonts w:ascii="Times New Roman" w:hAnsi="Times New Roman" w:cs="Times New Roman"/>
                <w:color w:val="000000" w:themeColor="text1"/>
                <w:sz w:val="20"/>
                <w:szCs w:val="20"/>
              </w:rPr>
            </w:pPr>
          </w:p>
        </w:tc>
      </w:tr>
      <w:tr w:rsidR="00EA59FA" w:rsidRPr="00684853" w14:paraId="4D1DB45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901D9E7"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30. </w:t>
            </w:r>
            <w:r w:rsidRPr="00684853">
              <w:rPr>
                <w:rFonts w:ascii="Times New Roman" w:eastAsia="Arial Unicode MS" w:hAnsi="Times New Roman"/>
                <w:color w:val="000000" w:themeColor="text1"/>
                <w:sz w:val="20"/>
                <w:szCs w:val="20"/>
                <w:lang w:val="ro-RO"/>
              </w:rPr>
              <w:t>„societate financiară holding-mamă dintr-un stat membru” înseamnă o societate financiară holding care nu este la rândul său o filială a unei instituții autorizate în același stat membru sau a unei societăți financiare holding sau societăți financiare holding mixte înființate în același stat membru;</w:t>
            </w:r>
          </w:p>
        </w:tc>
        <w:tc>
          <w:tcPr>
            <w:tcW w:w="1636" w:type="pct"/>
          </w:tcPr>
          <w:p w14:paraId="07117226"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62" w:type="pct"/>
          </w:tcPr>
          <w:p w14:paraId="4354DF9D" w14:textId="211DB3C5"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885" w:type="pct"/>
          </w:tcPr>
          <w:p w14:paraId="3C58C95F"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4721A092" w14:textId="0B865ADF" w:rsidR="006C32A5" w:rsidRPr="00684853" w:rsidRDefault="006C32A5" w:rsidP="006C32A5">
            <w:pPr>
              <w:jc w:val="both"/>
              <w:rPr>
                <w:rFonts w:ascii="Times New Roman" w:hAnsi="Times New Roman" w:cs="Times New Roman"/>
                <w:color w:val="000000" w:themeColor="text1"/>
                <w:sz w:val="20"/>
                <w:szCs w:val="20"/>
                <w:lang w:val="ro-RO"/>
              </w:rPr>
            </w:pPr>
          </w:p>
        </w:tc>
      </w:tr>
      <w:tr w:rsidR="00EA59FA" w:rsidRPr="00684853" w14:paraId="261C986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79C47D3"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31. </w:t>
            </w:r>
            <w:r w:rsidRPr="00684853">
              <w:rPr>
                <w:rFonts w:ascii="Times New Roman" w:eastAsia="Arial Unicode MS" w:hAnsi="Times New Roman"/>
                <w:color w:val="000000" w:themeColor="text1"/>
                <w:sz w:val="20"/>
                <w:szCs w:val="20"/>
                <w:lang w:val="ro-RO"/>
              </w:rPr>
              <w:t>„societate financiară holding-mamă din UE” înseamnă o societate financiară holding-mamă dintr-un stat membru care nu este o filială a unei instituții autorizate în orice stat membru ori a unei alte societăți financiare holding sau societăți financiare holding mixte înființate în orice stat membru;</w:t>
            </w:r>
          </w:p>
        </w:tc>
        <w:tc>
          <w:tcPr>
            <w:tcW w:w="1636" w:type="pct"/>
          </w:tcPr>
          <w:p w14:paraId="117C1171"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62" w:type="pct"/>
          </w:tcPr>
          <w:p w14:paraId="5FB5E0D5" w14:textId="5B9E3C67"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885" w:type="pct"/>
          </w:tcPr>
          <w:p w14:paraId="3128E3B2"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300DB59D" w14:textId="608032C7" w:rsidR="006C32A5" w:rsidRPr="00684853" w:rsidRDefault="006C32A5" w:rsidP="006C32A5">
            <w:pPr>
              <w:jc w:val="both"/>
              <w:rPr>
                <w:rFonts w:ascii="Times New Roman" w:hAnsi="Times New Roman" w:cs="Times New Roman"/>
                <w:color w:val="000000" w:themeColor="text1"/>
                <w:sz w:val="20"/>
                <w:szCs w:val="20"/>
                <w:lang w:val="ro-RO"/>
              </w:rPr>
            </w:pPr>
          </w:p>
        </w:tc>
      </w:tr>
      <w:tr w:rsidR="00EA59FA" w:rsidRPr="00684853" w14:paraId="69246F9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20E601C"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 xml:space="preserve">32. </w:t>
            </w:r>
            <w:r w:rsidRPr="00684853">
              <w:rPr>
                <w:rFonts w:ascii="Times New Roman" w:eastAsia="Arial Unicode MS" w:hAnsi="Times New Roman"/>
                <w:color w:val="000000" w:themeColor="text1"/>
                <w:sz w:val="20"/>
                <w:szCs w:val="20"/>
                <w:lang w:val="ro-RO"/>
              </w:rPr>
              <w:t>„societate financiară holding mixtă-mamă dintr-un stat membru” înseamnă o societate financiară holding mixtă care nu este la rândul său o filială a unei instituții autorizate în același stat membru sau a unei societăți financiare holding sau societăți financiare holding mixte înființat în același stat membru;</w:t>
            </w:r>
          </w:p>
        </w:tc>
        <w:tc>
          <w:tcPr>
            <w:tcW w:w="1636" w:type="pct"/>
          </w:tcPr>
          <w:p w14:paraId="6C89E5B7"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62" w:type="pct"/>
          </w:tcPr>
          <w:p w14:paraId="013E8BA1" w14:textId="7A22A5C7"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885" w:type="pct"/>
          </w:tcPr>
          <w:p w14:paraId="65CB1451"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4AB59E5E" w14:textId="1E3EAEF8" w:rsidR="006C32A5" w:rsidRPr="00684853" w:rsidRDefault="006C32A5" w:rsidP="006C32A5">
            <w:pPr>
              <w:jc w:val="both"/>
              <w:rPr>
                <w:rFonts w:ascii="Times New Roman" w:hAnsi="Times New Roman" w:cs="Times New Roman"/>
                <w:color w:val="000000" w:themeColor="text1"/>
                <w:sz w:val="20"/>
                <w:szCs w:val="20"/>
                <w:lang w:val="ro-RO"/>
              </w:rPr>
            </w:pPr>
          </w:p>
        </w:tc>
      </w:tr>
      <w:tr w:rsidR="00EA59FA" w:rsidRPr="00684853" w14:paraId="260244D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5D92DF3" w14:textId="77777777" w:rsidR="006C32A5" w:rsidRPr="00684853" w:rsidRDefault="006C32A5" w:rsidP="006C32A5">
            <w:pPr>
              <w:pStyle w:val="CM4"/>
              <w:spacing w:after="120"/>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33. </w:t>
            </w:r>
            <w:r w:rsidRPr="00684853">
              <w:rPr>
                <w:rFonts w:ascii="Times New Roman" w:eastAsia="Arial Unicode MS" w:hAnsi="Times New Roman"/>
                <w:color w:val="000000" w:themeColor="text1"/>
                <w:sz w:val="20"/>
                <w:szCs w:val="20"/>
                <w:lang w:val="ro-RO"/>
              </w:rPr>
              <w:t>„societate financiară holding mixtă-mamă din UE” înseamnă o societate financiară holding mixtă-mamă dintr-un stat membru, care nu este o filială a unei instituții autorizate în orice stat membru ori a unei alte societăți financiare holding sau societăți financiare holding mixte înființate în orice stat membru;</w:t>
            </w:r>
          </w:p>
        </w:tc>
        <w:tc>
          <w:tcPr>
            <w:tcW w:w="1636" w:type="pct"/>
          </w:tcPr>
          <w:p w14:paraId="67C48B0E" w14:textId="77777777" w:rsidR="006C32A5" w:rsidRPr="00684853" w:rsidRDefault="006C32A5" w:rsidP="006C32A5">
            <w:pPr>
              <w:spacing w:after="0" w:line="276" w:lineRule="auto"/>
              <w:jc w:val="both"/>
              <w:rPr>
                <w:rFonts w:ascii="Times New Roman" w:hAnsi="Times New Roman" w:cs="Times New Roman"/>
                <w:b/>
                <w:color w:val="000000" w:themeColor="text1"/>
                <w:sz w:val="20"/>
                <w:szCs w:val="20"/>
                <w:lang w:val="ro-RO"/>
              </w:rPr>
            </w:pPr>
          </w:p>
        </w:tc>
        <w:tc>
          <w:tcPr>
            <w:tcW w:w="562" w:type="pct"/>
          </w:tcPr>
          <w:p w14:paraId="7A1798BC" w14:textId="7267D769" w:rsidR="006C32A5" w:rsidRPr="00684853" w:rsidRDefault="006C32A5" w:rsidP="006C32A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885" w:type="pct"/>
          </w:tcPr>
          <w:p w14:paraId="1D8770BC" w14:textId="77777777" w:rsidR="006C32A5" w:rsidRPr="00684853" w:rsidRDefault="006C32A5" w:rsidP="006C32A5">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p w14:paraId="44A63C52" w14:textId="14BFCF7B" w:rsidR="006C32A5" w:rsidRPr="00684853" w:rsidRDefault="006C32A5" w:rsidP="006C32A5">
            <w:pPr>
              <w:jc w:val="both"/>
              <w:rPr>
                <w:rFonts w:ascii="Times New Roman" w:hAnsi="Times New Roman" w:cs="Times New Roman"/>
                <w:color w:val="000000" w:themeColor="text1"/>
                <w:sz w:val="20"/>
                <w:szCs w:val="20"/>
                <w:lang w:val="ro-RO"/>
              </w:rPr>
            </w:pPr>
          </w:p>
        </w:tc>
      </w:tr>
      <w:tr w:rsidR="00EA59FA" w:rsidRPr="00684853" w14:paraId="2B7B83B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4017D89A"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34. </w:t>
            </w:r>
            <w:r w:rsidRPr="00684853">
              <w:rPr>
                <w:rFonts w:ascii="Times New Roman" w:hAnsi="Times New Roman" w:cs="Times New Roman"/>
                <w:color w:val="000000" w:themeColor="text1"/>
                <w:sz w:val="20"/>
                <w:szCs w:val="20"/>
                <w:lang w:val="ro-RO"/>
              </w:rPr>
              <w:t>„</w:t>
            </w:r>
            <w:proofErr w:type="spellStart"/>
            <w:r w:rsidRPr="00684853">
              <w:rPr>
                <w:rFonts w:ascii="Times New Roman" w:hAnsi="Times New Roman" w:cs="Times New Roman"/>
                <w:color w:val="000000" w:themeColor="text1"/>
                <w:sz w:val="20"/>
                <w:szCs w:val="20"/>
                <w:lang w:val="ro-RO"/>
              </w:rPr>
              <w:t>contraparte</w:t>
            </w:r>
            <w:proofErr w:type="spellEnd"/>
            <w:r w:rsidRPr="00684853">
              <w:rPr>
                <w:rFonts w:ascii="Times New Roman" w:hAnsi="Times New Roman" w:cs="Times New Roman"/>
                <w:color w:val="000000" w:themeColor="text1"/>
                <w:sz w:val="20"/>
                <w:szCs w:val="20"/>
                <w:lang w:val="ro-RO"/>
              </w:rPr>
              <w:t xml:space="preserve"> centrală”</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sau</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„CPC”</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înseamnă o CPC astfel cum este definită la articolul 2 punctul 1 din Regulamentul (UE) nr. 648/2012;</w:t>
            </w:r>
          </w:p>
        </w:tc>
        <w:tc>
          <w:tcPr>
            <w:tcW w:w="1636" w:type="pct"/>
          </w:tcPr>
          <w:p w14:paraId="1E868F83" w14:textId="77777777" w:rsidR="00395381" w:rsidRPr="00684853" w:rsidRDefault="00395381" w:rsidP="000E7E35">
            <w:pPr>
              <w:spacing w:after="0" w:line="276" w:lineRule="auto"/>
              <w:jc w:val="both"/>
              <w:rPr>
                <w:rFonts w:ascii="Times New Roman" w:hAnsi="Times New Roman" w:cs="Times New Roman"/>
                <w:b/>
                <w:i/>
                <w:color w:val="000000" w:themeColor="text1"/>
                <w:sz w:val="20"/>
                <w:szCs w:val="20"/>
                <w:lang w:val="ro-RO"/>
              </w:rPr>
            </w:pPr>
            <w:r w:rsidRPr="00684853">
              <w:rPr>
                <w:rFonts w:ascii="Times New Roman" w:hAnsi="Times New Roman" w:cs="Times New Roman"/>
                <w:b/>
                <w:i/>
                <w:color w:val="000000" w:themeColor="text1"/>
                <w:sz w:val="20"/>
                <w:szCs w:val="20"/>
                <w:lang w:val="ro-RO"/>
              </w:rPr>
              <w:t>Secțiunea 1. Domeniu de aplicare și noțiuni</w:t>
            </w:r>
          </w:p>
          <w:p w14:paraId="4423D4A6" w14:textId="77777777" w:rsidR="00395381" w:rsidRPr="00684853" w:rsidRDefault="00395381" w:rsidP="00B07610">
            <w:pPr>
              <w:numPr>
                <w:ilvl w:val="0"/>
                <w:numId w:val="91"/>
              </w:numPr>
              <w:tabs>
                <w:tab w:val="left" w:pos="307"/>
              </w:tabs>
              <w:spacing w:after="0" w:line="276" w:lineRule="auto"/>
              <w:ind w:left="24" w:firstLine="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sensul prezentului regulament se utilizează următoarele </w:t>
            </w:r>
            <w:proofErr w:type="spellStart"/>
            <w:r w:rsidRPr="00684853">
              <w:rPr>
                <w:rFonts w:ascii="Times New Roman" w:hAnsi="Times New Roman" w:cs="Times New Roman"/>
                <w:color w:val="000000" w:themeColor="text1"/>
                <w:sz w:val="20"/>
                <w:szCs w:val="20"/>
                <w:lang w:val="ro-RO"/>
              </w:rPr>
              <w:t>noţiuni</w:t>
            </w:r>
            <w:proofErr w:type="spellEnd"/>
            <w:r w:rsidRPr="00684853">
              <w:rPr>
                <w:rFonts w:ascii="Times New Roman" w:hAnsi="Times New Roman" w:cs="Times New Roman"/>
                <w:color w:val="000000" w:themeColor="text1"/>
                <w:sz w:val="20"/>
                <w:szCs w:val="20"/>
                <w:lang w:val="ro-RO"/>
              </w:rPr>
              <w:t>:</w:t>
            </w:r>
          </w:p>
          <w:p w14:paraId="2F5096E7" w14:textId="77777777" w:rsidR="00395381" w:rsidRPr="00684853" w:rsidRDefault="00395381" w:rsidP="000E7E35">
            <w:pPr>
              <w:spacing w:after="0" w:line="276" w:lineRule="auto"/>
              <w:jc w:val="both"/>
              <w:rPr>
                <w:rFonts w:ascii="Times New Roman" w:hAnsi="Times New Roman" w:cs="Times New Roman"/>
                <w:iCs/>
                <w:color w:val="000000" w:themeColor="text1"/>
                <w:sz w:val="20"/>
                <w:szCs w:val="20"/>
                <w:lang w:val="ro-RO"/>
              </w:rPr>
            </w:pPr>
            <w:proofErr w:type="spellStart"/>
            <w:r w:rsidRPr="00684853">
              <w:rPr>
                <w:rFonts w:ascii="Times New Roman" w:hAnsi="Times New Roman" w:cs="Times New Roman"/>
                <w:b/>
                <w:i/>
                <w:iCs/>
                <w:color w:val="000000" w:themeColor="text1"/>
                <w:sz w:val="20"/>
                <w:szCs w:val="20"/>
                <w:lang w:val="ro-RO"/>
              </w:rPr>
              <w:t>contraparte</w:t>
            </w:r>
            <w:proofErr w:type="spellEnd"/>
            <w:r w:rsidRPr="00684853">
              <w:rPr>
                <w:rFonts w:ascii="Times New Roman" w:hAnsi="Times New Roman" w:cs="Times New Roman"/>
                <w:b/>
                <w:i/>
                <w:iCs/>
                <w:color w:val="000000" w:themeColor="text1"/>
                <w:sz w:val="20"/>
                <w:szCs w:val="20"/>
                <w:lang w:val="ro-RO"/>
              </w:rPr>
              <w:t xml:space="preserve"> centrală (CPC)</w:t>
            </w:r>
            <w:r w:rsidRPr="00684853">
              <w:rPr>
                <w:rFonts w:ascii="Times New Roman" w:hAnsi="Times New Roman" w:cs="Times New Roman"/>
                <w:b/>
                <w:iCs/>
                <w:color w:val="000000" w:themeColor="text1"/>
                <w:sz w:val="20"/>
                <w:szCs w:val="20"/>
                <w:lang w:val="ro-RO"/>
              </w:rPr>
              <w:t xml:space="preserve"> </w:t>
            </w:r>
            <w:r w:rsidRPr="00684853">
              <w:rPr>
                <w:rFonts w:ascii="Times New Roman" w:hAnsi="Times New Roman" w:cs="Times New Roman"/>
                <w:iCs/>
                <w:color w:val="000000" w:themeColor="text1"/>
                <w:sz w:val="20"/>
                <w:szCs w:val="20"/>
                <w:lang w:val="ro-RO"/>
              </w:rPr>
              <w:t xml:space="preserve">- o persoană juridică care se interpune între </w:t>
            </w:r>
            <w:proofErr w:type="spellStart"/>
            <w:r w:rsidRPr="00684853">
              <w:rPr>
                <w:rFonts w:ascii="Times New Roman" w:hAnsi="Times New Roman" w:cs="Times New Roman"/>
                <w:iCs/>
                <w:color w:val="000000" w:themeColor="text1"/>
                <w:sz w:val="20"/>
                <w:szCs w:val="20"/>
                <w:lang w:val="ro-RO"/>
              </w:rPr>
              <w:t>contrapărțile</w:t>
            </w:r>
            <w:proofErr w:type="spellEnd"/>
            <w:r w:rsidRPr="00684853">
              <w:rPr>
                <w:rFonts w:ascii="Times New Roman" w:hAnsi="Times New Roman" w:cs="Times New Roman"/>
                <w:iCs/>
                <w:color w:val="000000" w:themeColor="text1"/>
                <w:sz w:val="20"/>
                <w:szCs w:val="20"/>
                <w:lang w:val="ro-RO"/>
              </w:rPr>
              <w:t xml:space="preserve"> la contractele tranzacționate pe una sau mai multe piețe financiare, devenind astfel cumpărător pentru fiecare vânzător și vânzător pentru fiecare cumpărător; </w:t>
            </w:r>
          </w:p>
          <w:p w14:paraId="6DDD6662" w14:textId="77777777" w:rsidR="00395381" w:rsidRPr="00684853" w:rsidRDefault="00395381" w:rsidP="009E0E54">
            <w:pPr>
              <w:spacing w:after="0" w:line="276" w:lineRule="auto"/>
              <w:jc w:val="both"/>
              <w:rPr>
                <w:rFonts w:ascii="Times New Roman" w:hAnsi="Times New Roman" w:cs="Times New Roman"/>
                <w:b/>
                <w:color w:val="000000" w:themeColor="text1"/>
                <w:sz w:val="20"/>
                <w:szCs w:val="20"/>
                <w:lang w:val="ro-RO"/>
              </w:rPr>
            </w:pPr>
          </w:p>
        </w:tc>
        <w:tc>
          <w:tcPr>
            <w:tcW w:w="562" w:type="pct"/>
          </w:tcPr>
          <w:p w14:paraId="61ADA0A8" w14:textId="77777777" w:rsidR="00395381" w:rsidRPr="00684853" w:rsidRDefault="00395381" w:rsidP="009E0E54">
            <w:pPr>
              <w:jc w:val="both"/>
              <w:rPr>
                <w:rFonts w:ascii="Times New Roman" w:hAnsi="Times New Roman" w:cs="Times New Roman"/>
                <w:color w:val="000000" w:themeColor="text1"/>
                <w:sz w:val="20"/>
                <w:szCs w:val="20"/>
                <w:highlight w:val="red"/>
                <w:lang w:val="ro-RO"/>
              </w:rPr>
            </w:pPr>
            <w:r w:rsidRPr="00684853">
              <w:rPr>
                <w:rFonts w:ascii="Times New Roman" w:hAnsi="Times New Roman" w:cs="Times New Roman"/>
                <w:color w:val="000000" w:themeColor="text1"/>
                <w:sz w:val="20"/>
                <w:szCs w:val="20"/>
                <w:lang w:val="ro-RO"/>
              </w:rPr>
              <w:t xml:space="preserve">Compatibil </w:t>
            </w:r>
          </w:p>
        </w:tc>
        <w:tc>
          <w:tcPr>
            <w:tcW w:w="885" w:type="pct"/>
          </w:tcPr>
          <w:p w14:paraId="5CF92BF7" w14:textId="575F2C6E" w:rsidR="00395381" w:rsidRPr="00684853" w:rsidRDefault="00395381" w:rsidP="009E0E54">
            <w:pPr>
              <w:rPr>
                <w:rFonts w:ascii="Times New Roman" w:hAnsi="Times New Roman" w:cs="Times New Roman"/>
                <w:color w:val="000000" w:themeColor="text1"/>
                <w:sz w:val="20"/>
                <w:szCs w:val="20"/>
                <w:highlight w:val="red"/>
                <w:lang w:val="ro-RO"/>
              </w:rPr>
            </w:pPr>
            <w:r w:rsidRPr="00684853">
              <w:rPr>
                <w:rFonts w:ascii="Times New Roman" w:hAnsi="Times New Roman" w:cs="Times New Roman"/>
                <w:color w:val="000000" w:themeColor="text1"/>
                <w:sz w:val="20"/>
                <w:szCs w:val="20"/>
                <w:lang w:val="ro-RO"/>
              </w:rPr>
              <w:t xml:space="preserve">Definiția a fost transpusă </w:t>
            </w:r>
            <w:r w:rsidRPr="00684853">
              <w:rPr>
                <w:rFonts w:ascii="Times New Roman" w:hAnsi="Times New Roman" w:cs="Times New Roman"/>
                <w:b/>
                <w:color w:val="000000" w:themeColor="text1"/>
                <w:sz w:val="20"/>
                <w:szCs w:val="20"/>
                <w:lang w:val="ro-RO"/>
              </w:rPr>
              <w:t xml:space="preserve">în Regulamentul nr.102/2020 cu privire la tratamentul riscului de credit al </w:t>
            </w:r>
            <w:proofErr w:type="spellStart"/>
            <w:r w:rsidRPr="00684853">
              <w:rPr>
                <w:rFonts w:ascii="Times New Roman" w:hAnsi="Times New Roman" w:cs="Times New Roman"/>
                <w:b/>
                <w:color w:val="000000" w:themeColor="text1"/>
                <w:sz w:val="20"/>
                <w:szCs w:val="20"/>
                <w:lang w:val="ro-RO"/>
              </w:rPr>
              <w:t>contrapărții</w:t>
            </w:r>
            <w:proofErr w:type="spellEnd"/>
            <w:r w:rsidRPr="00684853">
              <w:rPr>
                <w:rFonts w:ascii="Times New Roman" w:hAnsi="Times New Roman" w:cs="Times New Roman"/>
                <w:b/>
                <w:color w:val="000000" w:themeColor="text1"/>
                <w:sz w:val="20"/>
                <w:szCs w:val="20"/>
                <w:lang w:val="ro-RO"/>
              </w:rPr>
              <w:t xml:space="preserve"> pentru bănci</w:t>
            </w:r>
            <w:r w:rsidRPr="00684853">
              <w:rPr>
                <w:rFonts w:ascii="Times New Roman" w:hAnsi="Times New Roman" w:cs="Times New Roman"/>
                <w:color w:val="000000" w:themeColor="text1"/>
                <w:sz w:val="20"/>
                <w:szCs w:val="20"/>
                <w:lang w:val="ro-RO"/>
              </w:rPr>
              <w:t xml:space="preserve"> conform art. 2 punctul 1 din Regulamentul (UE) nr. 648/2012. </w:t>
            </w:r>
          </w:p>
        </w:tc>
      </w:tr>
      <w:tr w:rsidR="00EA59FA" w:rsidRPr="00684853" w14:paraId="5521120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9DFB9CD" w14:textId="77777777" w:rsidR="0043056B" w:rsidRPr="00684853" w:rsidRDefault="0043056B"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C79F8D9" w14:textId="5E46F85C"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35. </w:t>
            </w:r>
            <w:r w:rsidRPr="00684853">
              <w:rPr>
                <w:rFonts w:ascii="Times New Roman" w:eastAsia="Arial Unicode MS" w:hAnsi="Times New Roman"/>
                <w:color w:val="000000" w:themeColor="text1"/>
                <w:sz w:val="20"/>
                <w:szCs w:val="20"/>
                <w:lang w:val="ro-RO"/>
              </w:rPr>
              <w:t xml:space="preserve">„participație” înseamnă </w:t>
            </w:r>
            <w:r w:rsidR="0043056B" w:rsidRPr="00684853">
              <w:rPr>
                <w:rFonts w:ascii="Times New Roman" w:eastAsia="Arial Unicode MS" w:hAnsi="Times New Roman"/>
                <w:color w:val="000000" w:themeColor="text1"/>
                <w:sz w:val="20"/>
                <w:szCs w:val="20"/>
                <w:lang w:val="ro-RO"/>
              </w:rPr>
              <w:t>un interes de participare astfel cum este definit la articolul 2 punctul (2) din Directiva 2013/34/UE a Parlamentului European și a Consiliului (*</w:t>
            </w:r>
            <w:r w:rsidR="001442B1" w:rsidRPr="00684853">
              <w:rPr>
                <w:rFonts w:ascii="Times New Roman" w:eastAsia="Arial Unicode MS" w:hAnsi="Times New Roman"/>
                <w:color w:val="000000" w:themeColor="text1"/>
                <w:sz w:val="20"/>
                <w:szCs w:val="20"/>
                <w:lang w:val="ro-RO"/>
              </w:rPr>
              <w:t>12</w:t>
            </w:r>
            <w:r w:rsidR="0043056B" w:rsidRPr="00684853">
              <w:rPr>
                <w:rFonts w:ascii="Times New Roman" w:eastAsia="Arial Unicode MS" w:hAnsi="Times New Roman"/>
                <w:color w:val="000000" w:themeColor="text1"/>
                <w:sz w:val="20"/>
                <w:szCs w:val="20"/>
                <w:lang w:val="ro-RO"/>
              </w:rPr>
              <w:t xml:space="preserve">) </w:t>
            </w:r>
            <w:r w:rsidRPr="00684853">
              <w:rPr>
                <w:rFonts w:ascii="Times New Roman" w:eastAsia="Arial Unicode MS" w:hAnsi="Times New Roman"/>
                <w:color w:val="000000" w:themeColor="text1"/>
                <w:sz w:val="20"/>
                <w:szCs w:val="20"/>
                <w:lang w:val="ro-RO"/>
              </w:rPr>
              <w:t>sau deținerea, direct</w:t>
            </w:r>
            <w:r w:rsidR="001442B1" w:rsidRPr="00684853">
              <w:rPr>
                <w:rFonts w:ascii="Times New Roman" w:eastAsia="Arial Unicode MS" w:hAnsi="Times New Roman"/>
                <w:color w:val="000000" w:themeColor="text1"/>
                <w:sz w:val="20"/>
                <w:szCs w:val="20"/>
                <w:lang w:val="ro-RO"/>
              </w:rPr>
              <w:t>ă</w:t>
            </w:r>
            <w:r w:rsidRPr="00684853">
              <w:rPr>
                <w:rFonts w:ascii="Times New Roman" w:eastAsia="Arial Unicode MS" w:hAnsi="Times New Roman"/>
                <w:color w:val="000000" w:themeColor="text1"/>
                <w:sz w:val="20"/>
                <w:szCs w:val="20"/>
                <w:lang w:val="ro-RO"/>
              </w:rPr>
              <w:t xml:space="preserve"> sau indirect</w:t>
            </w:r>
            <w:r w:rsidR="001442B1" w:rsidRPr="00684853">
              <w:rPr>
                <w:rFonts w:ascii="Times New Roman" w:eastAsia="Arial Unicode MS" w:hAnsi="Times New Roman"/>
                <w:color w:val="000000" w:themeColor="text1"/>
                <w:sz w:val="20"/>
                <w:szCs w:val="20"/>
                <w:lang w:val="ro-RO"/>
              </w:rPr>
              <w:t>ă</w:t>
            </w:r>
            <w:r w:rsidRPr="00684853">
              <w:rPr>
                <w:rFonts w:ascii="Times New Roman" w:eastAsia="Arial Unicode MS" w:hAnsi="Times New Roman"/>
                <w:color w:val="000000" w:themeColor="text1"/>
                <w:sz w:val="20"/>
                <w:szCs w:val="20"/>
                <w:lang w:val="ro-RO"/>
              </w:rPr>
              <w:t>, a cel puțin 20 % din drepturile de vot sau din capitalul unei întreprinderi;</w:t>
            </w:r>
          </w:p>
        </w:tc>
        <w:tc>
          <w:tcPr>
            <w:tcW w:w="1636" w:type="pct"/>
          </w:tcPr>
          <w:p w14:paraId="2E4C7B18" w14:textId="1759457D" w:rsidR="00395381" w:rsidRPr="00684853" w:rsidRDefault="005F55B1"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participaţie</w:t>
            </w:r>
            <w:proofErr w:type="spellEnd"/>
            <w:r w:rsidRPr="00684853">
              <w:rPr>
                <w:rFonts w:ascii="Times New Roman" w:hAnsi="Times New Roman" w:cs="Times New Roman"/>
                <w:b/>
                <w:color w:val="000000" w:themeColor="text1"/>
                <w:sz w:val="20"/>
                <w:szCs w:val="20"/>
                <w:lang w:val="ro-RO"/>
              </w:rPr>
              <w:t xml:space="preserve"> – </w:t>
            </w:r>
            <w:proofErr w:type="spellStart"/>
            <w:r w:rsidRPr="00684853">
              <w:rPr>
                <w:rFonts w:ascii="Times New Roman" w:hAnsi="Times New Roman" w:cs="Times New Roman"/>
                <w:bCs/>
                <w:color w:val="000000" w:themeColor="text1"/>
                <w:sz w:val="20"/>
                <w:szCs w:val="20"/>
                <w:lang w:val="ro-RO"/>
              </w:rPr>
              <w:t>deţinerea</w:t>
            </w:r>
            <w:proofErr w:type="spellEnd"/>
            <w:r w:rsidRPr="00684853">
              <w:rPr>
                <w:rFonts w:ascii="Times New Roman" w:hAnsi="Times New Roman" w:cs="Times New Roman"/>
                <w:bCs/>
                <w:color w:val="000000" w:themeColor="text1"/>
                <w:sz w:val="20"/>
                <w:szCs w:val="20"/>
                <w:lang w:val="ro-RO"/>
              </w:rPr>
              <w:t xml:space="preserve"> directă sau indirectă a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20% din drepturile de vot sau din capitalul social al unei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w:t>
            </w:r>
          </w:p>
        </w:tc>
        <w:tc>
          <w:tcPr>
            <w:tcW w:w="562" w:type="pct"/>
          </w:tcPr>
          <w:p w14:paraId="471B0E87" w14:textId="77777777" w:rsidR="00395381" w:rsidRPr="00684853" w:rsidRDefault="00395381" w:rsidP="00B571EB">
            <w:pPr>
              <w:rPr>
                <w:rFonts w:ascii="Times New Roman" w:hAnsi="Times New Roman" w:cs="Times New Roman"/>
                <w:color w:val="000000" w:themeColor="text1"/>
                <w:sz w:val="20"/>
                <w:szCs w:val="20"/>
                <w:lang w:val="ro-RO"/>
              </w:rPr>
            </w:pPr>
          </w:p>
          <w:p w14:paraId="74091D78" w14:textId="46323FA4" w:rsidR="00395381" w:rsidRPr="00684853" w:rsidRDefault="003B431D"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1CBC68ED" w14:textId="58E90DED" w:rsidR="00395381" w:rsidRPr="00684853" w:rsidRDefault="00395381" w:rsidP="00D747EC">
            <w:pPr>
              <w:pStyle w:val="CM4"/>
              <w:spacing w:after="120"/>
              <w:rPr>
                <w:rFonts w:ascii="Times New Roman"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 xml:space="preserve">Noțiunea de participație </w:t>
            </w:r>
            <w:r w:rsidR="00D747EC" w:rsidRPr="00684853">
              <w:rPr>
                <w:rFonts w:ascii="Times New Roman" w:eastAsia="Arial Unicode MS" w:hAnsi="Times New Roman"/>
                <w:color w:val="000000" w:themeColor="text1"/>
                <w:sz w:val="20"/>
                <w:szCs w:val="20"/>
                <w:lang w:val="ro-RO"/>
              </w:rPr>
              <w:t xml:space="preserve">se regăsește </w:t>
            </w:r>
            <w:r w:rsidRPr="00684853">
              <w:rPr>
                <w:rFonts w:ascii="Times New Roman" w:eastAsia="Arial Unicode MS" w:hAnsi="Times New Roman"/>
                <w:color w:val="000000" w:themeColor="text1"/>
                <w:sz w:val="20"/>
                <w:szCs w:val="20"/>
                <w:lang w:val="ro-RO"/>
              </w:rPr>
              <w:t xml:space="preserve">în </w:t>
            </w:r>
            <w:r w:rsidRPr="00684853">
              <w:rPr>
                <w:rFonts w:ascii="Times New Roman" w:eastAsia="Arial Unicode MS" w:hAnsi="Times New Roman"/>
                <w:b/>
                <w:color w:val="000000" w:themeColor="text1"/>
                <w:sz w:val="20"/>
                <w:szCs w:val="20"/>
                <w:lang w:val="ro-RO"/>
              </w:rPr>
              <w:t>Legea nr. 250/2017 cu privire la supravegherea suplimentară a băncilor, asigurătorilor/</w:t>
            </w:r>
            <w:proofErr w:type="spellStart"/>
            <w:r w:rsidRPr="00684853">
              <w:rPr>
                <w:rFonts w:ascii="Times New Roman" w:eastAsia="Arial Unicode MS" w:hAnsi="Times New Roman"/>
                <w:b/>
                <w:color w:val="000000" w:themeColor="text1"/>
                <w:sz w:val="20"/>
                <w:szCs w:val="20"/>
                <w:lang w:val="ro-RO"/>
              </w:rPr>
              <w:t>reasigurătorilor</w:t>
            </w:r>
            <w:proofErr w:type="spellEnd"/>
            <w:r w:rsidRPr="00684853">
              <w:rPr>
                <w:rFonts w:ascii="Times New Roman" w:eastAsia="Arial Unicode MS" w:hAnsi="Times New Roman"/>
                <w:b/>
                <w:color w:val="000000" w:themeColor="text1"/>
                <w:sz w:val="20"/>
                <w:szCs w:val="20"/>
                <w:lang w:val="ro-RO"/>
              </w:rPr>
              <w:t xml:space="preserve"> </w:t>
            </w:r>
            <w:proofErr w:type="spellStart"/>
            <w:r w:rsidRPr="00684853">
              <w:rPr>
                <w:rFonts w:ascii="Times New Roman" w:eastAsia="Arial Unicode MS" w:hAnsi="Times New Roman"/>
                <w:b/>
                <w:color w:val="000000" w:themeColor="text1"/>
                <w:sz w:val="20"/>
                <w:szCs w:val="20"/>
                <w:lang w:val="ro-RO"/>
              </w:rPr>
              <w:t>şi</w:t>
            </w:r>
            <w:proofErr w:type="spellEnd"/>
            <w:r w:rsidRPr="00684853">
              <w:rPr>
                <w:rFonts w:ascii="Times New Roman" w:eastAsia="Arial Unicode MS" w:hAnsi="Times New Roman"/>
                <w:b/>
                <w:color w:val="000000" w:themeColor="text1"/>
                <w:sz w:val="20"/>
                <w:szCs w:val="20"/>
                <w:lang w:val="ro-RO"/>
              </w:rPr>
              <w:t xml:space="preserve"> a </w:t>
            </w:r>
            <w:proofErr w:type="spellStart"/>
            <w:r w:rsidRPr="00684853">
              <w:rPr>
                <w:rFonts w:ascii="Times New Roman" w:eastAsia="Arial Unicode MS" w:hAnsi="Times New Roman"/>
                <w:b/>
                <w:color w:val="000000" w:themeColor="text1"/>
                <w:sz w:val="20"/>
                <w:szCs w:val="20"/>
                <w:lang w:val="ro-RO"/>
              </w:rPr>
              <w:t>societăţilor</w:t>
            </w:r>
            <w:proofErr w:type="spellEnd"/>
            <w:r w:rsidRPr="00684853">
              <w:rPr>
                <w:rFonts w:ascii="Times New Roman" w:eastAsia="Arial Unicode MS" w:hAnsi="Times New Roman"/>
                <w:b/>
                <w:color w:val="000000" w:themeColor="text1"/>
                <w:sz w:val="20"/>
                <w:szCs w:val="20"/>
                <w:lang w:val="ro-RO"/>
              </w:rPr>
              <w:t xml:space="preserve"> de </w:t>
            </w:r>
            <w:proofErr w:type="spellStart"/>
            <w:r w:rsidRPr="00684853">
              <w:rPr>
                <w:rFonts w:ascii="Times New Roman" w:eastAsia="Arial Unicode MS" w:hAnsi="Times New Roman"/>
                <w:b/>
                <w:color w:val="000000" w:themeColor="text1"/>
                <w:sz w:val="20"/>
                <w:szCs w:val="20"/>
                <w:lang w:val="ro-RO"/>
              </w:rPr>
              <w:t>investiţii</w:t>
            </w:r>
            <w:proofErr w:type="spellEnd"/>
            <w:r w:rsidRPr="00684853">
              <w:rPr>
                <w:rFonts w:ascii="Times New Roman" w:eastAsia="Arial Unicode MS" w:hAnsi="Times New Roman"/>
                <w:b/>
                <w:color w:val="000000" w:themeColor="text1"/>
                <w:sz w:val="20"/>
                <w:szCs w:val="20"/>
                <w:lang w:val="ro-RO"/>
              </w:rPr>
              <w:t xml:space="preserve"> care </w:t>
            </w:r>
            <w:proofErr w:type="spellStart"/>
            <w:r w:rsidRPr="00684853">
              <w:rPr>
                <w:rFonts w:ascii="Times New Roman" w:eastAsia="Arial Unicode MS" w:hAnsi="Times New Roman"/>
                <w:b/>
                <w:color w:val="000000" w:themeColor="text1"/>
                <w:sz w:val="20"/>
                <w:szCs w:val="20"/>
                <w:lang w:val="ro-RO"/>
              </w:rPr>
              <w:t>aparţin</w:t>
            </w:r>
            <w:proofErr w:type="spellEnd"/>
            <w:r w:rsidRPr="00684853">
              <w:rPr>
                <w:rFonts w:ascii="Times New Roman" w:eastAsia="Arial Unicode MS" w:hAnsi="Times New Roman"/>
                <w:b/>
                <w:color w:val="000000" w:themeColor="text1"/>
                <w:sz w:val="20"/>
                <w:szCs w:val="20"/>
                <w:lang w:val="ro-RO"/>
              </w:rPr>
              <w:t xml:space="preserve"> unui conglomerat financiar</w:t>
            </w:r>
          </w:p>
        </w:tc>
      </w:tr>
      <w:tr w:rsidR="00EA59FA" w:rsidRPr="00684853" w14:paraId="43F57D0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0BE3F2E"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36. </w:t>
            </w:r>
            <w:r w:rsidRPr="00684853">
              <w:rPr>
                <w:rFonts w:ascii="Times New Roman" w:eastAsia="Arial Unicode MS" w:hAnsi="Times New Roman"/>
                <w:color w:val="000000" w:themeColor="text1"/>
                <w:sz w:val="20"/>
                <w:szCs w:val="20"/>
                <w:lang w:val="ro-RO"/>
              </w:rPr>
              <w:t xml:space="preserve">„deținere calificată” înseamnă o deținere directă sau indirectă într-o întreprindere care reprezintă cel puțin 10 % din capital sau din </w:t>
            </w:r>
            <w:r w:rsidRPr="00684853">
              <w:rPr>
                <w:rFonts w:ascii="Times New Roman" w:eastAsia="Arial Unicode MS" w:hAnsi="Times New Roman"/>
                <w:color w:val="000000" w:themeColor="text1"/>
                <w:sz w:val="20"/>
                <w:szCs w:val="20"/>
                <w:lang w:val="ro-RO"/>
              </w:rPr>
              <w:lastRenderedPageBreak/>
              <w:t>drepturile de vot sau care face posibilă exercitarea unei influențe semnificative asupra administrării întreprinderii respective;</w:t>
            </w:r>
          </w:p>
        </w:tc>
        <w:tc>
          <w:tcPr>
            <w:tcW w:w="1636" w:type="pct"/>
          </w:tcPr>
          <w:p w14:paraId="4D8ACC55" w14:textId="4763AC9A" w:rsidR="00395381" w:rsidRPr="00684853" w:rsidRDefault="005F55B1"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lastRenderedPageBreak/>
              <w:t>deţinere</w:t>
            </w:r>
            <w:proofErr w:type="spellEnd"/>
            <w:r w:rsidRPr="00684853">
              <w:rPr>
                <w:rFonts w:ascii="Times New Roman" w:hAnsi="Times New Roman" w:cs="Times New Roman"/>
                <w:b/>
                <w:color w:val="000000" w:themeColor="text1"/>
                <w:sz w:val="20"/>
                <w:szCs w:val="20"/>
                <w:lang w:val="ro-RO"/>
              </w:rPr>
              <w:t xml:space="preserve"> calificată – </w:t>
            </w:r>
            <w:proofErr w:type="spellStart"/>
            <w:r w:rsidRPr="00684853">
              <w:rPr>
                <w:rFonts w:ascii="Times New Roman" w:hAnsi="Times New Roman" w:cs="Times New Roman"/>
                <w:bCs/>
                <w:color w:val="000000" w:themeColor="text1"/>
                <w:sz w:val="20"/>
                <w:szCs w:val="20"/>
                <w:lang w:val="ro-RO"/>
              </w:rPr>
              <w:t>deţinere</w:t>
            </w:r>
            <w:proofErr w:type="spellEnd"/>
            <w:r w:rsidRPr="00684853">
              <w:rPr>
                <w:rFonts w:ascii="Times New Roman" w:hAnsi="Times New Roman" w:cs="Times New Roman"/>
                <w:bCs/>
                <w:color w:val="000000" w:themeColor="text1"/>
                <w:sz w:val="20"/>
                <w:szCs w:val="20"/>
                <w:lang w:val="ro-RO"/>
              </w:rPr>
              <w:t xml:space="preserve"> directă sau indirectă într-o întreprindere, care reprezintă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1% din capitalul social sau din drepturile de vot ori care face posibilă </w:t>
            </w:r>
            <w:r w:rsidRPr="00684853">
              <w:rPr>
                <w:rFonts w:ascii="Times New Roman" w:hAnsi="Times New Roman" w:cs="Times New Roman"/>
                <w:bCs/>
                <w:color w:val="000000" w:themeColor="text1"/>
                <w:sz w:val="20"/>
                <w:szCs w:val="20"/>
                <w:lang w:val="ro-RO"/>
              </w:rPr>
              <w:lastRenderedPageBreak/>
              <w:t xml:space="preserve">exercitarea unei </w:t>
            </w:r>
            <w:proofErr w:type="spellStart"/>
            <w:r w:rsidRPr="00684853">
              <w:rPr>
                <w:rFonts w:ascii="Times New Roman" w:hAnsi="Times New Roman" w:cs="Times New Roman"/>
                <w:bCs/>
                <w:color w:val="000000" w:themeColor="text1"/>
                <w:sz w:val="20"/>
                <w:szCs w:val="20"/>
                <w:lang w:val="ro-RO"/>
              </w:rPr>
              <w:t>influenţe</w:t>
            </w:r>
            <w:proofErr w:type="spellEnd"/>
            <w:r w:rsidRPr="00684853">
              <w:rPr>
                <w:rFonts w:ascii="Times New Roman" w:hAnsi="Times New Roman" w:cs="Times New Roman"/>
                <w:bCs/>
                <w:color w:val="000000" w:themeColor="text1"/>
                <w:sz w:val="20"/>
                <w:szCs w:val="20"/>
                <w:lang w:val="ro-RO"/>
              </w:rPr>
              <w:t xml:space="preserve"> asupra administrării întreprinderii la luarea deciziilor în adunarea generală sau în organul de conducere, </w:t>
            </w:r>
            <w:proofErr w:type="spellStart"/>
            <w:r w:rsidRPr="00684853">
              <w:rPr>
                <w:rFonts w:ascii="Times New Roman" w:hAnsi="Times New Roman" w:cs="Times New Roman"/>
                <w:bCs/>
                <w:color w:val="000000" w:themeColor="text1"/>
                <w:sz w:val="20"/>
                <w:szCs w:val="20"/>
                <w:lang w:val="ro-RO"/>
              </w:rPr>
              <w:t>reprezentînd</w:t>
            </w:r>
            <w:proofErr w:type="spellEnd"/>
            <w:r w:rsidRPr="00684853">
              <w:rPr>
                <w:rFonts w:ascii="Times New Roman" w:hAnsi="Times New Roman" w:cs="Times New Roman"/>
                <w:bCs/>
                <w:color w:val="000000" w:themeColor="text1"/>
                <w:sz w:val="20"/>
                <w:szCs w:val="20"/>
                <w:lang w:val="ro-RO"/>
              </w:rPr>
              <w:t xml:space="preserve"> mai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de </w:t>
            </w:r>
            <w:r w:rsidRPr="00684853">
              <w:rPr>
                <w:rFonts w:ascii="Times New Roman" w:hAnsi="Times New Roman" w:cs="Times New Roman"/>
                <w:b/>
                <w:color w:val="000000" w:themeColor="text1"/>
                <w:sz w:val="20"/>
                <w:szCs w:val="20"/>
                <w:lang w:val="ro-RO"/>
              </w:rPr>
              <w:t>1%</w:t>
            </w:r>
            <w:r w:rsidRPr="00684853">
              <w:rPr>
                <w:rFonts w:ascii="Times New Roman" w:hAnsi="Times New Roman" w:cs="Times New Roman"/>
                <w:bCs/>
                <w:color w:val="000000" w:themeColor="text1"/>
                <w:sz w:val="20"/>
                <w:szCs w:val="20"/>
                <w:lang w:val="ro-RO"/>
              </w:rPr>
              <w:t xml:space="preserve"> din capitalul social ori din drepturile de vot;</w:t>
            </w:r>
          </w:p>
        </w:tc>
        <w:tc>
          <w:tcPr>
            <w:tcW w:w="562" w:type="pct"/>
          </w:tcPr>
          <w:p w14:paraId="60CDC633" w14:textId="14A429CB" w:rsidR="00395381" w:rsidRPr="00684853" w:rsidRDefault="001442B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Parțial compatibil</w:t>
            </w:r>
          </w:p>
        </w:tc>
        <w:tc>
          <w:tcPr>
            <w:tcW w:w="885" w:type="pct"/>
          </w:tcPr>
          <w:p w14:paraId="1230BFF7" w14:textId="77777777" w:rsidR="00395381" w:rsidRPr="00684853" w:rsidRDefault="00395381" w:rsidP="00A53416">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w:t>
            </w:r>
            <w:r w:rsidRPr="00684853">
              <w:rPr>
                <w:rFonts w:ascii="Times New Roman" w:hAnsi="Times New Roman" w:cs="Times New Roman"/>
                <w:b/>
                <w:color w:val="000000" w:themeColor="text1"/>
                <w:sz w:val="20"/>
                <w:szCs w:val="20"/>
                <w:lang w:val="ro-RO"/>
              </w:rPr>
              <w:lastRenderedPageBreak/>
              <w:t xml:space="preserve">activitatea băncilor </w:t>
            </w:r>
            <w:r w:rsidRPr="00684853">
              <w:rPr>
                <w:rFonts w:ascii="Times New Roman" w:hAnsi="Times New Roman" w:cs="Times New Roman"/>
                <w:color w:val="000000" w:themeColor="text1"/>
                <w:sz w:val="20"/>
                <w:szCs w:val="20"/>
                <w:lang w:val="ro-RO"/>
              </w:rPr>
              <w:t>prin noțiunea „deținere calificată”</w:t>
            </w:r>
            <w:r w:rsidRPr="00684853">
              <w:rPr>
                <w:rFonts w:ascii="Times New Roman" w:hAnsi="Times New Roman" w:cs="Times New Roman"/>
                <w:b/>
                <w:color w:val="000000" w:themeColor="text1"/>
                <w:sz w:val="20"/>
                <w:szCs w:val="20"/>
                <w:lang w:val="ro-RO"/>
              </w:rPr>
              <w:t>.</w:t>
            </w:r>
          </w:p>
          <w:p w14:paraId="231342EB" w14:textId="68C13E0A" w:rsidR="005F55B1" w:rsidRPr="00684853" w:rsidRDefault="005F55B1" w:rsidP="00A53416">
            <w:pPr>
              <w:rPr>
                <w:rFonts w:ascii="Times New Roman" w:hAnsi="Times New Roman" w:cs="Times New Roman"/>
                <w:color w:val="000000" w:themeColor="text1"/>
                <w:sz w:val="20"/>
                <w:szCs w:val="20"/>
                <w:lang w:val="ro-RO"/>
              </w:rPr>
            </w:pPr>
          </w:p>
        </w:tc>
      </w:tr>
      <w:tr w:rsidR="00EA59FA" w:rsidRPr="00684853" w14:paraId="45E2349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6"/>
        </w:trPr>
        <w:tc>
          <w:tcPr>
            <w:tcW w:w="1916" w:type="pct"/>
          </w:tcPr>
          <w:p w14:paraId="3BFCFB43" w14:textId="77777777" w:rsidR="00700B85" w:rsidRPr="00684853" w:rsidRDefault="00700B85" w:rsidP="00B571EB">
            <w:pPr>
              <w:pStyle w:val="CM4"/>
              <w:spacing w:after="120"/>
              <w:jc w:val="both"/>
              <w:rPr>
                <w:rFonts w:ascii="Times New Roman" w:hAnsi="Times New Roman"/>
                <w:b/>
                <w:color w:val="000000" w:themeColor="text1"/>
                <w:sz w:val="20"/>
                <w:szCs w:val="20"/>
              </w:rPr>
            </w:pPr>
            <w:r w:rsidRPr="00684853">
              <w:rPr>
                <w:rFonts w:ascii="Times New Roman" w:hAnsi="Times New Roman"/>
                <w:b/>
                <w:color w:val="000000" w:themeColor="text1"/>
                <w:sz w:val="20"/>
                <w:szCs w:val="20"/>
              </w:rPr>
              <w:lastRenderedPageBreak/>
              <w:t>M17</w:t>
            </w:r>
          </w:p>
          <w:p w14:paraId="3BCA2460" w14:textId="5B535C86"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37. </w:t>
            </w:r>
            <w:r w:rsidRPr="00684853">
              <w:rPr>
                <w:rFonts w:ascii="Times New Roman" w:eastAsia="Arial Unicode MS" w:hAnsi="Times New Roman"/>
                <w:color w:val="000000" w:themeColor="text1"/>
                <w:sz w:val="20"/>
                <w:szCs w:val="20"/>
                <w:lang w:val="ro-RO"/>
              </w:rPr>
              <w:t xml:space="preserve">„control” înseamnă relația dintre o </w:t>
            </w:r>
            <w:r w:rsidR="00700B85" w:rsidRPr="00684853">
              <w:rPr>
                <w:rFonts w:ascii="Times New Roman" w:eastAsia="Arial Unicode MS" w:hAnsi="Times New Roman"/>
                <w:color w:val="000000" w:themeColor="text1"/>
                <w:sz w:val="20"/>
                <w:szCs w:val="20"/>
                <w:lang w:val="ro-RO"/>
              </w:rPr>
              <w:t>societate</w:t>
            </w:r>
            <w:r w:rsidRPr="00684853">
              <w:rPr>
                <w:rFonts w:ascii="Times New Roman" w:eastAsia="Arial Unicode MS" w:hAnsi="Times New Roman"/>
                <w:color w:val="000000" w:themeColor="text1"/>
                <w:sz w:val="20"/>
                <w:szCs w:val="20"/>
                <w:lang w:val="ro-RO"/>
              </w:rPr>
              <w:t xml:space="preserve">-mamă și o filială, </w:t>
            </w:r>
            <w:r w:rsidR="00700B85" w:rsidRPr="00684853">
              <w:rPr>
                <w:rFonts w:ascii="Times New Roman" w:eastAsia="Arial Unicode MS" w:hAnsi="Times New Roman"/>
                <w:color w:val="000000" w:themeColor="text1"/>
                <w:sz w:val="20"/>
                <w:szCs w:val="20"/>
                <w:lang w:val="ro-RO"/>
              </w:rPr>
              <w:t>astfel</w:t>
            </w:r>
            <w:r w:rsidRPr="00684853">
              <w:rPr>
                <w:rFonts w:ascii="Times New Roman" w:eastAsia="Arial Unicode MS" w:hAnsi="Times New Roman"/>
                <w:color w:val="000000" w:themeColor="text1"/>
                <w:sz w:val="20"/>
                <w:szCs w:val="20"/>
                <w:lang w:val="ro-RO"/>
              </w:rPr>
              <w:t xml:space="preserve"> cum </w:t>
            </w:r>
            <w:r w:rsidR="00700B85" w:rsidRPr="00684853">
              <w:rPr>
                <w:rFonts w:ascii="Times New Roman" w:eastAsia="Arial Unicode MS" w:hAnsi="Times New Roman"/>
                <w:color w:val="000000" w:themeColor="text1"/>
                <w:sz w:val="20"/>
                <w:szCs w:val="20"/>
                <w:lang w:val="ro-RO"/>
              </w:rPr>
              <w:t xml:space="preserve">sunt descrise la articolul 22 din Directiva 2013/34/UE </w:t>
            </w:r>
            <w:r w:rsidRPr="00684853">
              <w:rPr>
                <w:rFonts w:ascii="Times New Roman" w:eastAsia="Arial Unicode MS" w:hAnsi="Times New Roman"/>
                <w:color w:val="000000" w:themeColor="text1"/>
                <w:sz w:val="20"/>
                <w:szCs w:val="20"/>
                <w:lang w:val="ro-RO"/>
              </w:rPr>
              <w:t xml:space="preserve"> sau standarde contabile aplicabile </w:t>
            </w:r>
            <w:r w:rsidR="00700B85" w:rsidRPr="00684853">
              <w:rPr>
                <w:rFonts w:ascii="Times New Roman" w:eastAsia="Arial Unicode MS" w:hAnsi="Times New Roman"/>
                <w:color w:val="000000" w:themeColor="text1"/>
                <w:sz w:val="20"/>
                <w:szCs w:val="20"/>
                <w:lang w:val="ro-RO"/>
              </w:rPr>
              <w:t xml:space="preserve">unei </w:t>
            </w:r>
            <w:r w:rsidRPr="00684853">
              <w:rPr>
                <w:rFonts w:ascii="Times New Roman" w:eastAsia="Arial Unicode MS" w:hAnsi="Times New Roman"/>
                <w:color w:val="000000" w:themeColor="text1"/>
                <w:sz w:val="20"/>
                <w:szCs w:val="20"/>
                <w:lang w:val="ro-RO"/>
              </w:rPr>
              <w:t>instituții în temeiul Regulamentului (CE) nr. 1606/2002, sau o relație similară între orice persoană fizică sau juridică și o întreprindere;</w:t>
            </w:r>
          </w:p>
        </w:tc>
        <w:tc>
          <w:tcPr>
            <w:tcW w:w="1636" w:type="pct"/>
          </w:tcPr>
          <w:p w14:paraId="54E23E81" w14:textId="1BCDDEC7" w:rsidR="00395381" w:rsidRPr="00684853" w:rsidRDefault="005F55B1"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control – </w:t>
            </w:r>
            <w:proofErr w:type="spellStart"/>
            <w:r w:rsidRPr="00684853">
              <w:rPr>
                <w:rFonts w:ascii="Times New Roman" w:hAnsi="Times New Roman" w:cs="Times New Roman"/>
                <w:bCs/>
                <w:color w:val="000000" w:themeColor="text1"/>
                <w:sz w:val="20"/>
                <w:szCs w:val="20"/>
                <w:lang w:val="ro-RO"/>
              </w:rPr>
              <w:t>relaţia</w:t>
            </w:r>
            <w:proofErr w:type="spellEnd"/>
            <w:r w:rsidRPr="00684853">
              <w:rPr>
                <w:rFonts w:ascii="Times New Roman" w:hAnsi="Times New Roman" w:cs="Times New Roman"/>
                <w:bCs/>
                <w:color w:val="000000" w:themeColor="text1"/>
                <w:sz w:val="20"/>
                <w:szCs w:val="20"/>
                <w:lang w:val="ro-RO"/>
              </w:rPr>
              <w:t xml:space="preserve"> dintre o întreprindere-mamă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filială a acesteia, conform </w:t>
            </w:r>
            <w:proofErr w:type="spellStart"/>
            <w:r w:rsidRPr="00684853">
              <w:rPr>
                <w:rFonts w:ascii="Times New Roman" w:hAnsi="Times New Roman" w:cs="Times New Roman"/>
                <w:bCs/>
                <w:color w:val="000000" w:themeColor="text1"/>
                <w:sz w:val="20"/>
                <w:szCs w:val="20"/>
                <w:lang w:val="ro-RO"/>
              </w:rPr>
              <w:t>definiţiilor</w:t>
            </w:r>
            <w:proofErr w:type="spellEnd"/>
            <w:r w:rsidRPr="00684853">
              <w:rPr>
                <w:rFonts w:ascii="Times New Roman" w:hAnsi="Times New Roman" w:cs="Times New Roman"/>
                <w:bCs/>
                <w:color w:val="000000" w:themeColor="text1"/>
                <w:sz w:val="20"/>
                <w:szCs w:val="20"/>
                <w:lang w:val="ro-RO"/>
              </w:rPr>
              <w:t xml:space="preserve"> din prezentul articol, sau 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similară între o persoană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întreprindere, de jure sau de facto;</w:t>
            </w:r>
          </w:p>
        </w:tc>
        <w:tc>
          <w:tcPr>
            <w:tcW w:w="562" w:type="pct"/>
          </w:tcPr>
          <w:p w14:paraId="0684CD95"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470CA5E7" w14:textId="40ED89E2"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 „control”</w:t>
            </w:r>
            <w:r w:rsidRPr="00684853">
              <w:rPr>
                <w:rFonts w:ascii="Times New Roman" w:hAnsi="Times New Roman" w:cs="Times New Roman"/>
                <w:b/>
                <w:color w:val="000000" w:themeColor="text1"/>
                <w:sz w:val="20"/>
                <w:szCs w:val="20"/>
                <w:lang w:val="ro-RO"/>
              </w:rPr>
              <w:t>.</w:t>
            </w:r>
          </w:p>
        </w:tc>
      </w:tr>
      <w:tr w:rsidR="00EA59FA" w:rsidRPr="00684853" w14:paraId="4CC54CC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208211B" w14:textId="77777777" w:rsidR="00395381" w:rsidRPr="00684853" w:rsidRDefault="00395381" w:rsidP="00B571EB">
            <w:pPr>
              <w:pStyle w:val="CM4"/>
              <w:spacing w:after="120"/>
              <w:jc w:val="both"/>
              <w:rPr>
                <w:rFonts w:ascii="Times New Roman" w:eastAsia="Arial Unicode MS"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38. </w:t>
            </w:r>
            <w:r w:rsidRPr="00684853">
              <w:rPr>
                <w:rFonts w:ascii="Times New Roman" w:eastAsia="Arial Unicode MS" w:hAnsi="Times New Roman"/>
                <w:color w:val="000000" w:themeColor="text1"/>
                <w:sz w:val="20"/>
                <w:szCs w:val="20"/>
                <w:lang w:val="ro-RO"/>
              </w:rPr>
              <w:t>„legături strânse” înseamnă o situație în care două sau mai multe persoane fizice sau juridice sunt legate între ele în oricare dintre următoarele modalități:</w:t>
            </w:r>
          </w:p>
          <w:p w14:paraId="5CEACEA4" w14:textId="77777777" w:rsidR="00395381" w:rsidRPr="00684853" w:rsidRDefault="00395381" w:rsidP="00B571EB">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printr-o participație reprezentând deținerea, directă sau prin intermediul controlului, a cel puțin 20 % din drepturile de vot sau din capitalul unei întreprinderi;</w:t>
            </w:r>
          </w:p>
          <w:p w14:paraId="37064E82" w14:textId="77777777" w:rsidR="00395381" w:rsidRPr="00684853" w:rsidRDefault="00395381" w:rsidP="00B571EB">
            <w:pPr>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prin control;</w:t>
            </w:r>
          </w:p>
          <w:p w14:paraId="07FE9E68" w14:textId="77777777" w:rsidR="00395381" w:rsidRPr="00684853" w:rsidRDefault="00395381" w:rsidP="00B571EB">
            <w:pPr>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printr-o legătură permanentă între ambele sau toate aceste persoane și aceeași a persoană terță printr-o relație de control;</w:t>
            </w:r>
          </w:p>
        </w:tc>
        <w:tc>
          <w:tcPr>
            <w:tcW w:w="1636" w:type="pct"/>
          </w:tcPr>
          <w:p w14:paraId="260E59CA" w14:textId="77777777" w:rsidR="005F55B1" w:rsidRPr="00684853" w:rsidRDefault="005F55B1" w:rsidP="005F55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legături </w:t>
            </w:r>
            <w:proofErr w:type="spellStart"/>
            <w:r w:rsidRPr="00684853">
              <w:rPr>
                <w:rFonts w:ascii="Times New Roman" w:hAnsi="Times New Roman" w:cs="Times New Roman"/>
                <w:b/>
                <w:color w:val="000000" w:themeColor="text1"/>
                <w:sz w:val="20"/>
                <w:szCs w:val="20"/>
                <w:lang w:val="ro-RO"/>
              </w:rPr>
              <w:t>strînse</w:t>
            </w:r>
            <w:proofErr w:type="spellEnd"/>
            <w:r w:rsidRPr="00684853">
              <w:rPr>
                <w:rFonts w:ascii="Times New Roman" w:hAnsi="Times New Roman" w:cs="Times New Roman"/>
                <w:b/>
                <w:color w:val="000000" w:themeColor="text1"/>
                <w:sz w:val="20"/>
                <w:szCs w:val="20"/>
                <w:lang w:val="ro-RO"/>
              </w:rPr>
              <w:t xml:space="preserve"> – </w:t>
            </w:r>
            <w:proofErr w:type="spellStart"/>
            <w:r w:rsidRPr="00684853">
              <w:rPr>
                <w:rFonts w:ascii="Times New Roman" w:hAnsi="Times New Roman" w:cs="Times New Roman"/>
                <w:bCs/>
                <w:color w:val="000000" w:themeColor="text1"/>
                <w:sz w:val="20"/>
                <w:szCs w:val="20"/>
                <w:lang w:val="ro-RO"/>
              </w:rPr>
              <w:t>situaţie</w:t>
            </w:r>
            <w:proofErr w:type="spellEnd"/>
            <w:r w:rsidRPr="00684853">
              <w:rPr>
                <w:rFonts w:ascii="Times New Roman" w:hAnsi="Times New Roman" w:cs="Times New Roman"/>
                <w:bCs/>
                <w:color w:val="000000" w:themeColor="text1"/>
                <w:sz w:val="20"/>
                <w:szCs w:val="20"/>
                <w:lang w:val="ro-RO"/>
              </w:rPr>
              <w:t xml:space="preserve"> în care două sau mai multe persoane fizice ori juridice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legate între ele în oricare dintre următoarele </w:t>
            </w:r>
            <w:proofErr w:type="spellStart"/>
            <w:r w:rsidRPr="00684853">
              <w:rPr>
                <w:rFonts w:ascii="Times New Roman" w:hAnsi="Times New Roman" w:cs="Times New Roman"/>
                <w:bCs/>
                <w:color w:val="000000" w:themeColor="text1"/>
                <w:sz w:val="20"/>
                <w:szCs w:val="20"/>
                <w:lang w:val="ro-RO"/>
              </w:rPr>
              <w:t>modalităţi</w:t>
            </w:r>
            <w:proofErr w:type="spellEnd"/>
            <w:r w:rsidRPr="00684853">
              <w:rPr>
                <w:rFonts w:ascii="Times New Roman" w:hAnsi="Times New Roman" w:cs="Times New Roman"/>
                <w:bCs/>
                <w:color w:val="000000" w:themeColor="text1"/>
                <w:sz w:val="20"/>
                <w:szCs w:val="20"/>
                <w:lang w:val="ro-RO"/>
              </w:rPr>
              <w:t>:</w:t>
            </w:r>
          </w:p>
          <w:p w14:paraId="0F9753DB" w14:textId="77777777" w:rsidR="005F55B1" w:rsidRPr="00684853" w:rsidRDefault="005F55B1" w:rsidP="005F55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printr-o </w:t>
            </w:r>
            <w:proofErr w:type="spellStart"/>
            <w:r w:rsidRPr="00684853">
              <w:rPr>
                <w:rFonts w:ascii="Times New Roman" w:hAnsi="Times New Roman" w:cs="Times New Roman"/>
                <w:bCs/>
                <w:color w:val="000000" w:themeColor="text1"/>
                <w:sz w:val="20"/>
                <w:szCs w:val="20"/>
                <w:lang w:val="ro-RO"/>
              </w:rPr>
              <w:t>deţinere</w:t>
            </w:r>
            <w:proofErr w:type="spellEnd"/>
            <w:r w:rsidRPr="00684853">
              <w:rPr>
                <w:rFonts w:ascii="Times New Roman" w:hAnsi="Times New Roman" w:cs="Times New Roman"/>
                <w:bCs/>
                <w:color w:val="000000" w:themeColor="text1"/>
                <w:sz w:val="20"/>
                <w:szCs w:val="20"/>
                <w:lang w:val="ro-RO"/>
              </w:rPr>
              <w:t xml:space="preserve"> directă sau prin intermediul controlului, a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20% din capitalul unei întreprinderi sau din drepturile de vot;</w:t>
            </w:r>
          </w:p>
          <w:p w14:paraId="3B78B840" w14:textId="77777777" w:rsidR="005F55B1" w:rsidRPr="00684853" w:rsidRDefault="005F55B1" w:rsidP="005F55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b) prin control;</w:t>
            </w:r>
          </w:p>
          <w:p w14:paraId="4E0FB2B4" w14:textId="214131DD" w:rsidR="00395381" w:rsidRPr="00684853" w:rsidRDefault="005F55B1" w:rsidP="005F55B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printr-o legătură permanentă între ambele sau toate aceste persoane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aceeaşi</w:t>
            </w:r>
            <w:proofErr w:type="spellEnd"/>
            <w:r w:rsidRPr="00684853">
              <w:rPr>
                <w:rFonts w:ascii="Times New Roman" w:hAnsi="Times New Roman" w:cs="Times New Roman"/>
                <w:bCs/>
                <w:color w:val="000000" w:themeColor="text1"/>
                <w:sz w:val="20"/>
                <w:szCs w:val="20"/>
                <w:lang w:val="ro-RO"/>
              </w:rPr>
              <w:t xml:space="preserve"> persoană </w:t>
            </w:r>
            <w:proofErr w:type="spellStart"/>
            <w:r w:rsidRPr="00684853">
              <w:rPr>
                <w:rFonts w:ascii="Times New Roman" w:hAnsi="Times New Roman" w:cs="Times New Roman"/>
                <w:bCs/>
                <w:color w:val="000000" w:themeColor="text1"/>
                <w:sz w:val="20"/>
                <w:szCs w:val="20"/>
                <w:lang w:val="ro-RO"/>
              </w:rPr>
              <w:t>terţă</w:t>
            </w:r>
            <w:proofErr w:type="spellEnd"/>
            <w:r w:rsidRPr="00684853">
              <w:rPr>
                <w:rFonts w:ascii="Times New Roman" w:hAnsi="Times New Roman" w:cs="Times New Roman"/>
                <w:bCs/>
                <w:color w:val="000000" w:themeColor="text1"/>
                <w:sz w:val="20"/>
                <w:szCs w:val="20"/>
                <w:lang w:val="ro-RO"/>
              </w:rPr>
              <w:t xml:space="preserve"> printr-o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de control;</w:t>
            </w:r>
          </w:p>
        </w:tc>
        <w:tc>
          <w:tcPr>
            <w:tcW w:w="562" w:type="pct"/>
          </w:tcPr>
          <w:p w14:paraId="4B4782B3"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116DE8AB" w14:textId="78F0871E" w:rsidR="00395381" w:rsidRPr="00684853" w:rsidRDefault="00395381" w:rsidP="00B571EB">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„legături strânse”</w:t>
            </w:r>
            <w:r w:rsidRPr="00684853">
              <w:rPr>
                <w:rFonts w:ascii="Times New Roman" w:hAnsi="Times New Roman" w:cs="Times New Roman"/>
                <w:b/>
                <w:color w:val="000000" w:themeColor="text1"/>
                <w:sz w:val="20"/>
                <w:szCs w:val="20"/>
                <w:lang w:val="ro-RO"/>
              </w:rPr>
              <w:t>.</w:t>
            </w:r>
          </w:p>
          <w:p w14:paraId="4083A137" w14:textId="77777777" w:rsidR="00395381" w:rsidRPr="00684853" w:rsidRDefault="00395381" w:rsidP="00B571EB">
            <w:pPr>
              <w:jc w:val="both"/>
              <w:rPr>
                <w:rFonts w:ascii="Times New Roman" w:hAnsi="Times New Roman" w:cs="Times New Roman"/>
                <w:color w:val="000000" w:themeColor="text1"/>
                <w:sz w:val="20"/>
                <w:szCs w:val="20"/>
                <w:lang w:val="ro-RO"/>
              </w:rPr>
            </w:pPr>
          </w:p>
        </w:tc>
      </w:tr>
      <w:tr w:rsidR="00EA59FA" w:rsidRPr="00684853" w14:paraId="6D6FDF7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67966C8" w14:textId="77777777" w:rsidR="00B332E5" w:rsidRPr="00684853" w:rsidRDefault="00B332E5" w:rsidP="00D3213C">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39.</w:t>
            </w:r>
            <w:r w:rsidRPr="00684853">
              <w:rPr>
                <w:rFonts w:ascii="Times New Roman" w:eastAsia="Arial Unicode MS" w:hAnsi="Times New Roman" w:cs="Times New Roman"/>
                <w:color w:val="000000" w:themeColor="text1"/>
                <w:sz w:val="20"/>
                <w:szCs w:val="20"/>
                <w:lang w:val="ro-RO"/>
              </w:rPr>
              <w:t xml:space="preserve"> „grup de clienți aflați în legătură” înseamnă oricare dintre următoarele:</w:t>
            </w:r>
          </w:p>
          <w:p w14:paraId="4A68C406" w14:textId="77777777" w:rsidR="00B332E5" w:rsidRPr="00684853" w:rsidRDefault="00B332E5" w:rsidP="00FB7D31">
            <w:pPr>
              <w:pStyle w:val="ListParagraph"/>
              <w:numPr>
                <w:ilvl w:val="0"/>
                <w:numId w:val="2"/>
              </w:numPr>
              <w:tabs>
                <w:tab w:val="left" w:pos="295"/>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două sau mai multe persoane fizice sau juridice care, până la proba contrarie, constituie un singur risc, pentru că una dintre ele, direct sau indirect, deține controlul asupra celeilalte sau celorlalte;</w:t>
            </w:r>
          </w:p>
          <w:p w14:paraId="3034EAF4" w14:textId="77777777" w:rsidR="00B332E5" w:rsidRPr="00684853" w:rsidRDefault="00B332E5" w:rsidP="00FB7D31">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p>
          <w:p w14:paraId="79266522" w14:textId="77777777" w:rsidR="00B332E5" w:rsidRPr="00684853" w:rsidRDefault="00B332E5" w:rsidP="00FB7D31">
            <w:pPr>
              <w:pStyle w:val="ListParagraph"/>
              <w:numPr>
                <w:ilvl w:val="0"/>
                <w:numId w:val="2"/>
              </w:numPr>
              <w:tabs>
                <w:tab w:val="left" w:pos="295"/>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două sau mai multe persoane fizice sau juridice între care nu există o relație de control, astfel cum este descrisă la litera (a), dar care trebuie să fie considerate ca reprezentând un singur risc deoarece </w:t>
            </w:r>
            <w:r w:rsidRPr="00684853">
              <w:rPr>
                <w:rFonts w:ascii="Times New Roman" w:eastAsia="Arial Unicode MS" w:hAnsi="Times New Roman" w:cs="Times New Roman"/>
                <w:color w:val="000000" w:themeColor="text1"/>
                <w:sz w:val="20"/>
                <w:szCs w:val="20"/>
                <w:lang w:val="ro-RO"/>
              </w:rPr>
              <w:lastRenderedPageBreak/>
              <w:t>legătura dintre ele este atât de strânsă încât, în cazul în care una dintre aceste persoane s-ar confrunta cu probleme financiare, în special dificultăți de finanțare sau de rambursare, și cealaltă sau toate celelalte persoane ar întâmpina probabil dificultăți de finanțare sau de rambursare;</w:t>
            </w:r>
          </w:p>
          <w:p w14:paraId="5102C907" w14:textId="77777777" w:rsidR="00B332E5" w:rsidRPr="00684853" w:rsidRDefault="00B332E5" w:rsidP="00FB7D31">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p>
          <w:p w14:paraId="72E6FF29" w14:textId="77777777" w:rsidR="00B332E5" w:rsidRPr="00684853" w:rsidRDefault="00B332E5" w:rsidP="00A72B2F">
            <w:pPr>
              <w:pStyle w:val="ListParagraph"/>
              <w:numPr>
                <w:ilvl w:val="0"/>
                <w:numId w:val="2"/>
              </w:numPr>
              <w:tabs>
                <w:tab w:val="left" w:pos="295"/>
              </w:tabs>
              <w:spacing w:after="0" w:line="240" w:lineRule="auto"/>
              <w:ind w:left="0" w:firstLine="0"/>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În pofida literelor (a) și (b), în cazul în care o administrație centrală deține controlul direct asupra mai multor persoane fizice sau juridice sau se află în legătură strânsă directă cu acestea, grupul format din administrația centrală și toate persoanele fizice sau juridice controlate direct sau indirect de aceasta în conformitate cu litera (a), sau aflate în strânsă legătură cu aceasta în conformitate cu litera (b), poate fie considerat că nu constituie un grup de clienți aflați în legătură. În schimb, existența unui grup de clienți aflați în legătură format din administrația centrală și alte persoane fizice sau juridice poate fi evaluată separat pentru fiecare dintre persoanele aflate sub controlul direct al acesteia în conformitate cu litera (a), sau aflate în strânsă legătură directă cu aceasta în conformitate cu litera (b), și pentru toate persoanele fizice și juridice aflate sub controlul respectivei persoane în conformitate cu litera (a) sau aflate în strânsă legătură cu respectiva persoană în conformitate cu litera (b), inclusiv administrația centrală. Aceeași regulă se aplică și administrațiilor regionale sau autorităților locale care intră sub incidența articolului 115 alineatul (2);.</w:t>
            </w:r>
          </w:p>
          <w:p w14:paraId="4FB9A029" w14:textId="2F063DE9" w:rsidR="00B332E5" w:rsidRPr="00684853" w:rsidRDefault="00B332E5" w:rsidP="00A72B2F">
            <w:pPr>
              <w:pStyle w:val="CM4"/>
              <w:spacing w:after="120"/>
              <w:jc w:val="both"/>
              <w:rPr>
                <w:rFonts w:ascii="Times New Roman" w:hAnsi="Times New Roman"/>
                <w:bCs/>
                <w:color w:val="000000" w:themeColor="text1"/>
                <w:sz w:val="20"/>
                <w:szCs w:val="20"/>
                <w:lang w:val="ro-RO"/>
              </w:rPr>
            </w:pPr>
          </w:p>
        </w:tc>
        <w:tc>
          <w:tcPr>
            <w:tcW w:w="1636" w:type="pct"/>
          </w:tcPr>
          <w:p w14:paraId="48E5E67A" w14:textId="77777777" w:rsidR="00B332E5" w:rsidRPr="00684853" w:rsidRDefault="00B332E5" w:rsidP="00B332E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grup de </w:t>
            </w:r>
            <w:proofErr w:type="spellStart"/>
            <w:r w:rsidRPr="00684853">
              <w:rPr>
                <w:rFonts w:ascii="Times New Roman" w:hAnsi="Times New Roman" w:cs="Times New Roman"/>
                <w:b/>
                <w:color w:val="000000" w:themeColor="text1"/>
                <w:sz w:val="20"/>
                <w:szCs w:val="20"/>
                <w:lang w:val="ro-RO"/>
              </w:rPr>
              <w:t>clienţi</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aflaţi</w:t>
            </w:r>
            <w:proofErr w:type="spellEnd"/>
            <w:r w:rsidRPr="00684853">
              <w:rPr>
                <w:rFonts w:ascii="Times New Roman" w:hAnsi="Times New Roman" w:cs="Times New Roman"/>
                <w:b/>
                <w:color w:val="000000" w:themeColor="text1"/>
                <w:sz w:val="20"/>
                <w:szCs w:val="20"/>
                <w:lang w:val="ro-RO"/>
              </w:rPr>
              <w:t xml:space="preserve"> în legătură</w:t>
            </w:r>
            <w:r w:rsidRPr="00684853">
              <w:rPr>
                <w:rFonts w:ascii="Times New Roman" w:hAnsi="Times New Roman" w:cs="Times New Roman"/>
                <w:bCs/>
                <w:color w:val="000000" w:themeColor="text1"/>
                <w:sz w:val="20"/>
                <w:szCs w:val="20"/>
                <w:lang w:val="ro-RO"/>
              </w:rPr>
              <w:t xml:space="preserve"> – oricare dintre următoarele:</w:t>
            </w:r>
          </w:p>
          <w:p w14:paraId="36C7B9FA" w14:textId="77777777" w:rsidR="00B332E5" w:rsidRPr="00684853" w:rsidRDefault="00B332E5" w:rsidP="00B332E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două sau mai multe persoane fizice sau juridice care, până la proba contrară, constituie un singur risc, pentru că una dintre ele, direct sau indirect, </w:t>
            </w:r>
            <w:proofErr w:type="spellStart"/>
            <w:r w:rsidRPr="00684853">
              <w:rPr>
                <w:rFonts w:ascii="Times New Roman" w:hAnsi="Times New Roman" w:cs="Times New Roman"/>
                <w:bCs/>
                <w:color w:val="000000" w:themeColor="text1"/>
                <w:sz w:val="20"/>
                <w:szCs w:val="20"/>
                <w:lang w:val="ro-RO"/>
              </w:rPr>
              <w:t>deţine</w:t>
            </w:r>
            <w:proofErr w:type="spellEnd"/>
            <w:r w:rsidRPr="00684853">
              <w:rPr>
                <w:rFonts w:ascii="Times New Roman" w:hAnsi="Times New Roman" w:cs="Times New Roman"/>
                <w:bCs/>
                <w:color w:val="000000" w:themeColor="text1"/>
                <w:sz w:val="20"/>
                <w:szCs w:val="20"/>
                <w:lang w:val="ro-RO"/>
              </w:rPr>
              <w:t xml:space="preserve"> controlul asupra celeilalte sau celorlalte;</w:t>
            </w:r>
          </w:p>
          <w:p w14:paraId="273675A0" w14:textId="77777777" w:rsidR="00B332E5" w:rsidRPr="00684853" w:rsidRDefault="00B332E5" w:rsidP="00B332E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două sau mai multe persoane fizice sau juridice între care nu există 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de control, astfel cum este descrisă </w:t>
            </w:r>
            <w:r w:rsidRPr="00684853">
              <w:rPr>
                <w:rFonts w:ascii="Times New Roman" w:hAnsi="Times New Roman" w:cs="Times New Roman"/>
                <w:bCs/>
                <w:color w:val="000000" w:themeColor="text1"/>
                <w:sz w:val="20"/>
                <w:szCs w:val="20"/>
                <w:lang w:val="ro-RO"/>
              </w:rPr>
              <w:lastRenderedPageBreak/>
              <w:t xml:space="preserve">la subpct.1), dar care trebuie să fie considerate ca reprezentând un singur risc, deoarece legătura dintre ele este atât de strânsă încât, în cazul în care una dintre aceste persoane s-ar confrunta cu probleme financiare, în special cu </w:t>
            </w:r>
            <w:proofErr w:type="spellStart"/>
            <w:r w:rsidRPr="00684853">
              <w:rPr>
                <w:rFonts w:ascii="Times New Roman" w:hAnsi="Times New Roman" w:cs="Times New Roman"/>
                <w:bCs/>
                <w:color w:val="000000" w:themeColor="text1"/>
                <w:sz w:val="20"/>
                <w:szCs w:val="20"/>
                <w:lang w:val="ro-RO"/>
              </w:rPr>
              <w:t>dificultăţi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sau de rambursare,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cealaltă sau toate celelalte persoane ar putea întâmpina </w:t>
            </w:r>
            <w:proofErr w:type="spellStart"/>
            <w:r w:rsidRPr="00684853">
              <w:rPr>
                <w:rFonts w:ascii="Times New Roman" w:hAnsi="Times New Roman" w:cs="Times New Roman"/>
                <w:bCs/>
                <w:color w:val="000000" w:themeColor="text1"/>
                <w:sz w:val="20"/>
                <w:szCs w:val="20"/>
                <w:lang w:val="ro-RO"/>
              </w:rPr>
              <w:t>dificultăţi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sau de rambursare;</w:t>
            </w:r>
          </w:p>
          <w:p w14:paraId="6F4B51BD" w14:textId="77777777" w:rsidR="00B332E5" w:rsidRPr="00684853" w:rsidRDefault="00B332E5" w:rsidP="00B332E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3) persoana/persoanele fizice sau juridice prin intermediul căreia/cărora este efectuată una sau mai multe </w:t>
            </w:r>
            <w:proofErr w:type="spellStart"/>
            <w:r w:rsidRPr="00684853">
              <w:rPr>
                <w:rFonts w:ascii="Times New Roman" w:hAnsi="Times New Roman" w:cs="Times New Roman"/>
                <w:bCs/>
                <w:color w:val="000000" w:themeColor="text1"/>
                <w:sz w:val="20"/>
                <w:szCs w:val="20"/>
                <w:lang w:val="ro-RO"/>
              </w:rPr>
              <w:t>tranzacţii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operaţiuni</w:t>
            </w:r>
            <w:proofErr w:type="spellEnd"/>
            <w:r w:rsidRPr="00684853">
              <w:rPr>
                <w:rFonts w:ascii="Times New Roman" w:hAnsi="Times New Roman" w:cs="Times New Roman"/>
                <w:bCs/>
                <w:color w:val="000000" w:themeColor="text1"/>
                <w:sz w:val="20"/>
                <w:szCs w:val="20"/>
                <w:lang w:val="ro-RO"/>
              </w:rPr>
              <w:t xml:space="preserve">) cu banca în interesul altei/altor persoane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sunt considerate a fi </w:t>
            </w:r>
            <w:proofErr w:type="spellStart"/>
            <w:r w:rsidRPr="00684853">
              <w:rPr>
                <w:rFonts w:ascii="Times New Roman" w:hAnsi="Times New Roman" w:cs="Times New Roman"/>
                <w:bCs/>
                <w:color w:val="000000" w:themeColor="text1"/>
                <w:sz w:val="20"/>
                <w:szCs w:val="20"/>
                <w:lang w:val="ro-RO"/>
              </w:rPr>
              <w:t>influenţate</w:t>
            </w:r>
            <w:proofErr w:type="spellEnd"/>
            <w:r w:rsidRPr="00684853">
              <w:rPr>
                <w:rFonts w:ascii="Times New Roman" w:hAnsi="Times New Roman" w:cs="Times New Roman"/>
                <w:bCs/>
                <w:color w:val="000000" w:themeColor="text1"/>
                <w:sz w:val="20"/>
                <w:szCs w:val="20"/>
                <w:lang w:val="ro-RO"/>
              </w:rPr>
              <w:t xml:space="preserve"> de ultima/ultimele în cadrul </w:t>
            </w:r>
            <w:proofErr w:type="spellStart"/>
            <w:r w:rsidRPr="00684853">
              <w:rPr>
                <w:rFonts w:ascii="Times New Roman" w:hAnsi="Times New Roman" w:cs="Times New Roman"/>
                <w:bCs/>
                <w:color w:val="000000" w:themeColor="text1"/>
                <w:sz w:val="20"/>
                <w:szCs w:val="20"/>
                <w:lang w:val="ro-RO"/>
              </w:rPr>
              <w:t>tranzacţiilor</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operaţiunilor</w:t>
            </w:r>
            <w:proofErr w:type="spellEnd"/>
            <w:r w:rsidRPr="00684853">
              <w:rPr>
                <w:rFonts w:ascii="Times New Roman" w:hAnsi="Times New Roman" w:cs="Times New Roman"/>
                <w:bCs/>
                <w:color w:val="000000" w:themeColor="text1"/>
                <w:sz w:val="20"/>
                <w:szCs w:val="20"/>
                <w:lang w:val="ro-RO"/>
              </w:rPr>
              <w:t xml:space="preserve">) respective datorită </w:t>
            </w:r>
            <w:proofErr w:type="spellStart"/>
            <w:r w:rsidRPr="00684853">
              <w:rPr>
                <w:rFonts w:ascii="Times New Roman" w:hAnsi="Times New Roman" w:cs="Times New Roman"/>
                <w:bCs/>
                <w:color w:val="000000" w:themeColor="text1"/>
                <w:sz w:val="20"/>
                <w:szCs w:val="20"/>
                <w:lang w:val="ro-RO"/>
              </w:rPr>
              <w:t>existenţei</w:t>
            </w:r>
            <w:proofErr w:type="spellEnd"/>
            <w:r w:rsidRPr="00684853">
              <w:rPr>
                <w:rFonts w:ascii="Times New Roman" w:hAnsi="Times New Roman" w:cs="Times New Roman"/>
                <w:bCs/>
                <w:color w:val="000000" w:themeColor="text1"/>
                <w:sz w:val="20"/>
                <w:szCs w:val="20"/>
                <w:lang w:val="ro-RO"/>
              </w:rPr>
              <w:t xml:space="preserve"> unor </w:t>
            </w:r>
            <w:proofErr w:type="spellStart"/>
            <w:r w:rsidRPr="00684853">
              <w:rPr>
                <w:rFonts w:ascii="Times New Roman" w:hAnsi="Times New Roman" w:cs="Times New Roman"/>
                <w:bCs/>
                <w:color w:val="000000" w:themeColor="text1"/>
                <w:sz w:val="20"/>
                <w:szCs w:val="20"/>
                <w:lang w:val="ro-RO"/>
              </w:rPr>
              <w:t>relaţii</w:t>
            </w:r>
            <w:proofErr w:type="spellEnd"/>
            <w:r w:rsidRPr="00684853">
              <w:rPr>
                <w:rFonts w:ascii="Times New Roman" w:hAnsi="Times New Roman" w:cs="Times New Roman"/>
                <w:bCs/>
                <w:color w:val="000000" w:themeColor="text1"/>
                <w:sz w:val="20"/>
                <w:szCs w:val="20"/>
                <w:lang w:val="ro-RO"/>
              </w:rPr>
              <w:t xml:space="preserve"> de muncă, civile sau de alt gen de </w:t>
            </w:r>
            <w:proofErr w:type="spellStart"/>
            <w:r w:rsidRPr="00684853">
              <w:rPr>
                <w:rFonts w:ascii="Times New Roman" w:hAnsi="Times New Roman" w:cs="Times New Roman"/>
                <w:bCs/>
                <w:color w:val="000000" w:themeColor="text1"/>
                <w:sz w:val="20"/>
                <w:szCs w:val="20"/>
                <w:lang w:val="ro-RO"/>
              </w:rPr>
              <w:t>relaţii</w:t>
            </w:r>
            <w:proofErr w:type="spellEnd"/>
            <w:r w:rsidRPr="00684853">
              <w:rPr>
                <w:rFonts w:ascii="Times New Roman" w:hAnsi="Times New Roman" w:cs="Times New Roman"/>
                <w:bCs/>
                <w:color w:val="000000" w:themeColor="text1"/>
                <w:sz w:val="20"/>
                <w:szCs w:val="20"/>
                <w:lang w:val="ro-RO"/>
              </w:rPr>
              <w:t xml:space="preserve"> dintre aceste persoane determinat conform Regulamentului nr.240/2013 privind </w:t>
            </w:r>
            <w:proofErr w:type="spellStart"/>
            <w:r w:rsidRPr="00684853">
              <w:rPr>
                <w:rFonts w:ascii="Times New Roman" w:hAnsi="Times New Roman" w:cs="Times New Roman"/>
                <w:bCs/>
                <w:color w:val="000000" w:themeColor="text1"/>
                <w:sz w:val="20"/>
                <w:szCs w:val="20"/>
                <w:lang w:val="ro-RO"/>
              </w:rPr>
              <w:t>tranzacţiile</w:t>
            </w:r>
            <w:proofErr w:type="spellEnd"/>
            <w:r w:rsidRPr="00684853">
              <w:rPr>
                <w:rFonts w:ascii="Times New Roman" w:hAnsi="Times New Roman" w:cs="Times New Roman"/>
                <w:bCs/>
                <w:color w:val="000000" w:themeColor="text1"/>
                <w:sz w:val="20"/>
                <w:szCs w:val="20"/>
                <w:lang w:val="ro-RO"/>
              </w:rPr>
              <w:t xml:space="preserve"> băncii cu persoanele sale afiliate.</w:t>
            </w:r>
          </w:p>
          <w:p w14:paraId="1F422E52" w14:textId="378BBEF7" w:rsidR="00B332E5" w:rsidRPr="00684853" w:rsidRDefault="00B332E5" w:rsidP="00B332E5">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Fără a aduce atingere subpunctelor 1)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2), în cazul în care o autoritate a </w:t>
            </w:r>
            <w:proofErr w:type="spellStart"/>
            <w:r w:rsidRPr="00684853">
              <w:rPr>
                <w:rFonts w:ascii="Times New Roman" w:hAnsi="Times New Roman" w:cs="Times New Roman"/>
                <w:bCs/>
                <w:color w:val="000000" w:themeColor="text1"/>
                <w:sz w:val="20"/>
                <w:szCs w:val="20"/>
                <w:lang w:val="ro-RO"/>
              </w:rPr>
              <w:t>administraţiei</w:t>
            </w:r>
            <w:proofErr w:type="spellEnd"/>
            <w:r w:rsidRPr="00684853">
              <w:rPr>
                <w:rFonts w:ascii="Times New Roman" w:hAnsi="Times New Roman" w:cs="Times New Roman"/>
                <w:bCs/>
                <w:color w:val="000000" w:themeColor="text1"/>
                <w:sz w:val="20"/>
                <w:szCs w:val="20"/>
                <w:lang w:val="ro-RO"/>
              </w:rPr>
              <w:t xml:space="preserve"> publice centrale (în continuare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deţine</w:t>
            </w:r>
            <w:proofErr w:type="spellEnd"/>
            <w:r w:rsidRPr="00684853">
              <w:rPr>
                <w:rFonts w:ascii="Times New Roman" w:hAnsi="Times New Roman" w:cs="Times New Roman"/>
                <w:bCs/>
                <w:color w:val="000000" w:themeColor="text1"/>
                <w:sz w:val="20"/>
                <w:szCs w:val="20"/>
                <w:lang w:val="ro-RO"/>
              </w:rPr>
              <w:t xml:space="preserve"> controlul direct asupra mai multor persoane fizice sau juridice sau se află în legătură strânsă directă cu acestea, grupul format din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toate persoanele fizice sau juridice controlate direct sau indirect de aceasta în conformitate cu subpunctul 1) sau aflate în strânsă legătură cu aceasta în conformitate cu subpunctul 2) poate fi considerat că nu constituie un grup de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legătură. În schimb, </w:t>
            </w:r>
            <w:proofErr w:type="spellStart"/>
            <w:r w:rsidRPr="00684853">
              <w:rPr>
                <w:rFonts w:ascii="Times New Roman" w:hAnsi="Times New Roman" w:cs="Times New Roman"/>
                <w:bCs/>
                <w:color w:val="000000" w:themeColor="text1"/>
                <w:sz w:val="20"/>
                <w:szCs w:val="20"/>
                <w:lang w:val="ro-RO"/>
              </w:rPr>
              <w:t>existenţa</w:t>
            </w:r>
            <w:proofErr w:type="spellEnd"/>
            <w:r w:rsidRPr="00684853">
              <w:rPr>
                <w:rFonts w:ascii="Times New Roman" w:hAnsi="Times New Roman" w:cs="Times New Roman"/>
                <w:bCs/>
                <w:color w:val="000000" w:themeColor="text1"/>
                <w:sz w:val="20"/>
                <w:szCs w:val="20"/>
                <w:lang w:val="ro-RO"/>
              </w:rPr>
              <w:t xml:space="preserve"> unui grup de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legătură format din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alte persoane fizice sau juridice poate fi evaluată separat pentru fiecare dintre persoanele aflate sub controlul direct al acesteia în conformitate cu subpunctul 1) sau </w:t>
            </w:r>
            <w:r w:rsidRPr="00684853">
              <w:rPr>
                <w:rFonts w:ascii="Times New Roman" w:hAnsi="Times New Roman" w:cs="Times New Roman"/>
                <w:bCs/>
                <w:color w:val="000000" w:themeColor="text1"/>
                <w:sz w:val="20"/>
                <w:szCs w:val="20"/>
                <w:lang w:val="ro-RO"/>
              </w:rPr>
              <w:lastRenderedPageBreak/>
              <w:t xml:space="preserve">aflate în strânsă legătură directă cu aceasta în conformitate cu subpunctul 2)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pentru toate persoanele fizice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juridice aflate sub controlul respectivei persoane în conformitate cu subpunctul 1) sau aflate în strânsă legătură cu respectiva persoană în conformitate cu subpunctul 2), inclusiv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w:t>
            </w:r>
          </w:p>
        </w:tc>
        <w:tc>
          <w:tcPr>
            <w:tcW w:w="562" w:type="pct"/>
          </w:tcPr>
          <w:p w14:paraId="6C052816" w14:textId="77777777" w:rsidR="00B332E5" w:rsidRPr="00684853" w:rsidRDefault="00B332E5" w:rsidP="00B332E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48F7C912" w14:textId="77777777" w:rsidR="00B332E5" w:rsidRPr="00684853" w:rsidRDefault="00B332E5" w:rsidP="00B571EB">
            <w:pPr>
              <w:jc w:val="both"/>
              <w:rPr>
                <w:rFonts w:ascii="Times New Roman" w:hAnsi="Times New Roman" w:cs="Times New Roman"/>
                <w:color w:val="000000" w:themeColor="text1"/>
                <w:sz w:val="20"/>
                <w:szCs w:val="20"/>
                <w:lang w:val="ro-RO"/>
              </w:rPr>
            </w:pPr>
          </w:p>
        </w:tc>
        <w:tc>
          <w:tcPr>
            <w:tcW w:w="885" w:type="pct"/>
          </w:tcPr>
          <w:p w14:paraId="5EA22C25" w14:textId="77777777" w:rsidR="00B332E5" w:rsidRPr="00684853" w:rsidRDefault="00B332E5" w:rsidP="00B332E5">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Regulamentul nr.109/2019</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cu privire la expunerile mari.</w:t>
            </w:r>
          </w:p>
          <w:p w14:paraId="64E983BD" w14:textId="77777777" w:rsidR="00B332E5" w:rsidRPr="00684853" w:rsidRDefault="00B332E5" w:rsidP="00B571EB">
            <w:pPr>
              <w:rPr>
                <w:rFonts w:ascii="Times New Roman" w:hAnsi="Times New Roman" w:cs="Times New Roman"/>
                <w:color w:val="000000" w:themeColor="text1"/>
                <w:sz w:val="20"/>
                <w:szCs w:val="20"/>
                <w:lang w:val="ro-RO"/>
              </w:rPr>
            </w:pPr>
          </w:p>
        </w:tc>
      </w:tr>
      <w:tr w:rsidR="00EA59FA" w:rsidRPr="00684853" w14:paraId="7400C69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808D05E" w14:textId="77777777" w:rsidR="00395381" w:rsidRPr="00684853" w:rsidRDefault="00395381" w:rsidP="00302AC6">
            <w:pPr>
              <w:pStyle w:val="ListParagraph"/>
              <w:tabs>
                <w:tab w:val="left" w:pos="295"/>
              </w:tabs>
              <w:spacing w:after="0" w:line="240" w:lineRule="auto"/>
              <w:ind w:left="0"/>
              <w:rPr>
                <w:rFonts w:ascii="Times New Roman" w:eastAsia="Arial Unicode MS" w:hAnsi="Times New Roman" w:cs="Times New Roman"/>
                <w:color w:val="000000" w:themeColor="text1"/>
                <w:sz w:val="20"/>
                <w:szCs w:val="20"/>
                <w:lang w:val="ro-RO"/>
              </w:rPr>
            </w:pPr>
            <w:hyperlink r:id="rId21" w:tooltip="32019R0876: INSERTED" w:history="1">
              <w:r w:rsidRPr="00684853">
                <w:rPr>
                  <w:rFonts w:ascii="Times New Roman" w:hAnsi="Times New Roman" w:cs="Times New Roman"/>
                  <w:color w:val="000000" w:themeColor="text1"/>
                  <w:sz w:val="20"/>
                  <w:szCs w:val="20"/>
                  <w:lang w:val="ro-RO"/>
                </w:rPr>
                <w:t>▼M8</w:t>
              </w:r>
            </w:hyperlink>
          </w:p>
          <w:p w14:paraId="0CD7D131" w14:textId="16EA15D9" w:rsidR="00395381" w:rsidRPr="00684853" w:rsidRDefault="00395381" w:rsidP="00935478">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Două sau mai multe persoane fizice sau juridice care îndeplinesc condițiile stabilite la litera (a) sau (b) ca urmare a expunerii directe la același CPC pentru activități de compensare nu sunt considerate ca formând un grup de clienți aflați în legătură;</w:t>
            </w:r>
          </w:p>
        </w:tc>
        <w:tc>
          <w:tcPr>
            <w:tcW w:w="1636" w:type="pct"/>
          </w:tcPr>
          <w:p w14:paraId="4E810A7C" w14:textId="591A286B" w:rsidR="00395381" w:rsidRPr="00684853" w:rsidRDefault="00395381" w:rsidP="00A27B12">
            <w:pPr>
              <w:spacing w:after="0" w:line="276" w:lineRule="auto"/>
              <w:jc w:val="both"/>
              <w:rPr>
                <w:rFonts w:ascii="Times New Roman" w:hAnsi="Times New Roman" w:cs="Times New Roman"/>
                <w:b/>
                <w:color w:val="000000" w:themeColor="text1"/>
                <w:sz w:val="20"/>
                <w:szCs w:val="20"/>
                <w:lang w:val="ro-RO"/>
              </w:rPr>
            </w:pPr>
          </w:p>
        </w:tc>
        <w:tc>
          <w:tcPr>
            <w:tcW w:w="562" w:type="pct"/>
          </w:tcPr>
          <w:p w14:paraId="477C0E0A" w14:textId="31878F87" w:rsidR="009B3ADE" w:rsidRPr="00684853" w:rsidRDefault="009B3ADE" w:rsidP="00C0489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89EAE43" w14:textId="51031E81" w:rsidR="00395381" w:rsidRPr="00684853" w:rsidRDefault="008B3975" w:rsidP="00B332E5">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w:t>
            </w:r>
            <w:proofErr w:type="spellStart"/>
            <w:r w:rsidRPr="00684853">
              <w:rPr>
                <w:rFonts w:ascii="Times New Roman" w:hAnsi="Times New Roman" w:cs="Times New Roman"/>
                <w:color w:val="000000" w:themeColor="text1"/>
                <w:sz w:val="20"/>
                <w:szCs w:val="20"/>
                <w:lang w:val="ro-RO"/>
              </w:rPr>
              <w:t>modifiacre</w:t>
            </w:r>
            <w:proofErr w:type="spellEnd"/>
            <w:r w:rsidRPr="00684853">
              <w:rPr>
                <w:rFonts w:ascii="Times New Roman" w:hAnsi="Times New Roman" w:cs="Times New Roman"/>
                <w:color w:val="000000" w:themeColor="text1"/>
                <w:sz w:val="20"/>
                <w:szCs w:val="20"/>
                <w:lang w:val="ro-RO"/>
              </w:rPr>
              <w:t xml:space="preserve"> a Regulamentului nr.109/2019 cu privire la expunerile mari.</w:t>
            </w:r>
          </w:p>
        </w:tc>
      </w:tr>
      <w:tr w:rsidR="00EA59FA" w:rsidRPr="00684853" w14:paraId="6AE8179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CCFE8BF"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40. </w:t>
            </w:r>
            <w:r w:rsidRPr="00684853">
              <w:rPr>
                <w:rFonts w:ascii="Times New Roman" w:eastAsia="Arial Unicode MS" w:hAnsi="Times New Roman"/>
                <w:color w:val="000000" w:themeColor="text1"/>
                <w:sz w:val="20"/>
                <w:szCs w:val="20"/>
                <w:lang w:val="ro-RO"/>
              </w:rPr>
              <w:t>„autoritate competentă” înseamnă o autoritate publică sau un organism recunoscut oficial în dreptul intern, care este împuternicit în temeiul dreptului intern să supravegheze instituțiile ca parte a sistemului de supraveghere existent în statul membru respectiv;</w:t>
            </w:r>
          </w:p>
        </w:tc>
        <w:tc>
          <w:tcPr>
            <w:tcW w:w="1636" w:type="pct"/>
          </w:tcPr>
          <w:p w14:paraId="2F20C952" w14:textId="01E54A53" w:rsidR="00395381" w:rsidRPr="00684853" w:rsidRDefault="00A72B2F"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autoritate competentă </w:t>
            </w:r>
            <w:r w:rsidRPr="00684853">
              <w:rPr>
                <w:rFonts w:ascii="Times New Roman" w:hAnsi="Times New Roman" w:cs="Times New Roman"/>
                <w:bCs/>
                <w:color w:val="000000" w:themeColor="text1"/>
                <w:sz w:val="20"/>
                <w:szCs w:val="20"/>
                <w:lang w:val="ro-RO"/>
              </w:rPr>
              <w:t xml:space="preserve">– autoritate publică sau organism recunoscut oficial în dreptul intern, care este împuternicit, în temeiul </w:t>
            </w:r>
            <w:proofErr w:type="spellStart"/>
            <w:r w:rsidRPr="00684853">
              <w:rPr>
                <w:rFonts w:ascii="Times New Roman" w:hAnsi="Times New Roman" w:cs="Times New Roman"/>
                <w:bCs/>
                <w:color w:val="000000" w:themeColor="text1"/>
                <w:sz w:val="20"/>
                <w:szCs w:val="20"/>
                <w:lang w:val="ro-RO"/>
              </w:rPr>
              <w:t>legislaţiei</w:t>
            </w:r>
            <w:proofErr w:type="spellEnd"/>
            <w:r w:rsidRPr="00684853">
              <w:rPr>
                <w:rFonts w:ascii="Times New Roman" w:hAnsi="Times New Roman" w:cs="Times New Roman"/>
                <w:bCs/>
                <w:color w:val="000000" w:themeColor="text1"/>
                <w:sz w:val="20"/>
                <w:szCs w:val="20"/>
                <w:lang w:val="ro-RO"/>
              </w:rPr>
              <w:t xml:space="preserve">, să supravegheze băncile, după caz, </w:t>
            </w:r>
            <w:proofErr w:type="spellStart"/>
            <w:r w:rsidRPr="00684853">
              <w:rPr>
                <w:rFonts w:ascii="Times New Roman" w:hAnsi="Times New Roman" w:cs="Times New Roman"/>
                <w:bCs/>
                <w:color w:val="000000" w:themeColor="text1"/>
                <w:sz w:val="20"/>
                <w:szCs w:val="20"/>
                <w:lang w:val="ro-RO"/>
              </w:rPr>
              <w:t>societăţile</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ca parte a sistemului de supraveghere existent într-un stat;</w:t>
            </w:r>
          </w:p>
        </w:tc>
        <w:tc>
          <w:tcPr>
            <w:tcW w:w="562" w:type="pct"/>
          </w:tcPr>
          <w:p w14:paraId="17D811C7"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37C627A2" w14:textId="1DFE5CE5" w:rsidR="00395381" w:rsidRPr="00684853" w:rsidRDefault="00395381" w:rsidP="0050415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art.3 din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w:t>
            </w:r>
            <w:r w:rsidRPr="00684853">
              <w:rPr>
                <w:rFonts w:ascii="Times New Roman"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„autoritate competentă”</w:t>
            </w:r>
            <w:r w:rsidRPr="00684853">
              <w:rPr>
                <w:rFonts w:ascii="Times New Roman" w:hAnsi="Times New Roman" w:cs="Times New Roman"/>
                <w:b/>
                <w:color w:val="000000" w:themeColor="text1"/>
                <w:sz w:val="20"/>
                <w:szCs w:val="20"/>
                <w:lang w:val="ro-RO"/>
              </w:rPr>
              <w:t>.</w:t>
            </w:r>
          </w:p>
        </w:tc>
      </w:tr>
      <w:tr w:rsidR="00EA59FA" w:rsidRPr="00684853" w14:paraId="23A6C0D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F924C75" w14:textId="2B695C73" w:rsidR="00E90F23" w:rsidRPr="00684853" w:rsidRDefault="00E90F23"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M8</w:t>
            </w:r>
          </w:p>
          <w:p w14:paraId="64DDE0DB" w14:textId="481B04C1"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41. </w:t>
            </w:r>
            <w:r w:rsidRPr="00684853">
              <w:rPr>
                <w:rFonts w:ascii="Times New Roman" w:eastAsia="Arial Unicode MS" w:hAnsi="Times New Roman"/>
                <w:color w:val="000000" w:themeColor="text1"/>
                <w:sz w:val="20"/>
                <w:szCs w:val="20"/>
                <w:lang w:val="ro-RO"/>
              </w:rPr>
              <w:t xml:space="preserve">„supraveghetor consolidant” înseamnă o autoritate competentă responsabilă cu </w:t>
            </w:r>
            <w:r w:rsidR="0027357A" w:rsidRPr="00684853">
              <w:rPr>
                <w:rFonts w:ascii="Times New Roman" w:eastAsia="Arial Unicode MS" w:hAnsi="Times New Roman"/>
                <w:color w:val="000000" w:themeColor="text1"/>
                <w:sz w:val="20"/>
                <w:szCs w:val="20"/>
                <w:lang w:val="ro-RO"/>
              </w:rPr>
              <w:t xml:space="preserve">exercitarea </w:t>
            </w:r>
            <w:r w:rsidRPr="00684853">
              <w:rPr>
                <w:rFonts w:ascii="Times New Roman" w:eastAsia="Arial Unicode MS" w:hAnsi="Times New Roman"/>
                <w:color w:val="000000" w:themeColor="text1"/>
                <w:sz w:val="20"/>
                <w:szCs w:val="20"/>
                <w:lang w:val="ro-RO"/>
              </w:rPr>
              <w:t xml:space="preserve">supravegherii pe bază consolidată </w:t>
            </w:r>
            <w:r w:rsidR="0027357A" w:rsidRPr="00684853">
              <w:rPr>
                <w:rFonts w:ascii="Times New Roman" w:eastAsia="Arial Unicode MS" w:hAnsi="Times New Roman"/>
                <w:color w:val="000000" w:themeColor="text1"/>
                <w:sz w:val="20"/>
                <w:szCs w:val="20"/>
                <w:lang w:val="ro-RO"/>
              </w:rPr>
              <w:t>în conformitate cu articolul 111 din Directiva 2013/36/UE</w:t>
            </w:r>
            <w:r w:rsidRPr="00684853">
              <w:rPr>
                <w:rFonts w:ascii="Times New Roman" w:eastAsia="Arial Unicode MS" w:hAnsi="Times New Roman"/>
                <w:color w:val="000000" w:themeColor="text1"/>
                <w:sz w:val="20"/>
                <w:szCs w:val="20"/>
                <w:lang w:val="ro-RO"/>
              </w:rPr>
              <w:t>;</w:t>
            </w:r>
          </w:p>
        </w:tc>
        <w:tc>
          <w:tcPr>
            <w:tcW w:w="1636" w:type="pct"/>
          </w:tcPr>
          <w:p w14:paraId="2F082C11" w14:textId="43F945B8" w:rsidR="00395381" w:rsidRPr="00684853" w:rsidRDefault="00A72B2F"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supraveghetor consolidant </w:t>
            </w:r>
            <w:r w:rsidRPr="00684853">
              <w:rPr>
                <w:rFonts w:ascii="Times New Roman" w:hAnsi="Times New Roman" w:cs="Times New Roman"/>
                <w:bCs/>
                <w:color w:val="000000" w:themeColor="text1"/>
                <w:sz w:val="20"/>
                <w:szCs w:val="20"/>
                <w:lang w:val="ro-RO"/>
              </w:rPr>
              <w:t xml:space="preserve">– autoritate competentă responsabilă cu realizarea supravegherii pe bază consolidată (pe baza </w:t>
            </w:r>
            <w:proofErr w:type="spellStart"/>
            <w:r w:rsidRPr="00684853">
              <w:rPr>
                <w:rFonts w:ascii="Times New Roman" w:hAnsi="Times New Roman" w:cs="Times New Roman"/>
                <w:bCs/>
                <w:color w:val="000000" w:themeColor="text1"/>
                <w:sz w:val="20"/>
                <w:szCs w:val="20"/>
                <w:lang w:val="ro-RO"/>
              </w:rPr>
              <w:t>situaţiei</w:t>
            </w:r>
            <w:proofErr w:type="spellEnd"/>
            <w:r w:rsidRPr="00684853">
              <w:rPr>
                <w:rFonts w:ascii="Times New Roman" w:hAnsi="Times New Roman" w:cs="Times New Roman"/>
                <w:bCs/>
                <w:color w:val="000000" w:themeColor="text1"/>
                <w:sz w:val="20"/>
                <w:szCs w:val="20"/>
                <w:lang w:val="ro-RO"/>
              </w:rPr>
              <w:t xml:space="preserve"> consolidate) a băncii-mamă sau a </w:t>
            </w:r>
            <w:proofErr w:type="spellStart"/>
            <w:r w:rsidRPr="00684853">
              <w:rPr>
                <w:rFonts w:ascii="Times New Roman" w:hAnsi="Times New Roman" w:cs="Times New Roman"/>
                <w:bCs/>
                <w:color w:val="000000" w:themeColor="text1"/>
                <w:sz w:val="20"/>
                <w:szCs w:val="20"/>
                <w:lang w:val="ro-RO"/>
              </w:rPr>
              <w:t>societăţii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-mamă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băncilor sau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controlate de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financiare holding-mamă sau de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financiare holding mixte-mamă, unde aceste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de cel mai înalt rang în cadrul unui grup.</w:t>
            </w:r>
          </w:p>
        </w:tc>
        <w:tc>
          <w:tcPr>
            <w:tcW w:w="562" w:type="pct"/>
          </w:tcPr>
          <w:p w14:paraId="678F6157"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5547BCFF" w14:textId="10CF0470"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art.3 din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prin noțiunea</w:t>
            </w:r>
            <w:r w:rsidRPr="00684853">
              <w:rPr>
                <w:rFonts w:ascii="Times New Roman" w:hAnsi="Times New Roman" w:cs="Times New Roman"/>
                <w:b/>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„supraveghetor consolidant”</w:t>
            </w:r>
            <w:r w:rsidRPr="00684853">
              <w:rPr>
                <w:rFonts w:ascii="Times New Roman" w:hAnsi="Times New Roman" w:cs="Times New Roman"/>
                <w:b/>
                <w:color w:val="000000" w:themeColor="text1"/>
                <w:sz w:val="20"/>
                <w:szCs w:val="20"/>
                <w:lang w:val="ro-RO"/>
              </w:rPr>
              <w:t>.</w:t>
            </w:r>
          </w:p>
        </w:tc>
      </w:tr>
      <w:tr w:rsidR="00EA59FA" w:rsidRPr="00684853" w14:paraId="2565B6B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F4115AE"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42. </w:t>
            </w:r>
            <w:r w:rsidRPr="00684853">
              <w:rPr>
                <w:rFonts w:ascii="Times New Roman" w:eastAsia="Arial Unicode MS" w:hAnsi="Times New Roman"/>
                <w:color w:val="000000" w:themeColor="text1"/>
                <w:sz w:val="20"/>
                <w:szCs w:val="20"/>
                <w:lang w:val="ro-RO"/>
              </w:rPr>
              <w:t>„autorizație” înseamnă un instrument eliberat sub orice formă de către autorități, prin care se acordă dreptul de a desfășura activitatea;</w:t>
            </w:r>
          </w:p>
        </w:tc>
        <w:tc>
          <w:tcPr>
            <w:tcW w:w="1636" w:type="pct"/>
          </w:tcPr>
          <w:p w14:paraId="576A8AEC" w14:textId="18817D6C" w:rsidR="005E0BAB" w:rsidRPr="00684853" w:rsidRDefault="005E0BAB" w:rsidP="00B571EB">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Băncile persoane juridice din Republica Moldova, înainte de începerea propriu-zisă a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trebuie să </w:t>
            </w:r>
            <w:proofErr w:type="spellStart"/>
            <w:r w:rsidRPr="00684853">
              <w:rPr>
                <w:rFonts w:ascii="Times New Roman" w:hAnsi="Times New Roman" w:cs="Times New Roman"/>
                <w:bCs/>
                <w:color w:val="000000" w:themeColor="text1"/>
                <w:sz w:val="20"/>
                <w:szCs w:val="20"/>
                <w:lang w:val="ro-RO"/>
              </w:rPr>
              <w:t>obţină</w:t>
            </w:r>
            <w:proofErr w:type="spellEnd"/>
            <w:r w:rsidRPr="00684853">
              <w:rPr>
                <w:rFonts w:ascii="Times New Roman" w:hAnsi="Times New Roman" w:cs="Times New Roman"/>
                <w:bCs/>
                <w:color w:val="000000" w:themeColor="text1"/>
                <w:sz w:val="20"/>
                <w:szCs w:val="20"/>
                <w:lang w:val="ro-RO"/>
              </w:rPr>
              <w:t xml:space="preserve"> de la Banca </w:t>
            </w:r>
            <w:proofErr w:type="spellStart"/>
            <w:r w:rsidRPr="00684853">
              <w:rPr>
                <w:rFonts w:ascii="Times New Roman" w:hAnsi="Times New Roman" w:cs="Times New Roman"/>
                <w:bCs/>
                <w:color w:val="000000" w:themeColor="text1"/>
                <w:sz w:val="20"/>
                <w:szCs w:val="20"/>
                <w:lang w:val="ro-RO"/>
              </w:rPr>
              <w:t>Naţională</w:t>
            </w:r>
            <w:proofErr w:type="spellEnd"/>
            <w:r w:rsidRPr="00684853">
              <w:rPr>
                <w:rFonts w:ascii="Times New Roman" w:hAnsi="Times New Roman" w:cs="Times New Roman"/>
                <w:bCs/>
                <w:color w:val="000000" w:themeColor="text1"/>
                <w:sz w:val="20"/>
                <w:szCs w:val="20"/>
                <w:lang w:val="ro-RO"/>
              </w:rPr>
              <w:t xml:space="preserve"> a Moldovei </w:t>
            </w:r>
            <w:proofErr w:type="spellStart"/>
            <w:r w:rsidRPr="00684853">
              <w:rPr>
                <w:rFonts w:ascii="Times New Roman" w:hAnsi="Times New Roman" w:cs="Times New Roman"/>
                <w:b/>
                <w:color w:val="000000" w:themeColor="text1"/>
                <w:sz w:val="20"/>
                <w:szCs w:val="20"/>
                <w:lang w:val="ro-RO"/>
              </w:rPr>
              <w:t>licenţa</w:t>
            </w:r>
            <w:proofErr w:type="spellEnd"/>
            <w:r w:rsidRPr="00684853">
              <w:rPr>
                <w:rFonts w:ascii="Times New Roman" w:hAnsi="Times New Roman" w:cs="Times New Roman"/>
                <w:b/>
                <w:color w:val="000000" w:themeColor="text1"/>
                <w:sz w:val="20"/>
                <w:szCs w:val="20"/>
                <w:lang w:val="ro-RO"/>
              </w:rPr>
              <w:t xml:space="preserve"> pentru </w:t>
            </w:r>
            <w:proofErr w:type="spellStart"/>
            <w:r w:rsidRPr="00684853">
              <w:rPr>
                <w:rFonts w:ascii="Times New Roman" w:hAnsi="Times New Roman" w:cs="Times New Roman"/>
                <w:b/>
                <w:color w:val="000000" w:themeColor="text1"/>
                <w:sz w:val="20"/>
                <w:szCs w:val="20"/>
                <w:lang w:val="ro-RO"/>
              </w:rPr>
              <w:t>desfăşurarea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activităţilor</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nominalizate la art.14 alin.(1).</w:t>
            </w:r>
          </w:p>
          <w:p w14:paraId="23499670" w14:textId="77777777" w:rsidR="005E0BAB" w:rsidRPr="00684853" w:rsidRDefault="005E0BAB" w:rsidP="00B571EB">
            <w:pPr>
              <w:spacing w:after="0" w:line="276" w:lineRule="auto"/>
              <w:jc w:val="both"/>
              <w:rPr>
                <w:rFonts w:ascii="Times New Roman" w:hAnsi="Times New Roman" w:cs="Times New Roman"/>
                <w:bCs/>
                <w:color w:val="000000" w:themeColor="text1"/>
                <w:sz w:val="20"/>
                <w:szCs w:val="20"/>
                <w:lang w:val="ro-RO"/>
              </w:rPr>
            </w:pPr>
          </w:p>
          <w:p w14:paraId="0EE98DAE" w14:textId="468E2D3E" w:rsidR="00395381" w:rsidRPr="00684853" w:rsidRDefault="005E0BAB"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licenţă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act permisiv care </w:t>
            </w:r>
            <w:proofErr w:type="spellStart"/>
            <w:r w:rsidRPr="00684853">
              <w:rPr>
                <w:rFonts w:ascii="Times New Roman" w:hAnsi="Times New Roman" w:cs="Times New Roman"/>
                <w:bCs/>
                <w:color w:val="000000" w:themeColor="text1"/>
                <w:sz w:val="20"/>
                <w:szCs w:val="20"/>
                <w:lang w:val="ro-RO"/>
              </w:rPr>
              <w:t>învesteşte</w:t>
            </w:r>
            <w:proofErr w:type="spellEnd"/>
            <w:r w:rsidRPr="00684853">
              <w:rPr>
                <w:rFonts w:ascii="Times New Roman" w:hAnsi="Times New Roman" w:cs="Times New Roman"/>
                <w:bCs/>
                <w:color w:val="000000" w:themeColor="text1"/>
                <w:sz w:val="20"/>
                <w:szCs w:val="20"/>
                <w:lang w:val="ro-RO"/>
              </w:rPr>
              <w:t xml:space="preserve"> titularul cu drept de a </w:t>
            </w:r>
            <w:proofErr w:type="spellStart"/>
            <w:r w:rsidRPr="00684853">
              <w:rPr>
                <w:rFonts w:ascii="Times New Roman" w:hAnsi="Times New Roman" w:cs="Times New Roman"/>
                <w:bCs/>
                <w:color w:val="000000" w:themeColor="text1"/>
                <w:sz w:val="20"/>
                <w:szCs w:val="20"/>
                <w:lang w:val="ro-RO"/>
              </w:rPr>
              <w:t>desfăşura</w:t>
            </w:r>
            <w:proofErr w:type="spellEnd"/>
            <w:r w:rsidRPr="00684853">
              <w:rPr>
                <w:rFonts w:ascii="Times New Roman" w:hAnsi="Times New Roman" w:cs="Times New Roman"/>
                <w:bCs/>
                <w:color w:val="000000" w:themeColor="text1"/>
                <w:sz w:val="20"/>
                <w:szCs w:val="20"/>
                <w:lang w:val="ro-RO"/>
              </w:rPr>
              <w:t xml:space="preserve"> un anumit gen de activitate, integral sau </w:t>
            </w:r>
            <w:proofErr w:type="spellStart"/>
            <w:r w:rsidRPr="00684853">
              <w:rPr>
                <w:rFonts w:ascii="Times New Roman" w:hAnsi="Times New Roman" w:cs="Times New Roman"/>
                <w:bCs/>
                <w:color w:val="000000" w:themeColor="text1"/>
                <w:sz w:val="20"/>
                <w:szCs w:val="20"/>
                <w:lang w:val="ro-RO"/>
              </w:rPr>
              <w:t>parţial</w:t>
            </w:r>
            <w:proofErr w:type="spellEnd"/>
            <w:r w:rsidRPr="00684853">
              <w:rPr>
                <w:rFonts w:ascii="Times New Roman" w:hAnsi="Times New Roman" w:cs="Times New Roman"/>
                <w:bCs/>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lastRenderedPageBreak/>
              <w:t xml:space="preserve">asupra căruia se </w:t>
            </w:r>
            <w:proofErr w:type="spellStart"/>
            <w:r w:rsidRPr="00684853">
              <w:rPr>
                <w:rFonts w:ascii="Times New Roman" w:hAnsi="Times New Roman" w:cs="Times New Roman"/>
                <w:bCs/>
                <w:color w:val="000000" w:themeColor="text1"/>
                <w:sz w:val="20"/>
                <w:szCs w:val="20"/>
                <w:lang w:val="ro-RO"/>
              </w:rPr>
              <w:t>răsfrîng</w:t>
            </w:r>
            <w:proofErr w:type="spellEnd"/>
            <w:r w:rsidRPr="00684853">
              <w:rPr>
                <w:rFonts w:ascii="Times New Roman" w:hAnsi="Times New Roman" w:cs="Times New Roman"/>
                <w:bCs/>
                <w:color w:val="000000" w:themeColor="text1"/>
                <w:sz w:val="20"/>
                <w:szCs w:val="20"/>
                <w:lang w:val="ro-RO"/>
              </w:rPr>
              <w:t xml:space="preserve"> criteriile de </w:t>
            </w:r>
            <w:proofErr w:type="spellStart"/>
            <w:r w:rsidRPr="00684853">
              <w:rPr>
                <w:rFonts w:ascii="Times New Roman" w:hAnsi="Times New Roman" w:cs="Times New Roman"/>
                <w:bCs/>
                <w:color w:val="000000" w:themeColor="text1"/>
                <w:sz w:val="20"/>
                <w:szCs w:val="20"/>
                <w:lang w:val="ro-RO"/>
              </w:rPr>
              <w:t>licenţiere</w:t>
            </w:r>
            <w:proofErr w:type="spellEnd"/>
            <w:r w:rsidRPr="00684853">
              <w:rPr>
                <w:rFonts w:ascii="Times New Roman" w:hAnsi="Times New Roman" w:cs="Times New Roman"/>
                <w:bCs/>
                <w:color w:val="000000" w:themeColor="text1"/>
                <w:sz w:val="20"/>
                <w:szCs w:val="20"/>
                <w:lang w:val="ro-RO"/>
              </w:rPr>
              <w:t xml:space="preserve"> stabilite de prezenta lege</w:t>
            </w:r>
          </w:p>
        </w:tc>
        <w:tc>
          <w:tcPr>
            <w:tcW w:w="562" w:type="pct"/>
          </w:tcPr>
          <w:p w14:paraId="30ECFB0B"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885" w:type="pct"/>
          </w:tcPr>
          <w:p w14:paraId="1A2501F9" w14:textId="77777777" w:rsidR="00395381" w:rsidRPr="00684853" w:rsidRDefault="00395381" w:rsidP="00A53416">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prin art.16 alin. (1) din </w:t>
            </w:r>
            <w:r w:rsidRPr="00684853">
              <w:rPr>
                <w:rFonts w:ascii="Times New Roman" w:hAnsi="Times New Roman" w:cs="Times New Roman"/>
                <w:b/>
                <w:color w:val="000000" w:themeColor="text1"/>
                <w:sz w:val="20"/>
                <w:szCs w:val="20"/>
                <w:lang w:val="ro-RO"/>
              </w:rPr>
              <w:t>Legea nr.202/2017 privind activitatea băncilor.</w:t>
            </w:r>
          </w:p>
          <w:p w14:paraId="6AAD7123" w14:textId="77777777" w:rsidR="005E0BAB" w:rsidRPr="00684853" w:rsidRDefault="005E0BAB" w:rsidP="00A53416">
            <w:pPr>
              <w:rPr>
                <w:rFonts w:ascii="Times New Roman" w:hAnsi="Times New Roman" w:cs="Times New Roman"/>
                <w:b/>
                <w:color w:val="000000" w:themeColor="text1"/>
                <w:sz w:val="20"/>
                <w:szCs w:val="20"/>
                <w:lang w:val="ro-RO"/>
              </w:rPr>
            </w:pPr>
          </w:p>
          <w:p w14:paraId="37F098D7" w14:textId="2ABB2EBF" w:rsidR="005E0BAB" w:rsidRPr="00684853" w:rsidRDefault="005E0BAB" w:rsidP="00A53416">
            <w:pPr>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Art.4</w:t>
            </w:r>
            <w:r w:rsidRPr="00684853">
              <w:rPr>
                <w:rFonts w:ascii="Times New Roman" w:hAnsi="Times New Roman" w:cs="Times New Roman"/>
                <w:bCs/>
                <w:color w:val="000000" w:themeColor="text1"/>
                <w:sz w:val="20"/>
                <w:szCs w:val="20"/>
                <w:vertAlign w:val="superscript"/>
                <w:lang w:val="ro-RO"/>
              </w:rPr>
              <w:t>1</w:t>
            </w:r>
            <w:r w:rsidRPr="00684853">
              <w:rPr>
                <w:rFonts w:ascii="Times New Roman" w:hAnsi="Times New Roman" w:cs="Times New Roman"/>
                <w:bCs/>
                <w:color w:val="000000" w:themeColor="text1"/>
                <w:sz w:val="20"/>
                <w:szCs w:val="20"/>
                <w:lang w:val="ro-RO"/>
              </w:rPr>
              <w:t xml:space="preserve"> alin.(1)</w:t>
            </w:r>
            <w:r w:rsidR="00B750DA" w:rsidRPr="00684853">
              <w:rPr>
                <w:rFonts w:ascii="Times New Roman" w:hAnsi="Times New Roman" w:cs="Times New Roman"/>
                <w:bCs/>
                <w:color w:val="000000" w:themeColor="text1"/>
                <w:sz w:val="20"/>
                <w:szCs w:val="20"/>
                <w:lang w:val="ro-RO"/>
              </w:rPr>
              <w:t xml:space="preserve"> </w:t>
            </w:r>
            <w:proofErr w:type="spellStart"/>
            <w:r w:rsidR="00B750DA" w:rsidRPr="00684853">
              <w:rPr>
                <w:rFonts w:ascii="Times New Roman" w:hAnsi="Times New Roman" w:cs="Times New Roman"/>
                <w:bCs/>
                <w:color w:val="000000" w:themeColor="text1"/>
                <w:sz w:val="20"/>
                <w:szCs w:val="20"/>
                <w:lang w:val="ro-RO"/>
              </w:rPr>
              <w:t>lit.a</w:t>
            </w:r>
            <w:proofErr w:type="spellEnd"/>
            <w:r w:rsidR="00B750DA" w:rsidRPr="00684853">
              <w:rPr>
                <w:rFonts w:ascii="Times New Roman" w:hAnsi="Times New Roman" w:cs="Times New Roman"/>
                <w:bCs/>
                <w:color w:val="000000" w:themeColor="text1"/>
                <w:sz w:val="20"/>
                <w:szCs w:val="20"/>
                <w:lang w:val="ro-RO"/>
              </w:rPr>
              <w:t>)</w:t>
            </w:r>
            <w:r w:rsidRPr="00684853">
              <w:rPr>
                <w:rFonts w:ascii="Times New Roman" w:hAnsi="Times New Roman" w:cs="Times New Roman"/>
                <w:bCs/>
                <w:color w:val="000000" w:themeColor="text1"/>
                <w:sz w:val="20"/>
                <w:szCs w:val="20"/>
                <w:lang w:val="ro-RO"/>
              </w:rPr>
              <w:t xml:space="preserve"> din Legea nr.160/2011 privind </w:t>
            </w:r>
            <w:r w:rsidRPr="00684853">
              <w:rPr>
                <w:rFonts w:ascii="Times New Roman" w:hAnsi="Times New Roman" w:cs="Times New Roman"/>
                <w:bCs/>
                <w:color w:val="000000" w:themeColor="text1"/>
                <w:sz w:val="20"/>
                <w:szCs w:val="20"/>
                <w:lang w:val="ro-RO"/>
              </w:rPr>
              <w:lastRenderedPageBreak/>
              <w:t>reglementarea prin autorizare a activității de întreprinzător.</w:t>
            </w:r>
          </w:p>
        </w:tc>
      </w:tr>
      <w:tr w:rsidR="00EA59FA" w:rsidRPr="00684853" w14:paraId="79FEAA2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A2076DB"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43. </w:t>
            </w:r>
            <w:r w:rsidRPr="00684853">
              <w:rPr>
                <w:rFonts w:ascii="Times New Roman" w:eastAsia="Arial Unicode MS" w:hAnsi="Times New Roman"/>
                <w:color w:val="000000" w:themeColor="text1"/>
                <w:sz w:val="20"/>
                <w:szCs w:val="20"/>
                <w:lang w:val="ro-RO"/>
              </w:rPr>
              <w:t>„stat membru de origine” înseamnă statul membru în care o instituție a fost autorizată;</w:t>
            </w:r>
          </w:p>
        </w:tc>
        <w:tc>
          <w:tcPr>
            <w:tcW w:w="1636" w:type="pct"/>
          </w:tcPr>
          <w:p w14:paraId="5A7C959C" w14:textId="14F42CA8" w:rsidR="00395381" w:rsidRPr="00684853" w:rsidRDefault="007D7D4D"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stat de origine – </w:t>
            </w:r>
            <w:r w:rsidRPr="00684853">
              <w:rPr>
                <w:rFonts w:ascii="Times New Roman" w:hAnsi="Times New Roman" w:cs="Times New Roman"/>
                <w:bCs/>
                <w:color w:val="000000" w:themeColor="text1"/>
                <w:sz w:val="20"/>
                <w:szCs w:val="20"/>
                <w:lang w:val="ro-RO"/>
              </w:rPr>
              <w:t xml:space="preserve">statul în care o bancă este </w:t>
            </w:r>
            <w:proofErr w:type="spellStart"/>
            <w:r w:rsidRPr="00684853">
              <w:rPr>
                <w:rFonts w:ascii="Times New Roman" w:hAnsi="Times New Roman" w:cs="Times New Roman"/>
                <w:bCs/>
                <w:color w:val="000000" w:themeColor="text1"/>
                <w:sz w:val="20"/>
                <w:szCs w:val="20"/>
                <w:lang w:val="ro-RO"/>
              </w:rPr>
              <w:t>înfiinţată</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fost </w:t>
            </w:r>
            <w:proofErr w:type="spellStart"/>
            <w:r w:rsidRPr="00684853">
              <w:rPr>
                <w:rFonts w:ascii="Times New Roman" w:hAnsi="Times New Roman" w:cs="Times New Roman"/>
                <w:bCs/>
                <w:color w:val="000000" w:themeColor="text1"/>
                <w:sz w:val="20"/>
                <w:szCs w:val="20"/>
                <w:lang w:val="ro-RO"/>
              </w:rPr>
              <w:t>licenţiată</w:t>
            </w:r>
            <w:proofErr w:type="spellEnd"/>
            <w:r w:rsidRPr="00684853">
              <w:rPr>
                <w:rFonts w:ascii="Times New Roman" w:hAnsi="Times New Roman" w:cs="Times New Roman"/>
                <w:bCs/>
                <w:color w:val="000000" w:themeColor="text1"/>
                <w:sz w:val="20"/>
                <w:szCs w:val="20"/>
                <w:lang w:val="ro-RO"/>
              </w:rPr>
              <w:t>;</w:t>
            </w:r>
          </w:p>
        </w:tc>
        <w:tc>
          <w:tcPr>
            <w:tcW w:w="562" w:type="pct"/>
          </w:tcPr>
          <w:p w14:paraId="78846AA5"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0AFC2824" w14:textId="0996A983" w:rsidR="00395381" w:rsidRPr="00684853" w:rsidRDefault="00395381" w:rsidP="00B571EB">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„stat de origine”</w:t>
            </w:r>
            <w:r w:rsidRPr="00684853">
              <w:rPr>
                <w:rFonts w:ascii="Times New Roman" w:hAnsi="Times New Roman" w:cs="Times New Roman"/>
                <w:b/>
                <w:color w:val="000000" w:themeColor="text1"/>
                <w:sz w:val="20"/>
                <w:szCs w:val="20"/>
                <w:lang w:val="ro-RO"/>
              </w:rPr>
              <w:t xml:space="preserve">. </w:t>
            </w:r>
          </w:p>
        </w:tc>
      </w:tr>
      <w:tr w:rsidR="00EA59FA" w:rsidRPr="00684853" w14:paraId="3F4763F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9D3AC62"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44. </w:t>
            </w:r>
            <w:r w:rsidRPr="00684853">
              <w:rPr>
                <w:rFonts w:ascii="Times New Roman" w:eastAsia="Arial Unicode MS" w:hAnsi="Times New Roman"/>
                <w:color w:val="000000" w:themeColor="text1"/>
                <w:sz w:val="20"/>
                <w:szCs w:val="20"/>
                <w:lang w:val="ro-RO"/>
              </w:rPr>
              <w:t>„stat membru gazdă” înseamnă statul membru în care o instituție are o sucursală sau în care prestează servicii;</w:t>
            </w:r>
          </w:p>
        </w:tc>
        <w:tc>
          <w:tcPr>
            <w:tcW w:w="1636" w:type="pct"/>
          </w:tcPr>
          <w:p w14:paraId="0889073E" w14:textId="6AD7A60D" w:rsidR="00395381" w:rsidRPr="00684853" w:rsidRDefault="007D7D4D"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stat gazdă </w:t>
            </w:r>
            <w:r w:rsidRPr="00684853">
              <w:rPr>
                <w:rFonts w:ascii="Times New Roman" w:hAnsi="Times New Roman" w:cs="Times New Roman"/>
                <w:bCs/>
                <w:color w:val="000000" w:themeColor="text1"/>
                <w:sz w:val="20"/>
                <w:szCs w:val="20"/>
                <w:lang w:val="ro-RO"/>
              </w:rPr>
              <w:t>– statul în care o bancă are o sucursală;</w:t>
            </w:r>
          </w:p>
        </w:tc>
        <w:tc>
          <w:tcPr>
            <w:tcW w:w="562" w:type="pct"/>
          </w:tcPr>
          <w:p w14:paraId="0BE78E9F"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246523AD" w14:textId="1AB2B8E7"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„stat gazdă”</w:t>
            </w:r>
            <w:r w:rsidRPr="00684853">
              <w:rPr>
                <w:rFonts w:ascii="Times New Roman" w:hAnsi="Times New Roman" w:cs="Times New Roman"/>
                <w:b/>
                <w:color w:val="000000" w:themeColor="text1"/>
                <w:sz w:val="20"/>
                <w:szCs w:val="20"/>
                <w:lang w:val="ro-RO"/>
              </w:rPr>
              <w:t>.</w:t>
            </w:r>
          </w:p>
        </w:tc>
      </w:tr>
      <w:tr w:rsidR="00EA59FA" w:rsidRPr="00684853" w14:paraId="2819623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0D3B4D5"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45. </w:t>
            </w:r>
            <w:r w:rsidRPr="00684853">
              <w:rPr>
                <w:rFonts w:ascii="Times New Roman" w:eastAsia="Arial Unicode MS" w:hAnsi="Times New Roman"/>
                <w:color w:val="000000" w:themeColor="text1"/>
                <w:sz w:val="20"/>
                <w:szCs w:val="20"/>
                <w:lang w:val="ro-RO"/>
              </w:rPr>
              <w:t>„bănci centrale din cadrul SEBC” înseamnă băncile centrale naționale care sunt membre ale Sistemului European al Băncilor Centrale (SEBC), precum și Banca Centrală Europeană (BCE);</w:t>
            </w:r>
          </w:p>
        </w:tc>
        <w:tc>
          <w:tcPr>
            <w:tcW w:w="1636" w:type="pct"/>
          </w:tcPr>
          <w:p w14:paraId="44CD13A3"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62" w:type="pct"/>
          </w:tcPr>
          <w:p w14:paraId="0A774044" w14:textId="583CC46D" w:rsidR="00395381" w:rsidRPr="00684853" w:rsidRDefault="006051D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885" w:type="pct"/>
          </w:tcPr>
          <w:p w14:paraId="59B08F4C" w14:textId="346837BD" w:rsidR="00395381" w:rsidRPr="00684853" w:rsidRDefault="00395381" w:rsidP="00A5341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Prevederea respectivă se aplică statelor membre ale UE</w:t>
            </w:r>
            <w:r w:rsidRPr="00684853">
              <w:rPr>
                <w:rFonts w:ascii="Times New Roman" w:eastAsia="Calibri" w:hAnsi="Times New Roman" w:cs="Times New Roman"/>
                <w:color w:val="000000" w:themeColor="text1"/>
                <w:sz w:val="20"/>
                <w:szCs w:val="20"/>
                <w:lang w:val="ro-RO"/>
              </w:rPr>
              <w:t xml:space="preserve">. </w:t>
            </w:r>
          </w:p>
        </w:tc>
      </w:tr>
      <w:tr w:rsidR="00EA59FA" w:rsidRPr="00684853" w14:paraId="45CDFAB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0DA4D25"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46. </w:t>
            </w:r>
            <w:r w:rsidRPr="00684853">
              <w:rPr>
                <w:rFonts w:ascii="Times New Roman" w:eastAsia="Arial Unicode MS" w:hAnsi="Times New Roman"/>
                <w:color w:val="000000" w:themeColor="text1"/>
                <w:sz w:val="20"/>
                <w:szCs w:val="20"/>
                <w:lang w:val="ro-RO"/>
              </w:rPr>
              <w:t>„bănci centrale” înseamnă băncile centrale din cadrul SEBC și băncile centrale din țări terțe;</w:t>
            </w:r>
          </w:p>
        </w:tc>
        <w:tc>
          <w:tcPr>
            <w:tcW w:w="1636" w:type="pct"/>
          </w:tcPr>
          <w:p w14:paraId="01CE81E0"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62" w:type="pct"/>
          </w:tcPr>
          <w:p w14:paraId="6A59248C" w14:textId="72D745B3" w:rsidR="00395381" w:rsidRPr="00684853" w:rsidRDefault="006051D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885" w:type="pct"/>
          </w:tcPr>
          <w:p w14:paraId="295B0E1B" w14:textId="3561674B" w:rsidR="00395381" w:rsidRPr="00684853" w:rsidRDefault="00395381" w:rsidP="00A5341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Prevederea respectivă se aplică statelor membre ale UE</w:t>
            </w:r>
            <w:r w:rsidRPr="00684853">
              <w:rPr>
                <w:rFonts w:ascii="Times New Roman" w:eastAsia="Calibri" w:hAnsi="Times New Roman" w:cs="Times New Roman"/>
                <w:color w:val="000000" w:themeColor="text1"/>
                <w:sz w:val="20"/>
                <w:szCs w:val="20"/>
                <w:lang w:val="ro-RO"/>
              </w:rPr>
              <w:t xml:space="preserve">. </w:t>
            </w:r>
          </w:p>
        </w:tc>
      </w:tr>
      <w:tr w:rsidR="00EA59FA" w:rsidRPr="00684853" w14:paraId="192FB35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A17C261"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47. </w:t>
            </w:r>
            <w:r w:rsidRPr="00684853">
              <w:rPr>
                <w:rFonts w:ascii="Times New Roman" w:eastAsia="Arial Unicode MS" w:hAnsi="Times New Roman"/>
                <w:color w:val="000000" w:themeColor="text1"/>
                <w:sz w:val="20"/>
                <w:szCs w:val="20"/>
                <w:lang w:val="ro-RO"/>
              </w:rPr>
              <w:t>„situație consolidată” înseamnă situația care rezultă din aplicarea cerințelor prezentului regulament în conformitate cu partea întâi titlul II capitolul 2 în cazul unei instituții, ca și cum respectiva instituție formează, împreună cu una sau mai multe entități, o singură instituție;</w:t>
            </w:r>
          </w:p>
        </w:tc>
        <w:tc>
          <w:tcPr>
            <w:tcW w:w="1636" w:type="pct"/>
          </w:tcPr>
          <w:p w14:paraId="4C88C7CC" w14:textId="565CA3FF" w:rsidR="00395381" w:rsidRPr="00684853" w:rsidRDefault="006051D0"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situaţie</w:t>
            </w:r>
            <w:proofErr w:type="spellEnd"/>
            <w:r w:rsidRPr="00684853">
              <w:rPr>
                <w:rFonts w:ascii="Times New Roman" w:hAnsi="Times New Roman" w:cs="Times New Roman"/>
                <w:b/>
                <w:color w:val="000000" w:themeColor="text1"/>
                <w:sz w:val="20"/>
                <w:szCs w:val="20"/>
                <w:lang w:val="ro-RO"/>
              </w:rPr>
              <w:t xml:space="preserve"> consolidată </w:t>
            </w: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care rezultă din aplicarea </w:t>
            </w:r>
            <w:proofErr w:type="spellStart"/>
            <w:r w:rsidRPr="00684853">
              <w:rPr>
                <w:rFonts w:ascii="Times New Roman" w:hAnsi="Times New Roman" w:cs="Times New Roman"/>
                <w:bCs/>
                <w:color w:val="000000" w:themeColor="text1"/>
                <w:sz w:val="20"/>
                <w:szCs w:val="20"/>
                <w:lang w:val="ro-RO"/>
              </w:rPr>
              <w:t>cerinţelor</w:t>
            </w:r>
            <w:proofErr w:type="spellEnd"/>
            <w:r w:rsidRPr="00684853">
              <w:rPr>
                <w:rFonts w:ascii="Times New Roman" w:hAnsi="Times New Roman" w:cs="Times New Roman"/>
                <w:bCs/>
                <w:color w:val="000000" w:themeColor="text1"/>
                <w:sz w:val="20"/>
                <w:szCs w:val="20"/>
                <w:lang w:val="ro-RO"/>
              </w:rPr>
              <w:t xml:space="preserve"> capitolului 2 titlul V din prezenta lege în cazul unei bănci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ca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cum acestea formează, împreună cu una sau mai multe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 xml:space="preserve">, o singură bancă sau o singură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562" w:type="pct"/>
          </w:tcPr>
          <w:p w14:paraId="3665BEAB"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40643368" w14:textId="3066672F"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Legea nr.202/2017 privind activitatea băncilor </w:t>
            </w:r>
            <w:r w:rsidRPr="00684853">
              <w:rPr>
                <w:rFonts w:ascii="Times New Roman" w:hAnsi="Times New Roman" w:cs="Times New Roman"/>
                <w:color w:val="000000" w:themeColor="text1"/>
                <w:sz w:val="20"/>
                <w:szCs w:val="20"/>
                <w:lang w:val="ro-RO"/>
              </w:rPr>
              <w:t xml:space="preserve">prin noțiunea </w:t>
            </w:r>
            <w:r w:rsidRPr="00684853">
              <w:rPr>
                <w:rFonts w:ascii="Times New Roman" w:eastAsia="Arial Unicode MS" w:hAnsi="Times New Roman" w:cs="Times New Roman"/>
                <w:color w:val="000000" w:themeColor="text1"/>
                <w:sz w:val="20"/>
                <w:szCs w:val="20"/>
                <w:lang w:val="ro-RO"/>
              </w:rPr>
              <w:t>„situație consolidată”</w:t>
            </w:r>
            <w:r w:rsidRPr="00684853">
              <w:rPr>
                <w:rFonts w:ascii="Times New Roman" w:hAnsi="Times New Roman" w:cs="Times New Roman"/>
                <w:b/>
                <w:color w:val="000000" w:themeColor="text1"/>
                <w:sz w:val="20"/>
                <w:szCs w:val="20"/>
                <w:lang w:val="ro-RO"/>
              </w:rPr>
              <w:t>.</w:t>
            </w:r>
          </w:p>
        </w:tc>
      </w:tr>
      <w:tr w:rsidR="00EA59FA" w:rsidRPr="00684853" w14:paraId="1340864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5FFA5E2" w14:textId="77777777" w:rsidR="00395381" w:rsidRPr="00684853" w:rsidRDefault="00395381" w:rsidP="00B571EB">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48. </w:t>
            </w:r>
            <w:r w:rsidRPr="00684853">
              <w:rPr>
                <w:rFonts w:ascii="Times New Roman" w:eastAsia="Arial Unicode MS" w:hAnsi="Times New Roman"/>
                <w:color w:val="000000" w:themeColor="text1"/>
                <w:sz w:val="20"/>
                <w:szCs w:val="20"/>
                <w:lang w:val="ro-RO"/>
              </w:rPr>
              <w:t>„bază consolidată” înseamnă pe baza situației consolidate;</w:t>
            </w:r>
          </w:p>
        </w:tc>
        <w:tc>
          <w:tcPr>
            <w:tcW w:w="1636" w:type="pct"/>
          </w:tcPr>
          <w:p w14:paraId="4B8BBF6B" w14:textId="0F0D61A6" w:rsidR="00395381" w:rsidRPr="00684853" w:rsidRDefault="006051D0" w:rsidP="00B571EB">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supraveghetor consolidant</w:t>
            </w:r>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autoritate competentă responsabilă cu realizarea supravegherii p</w:t>
            </w:r>
            <w:r w:rsidRPr="00684853">
              <w:rPr>
                <w:rFonts w:ascii="Times New Roman" w:hAnsi="Times New Roman" w:cs="Times New Roman"/>
                <w:b/>
                <w:color w:val="000000" w:themeColor="text1"/>
                <w:sz w:val="20"/>
                <w:szCs w:val="20"/>
                <w:lang w:val="ro-RO"/>
              </w:rPr>
              <w:t xml:space="preserve">e bază consolidată (pe baza </w:t>
            </w:r>
            <w:proofErr w:type="spellStart"/>
            <w:r w:rsidRPr="00684853">
              <w:rPr>
                <w:rFonts w:ascii="Times New Roman" w:hAnsi="Times New Roman" w:cs="Times New Roman"/>
                <w:b/>
                <w:color w:val="000000" w:themeColor="text1"/>
                <w:sz w:val="20"/>
                <w:szCs w:val="20"/>
                <w:lang w:val="ro-RO"/>
              </w:rPr>
              <w:t>situaţiei</w:t>
            </w:r>
            <w:proofErr w:type="spellEnd"/>
            <w:r w:rsidRPr="00684853">
              <w:rPr>
                <w:rFonts w:ascii="Times New Roman" w:hAnsi="Times New Roman" w:cs="Times New Roman"/>
                <w:b/>
                <w:color w:val="000000" w:themeColor="text1"/>
                <w:sz w:val="20"/>
                <w:szCs w:val="20"/>
                <w:lang w:val="ro-RO"/>
              </w:rPr>
              <w:t xml:space="preserve"> consolidate)</w:t>
            </w:r>
            <w:r w:rsidRPr="00684853">
              <w:rPr>
                <w:rFonts w:ascii="Times New Roman" w:hAnsi="Times New Roman" w:cs="Times New Roman"/>
                <w:bCs/>
                <w:color w:val="000000" w:themeColor="text1"/>
                <w:sz w:val="20"/>
                <w:szCs w:val="20"/>
                <w:lang w:val="ro-RO"/>
              </w:rPr>
              <w:t xml:space="preserve"> […]</w:t>
            </w:r>
          </w:p>
        </w:tc>
        <w:tc>
          <w:tcPr>
            <w:tcW w:w="562" w:type="pct"/>
          </w:tcPr>
          <w:p w14:paraId="4B3B506D"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53F4CD23" w14:textId="58071D70"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textul </w:t>
            </w:r>
            <w:r w:rsidRPr="00684853">
              <w:rPr>
                <w:rFonts w:ascii="Times New Roman" w:hAnsi="Times New Roman" w:cs="Times New Roman"/>
                <w:b/>
                <w:color w:val="000000" w:themeColor="text1"/>
                <w:sz w:val="20"/>
                <w:szCs w:val="20"/>
                <w:lang w:val="ro-RO"/>
              </w:rPr>
              <w:t>Legii nr.202 din 6 octombrie 2017 privind activitatea băncilor.</w:t>
            </w:r>
          </w:p>
        </w:tc>
      </w:tr>
      <w:tr w:rsidR="00EA59FA" w:rsidRPr="00684853" w14:paraId="2C60F79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D6BCCD9" w14:textId="46A53CF7" w:rsidR="00395381" w:rsidRPr="00684853" w:rsidRDefault="00395381" w:rsidP="0076387A">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49. </w:t>
            </w:r>
            <w:r w:rsidRPr="00684853">
              <w:rPr>
                <w:rFonts w:ascii="Times New Roman" w:eastAsia="Arial Unicode MS" w:hAnsi="Times New Roman"/>
                <w:color w:val="000000" w:themeColor="text1"/>
                <w:sz w:val="20"/>
                <w:szCs w:val="20"/>
                <w:lang w:val="ro-RO"/>
              </w:rPr>
              <w:t xml:space="preserve">„bază </w:t>
            </w:r>
            <w:proofErr w:type="spellStart"/>
            <w:r w:rsidRPr="00684853">
              <w:rPr>
                <w:rFonts w:ascii="Times New Roman" w:eastAsia="Arial Unicode MS" w:hAnsi="Times New Roman"/>
                <w:color w:val="000000" w:themeColor="text1"/>
                <w:sz w:val="20"/>
                <w:szCs w:val="20"/>
                <w:lang w:val="ro-RO"/>
              </w:rPr>
              <w:t>subconsolidată</w:t>
            </w:r>
            <w:proofErr w:type="spellEnd"/>
            <w:r w:rsidRPr="00684853">
              <w:rPr>
                <w:rFonts w:ascii="Times New Roman" w:eastAsia="Arial Unicode MS" w:hAnsi="Times New Roman"/>
                <w:color w:val="000000" w:themeColor="text1"/>
                <w:sz w:val="20"/>
                <w:szCs w:val="20"/>
                <w:lang w:val="ro-RO"/>
              </w:rPr>
              <w:t xml:space="preserve">” înseamnă pe baza situației consolidate a instituției-mamă, a societății financiare holding sau a societății financiare holding mixt, excluzând un subgrup de entități, sau pe baza situației consolidate a unei instituții-mamă, a unei societăți financiare holding sau a unei societăți financiare holding mixte care nu este </w:t>
            </w:r>
            <w:r w:rsidRPr="00684853">
              <w:rPr>
                <w:rFonts w:ascii="Times New Roman" w:eastAsia="Arial Unicode MS" w:hAnsi="Times New Roman"/>
                <w:color w:val="000000" w:themeColor="text1"/>
                <w:sz w:val="20"/>
                <w:szCs w:val="20"/>
                <w:lang w:val="ro-RO"/>
              </w:rPr>
              <w:lastRenderedPageBreak/>
              <w:t>instituția-mamă, societatea financiară holding sau societatea financiară holding mixtă de cel mai înalt rang;</w:t>
            </w:r>
          </w:p>
        </w:tc>
        <w:tc>
          <w:tcPr>
            <w:tcW w:w="1636" w:type="pct"/>
          </w:tcPr>
          <w:p w14:paraId="1B9E7B20"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62" w:type="pct"/>
          </w:tcPr>
          <w:p w14:paraId="29E62962" w14:textId="216DFA20" w:rsidR="00395381" w:rsidRPr="00684853" w:rsidRDefault="00D812F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FA9E22C" w14:textId="1C94CC1F" w:rsidR="00395381" w:rsidRPr="00684853" w:rsidRDefault="00CD0CFA" w:rsidP="00CD0CFA">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715E2D8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F08695A"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50.</w:t>
            </w:r>
            <w:r w:rsidRPr="00684853">
              <w:rPr>
                <w:rFonts w:ascii="Times New Roman" w:hAnsi="Times New Roman"/>
                <w:color w:val="000000" w:themeColor="text1"/>
                <w:sz w:val="20"/>
                <w:szCs w:val="20"/>
                <w:lang w:val="ro-RO"/>
              </w:rPr>
              <w:t xml:space="preserve"> „instrument financiar” înseamnă oricare dintre următoarele:</w:t>
            </w:r>
          </w:p>
          <w:p w14:paraId="20BE6C53"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(a) un contract care generează simultan un activ financiar, pentru una dintre părți, și un pasiv financiar sau un titlu de capital pentru cealaltă dintre părți;</w:t>
            </w:r>
          </w:p>
          <w:p w14:paraId="444E82B2"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instrument menționat în secțiunea C din anexa I la Directiva 2004/39/CE;</w:t>
            </w:r>
          </w:p>
          <w:p w14:paraId="12F8B8A4"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un instrument financiar derivat;</w:t>
            </w:r>
          </w:p>
          <w:p w14:paraId="6AD0141D"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(d) un instrument financiar primar;</w:t>
            </w:r>
          </w:p>
          <w:p w14:paraId="4BA080A4" w14:textId="7777777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(e) un instrument de numerar.</w:t>
            </w:r>
          </w:p>
          <w:p w14:paraId="6773E0D4" w14:textId="4C20AEF7"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Instrumentele menționate la literele (a), (b) și (c) sunt instrumente financiare numai dacă valoarea lor derivă din prețul unui instrument financiar-suport sau al altui element-suport, dintr-un indicator sau un indice;</w:t>
            </w:r>
          </w:p>
        </w:tc>
        <w:tc>
          <w:tcPr>
            <w:tcW w:w="1636" w:type="pct"/>
          </w:tcPr>
          <w:p w14:paraId="04E88137"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6) instrument financiar </w:t>
            </w:r>
            <w:r w:rsidRPr="00684853">
              <w:rPr>
                <w:rFonts w:ascii="Times New Roman" w:hAnsi="Times New Roman" w:cs="Times New Roman"/>
                <w:bCs/>
                <w:color w:val="000000" w:themeColor="text1"/>
                <w:sz w:val="20"/>
                <w:szCs w:val="20"/>
                <w:lang w:val="ro-RO"/>
              </w:rPr>
              <w:t>reprezintă oricare dintre următoarele:</w:t>
            </w:r>
          </w:p>
          <w:p w14:paraId="66B1D978"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orice contract care generează simultan un activ financiar (pentru una dintre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datorie financiară sau un instrument de capital (pentru cealaltă dintre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w:t>
            </w:r>
          </w:p>
          <w:p w14:paraId="4FF0CB89"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un instrument </w:t>
            </w:r>
            <w:proofErr w:type="spellStart"/>
            <w:r w:rsidRPr="00684853">
              <w:rPr>
                <w:rFonts w:ascii="Times New Roman" w:hAnsi="Times New Roman" w:cs="Times New Roman"/>
                <w:bCs/>
                <w:color w:val="000000" w:themeColor="text1"/>
                <w:sz w:val="20"/>
                <w:szCs w:val="20"/>
                <w:lang w:val="ro-RO"/>
              </w:rPr>
              <w:t>menţionat</w:t>
            </w:r>
            <w:proofErr w:type="spellEnd"/>
            <w:r w:rsidRPr="00684853">
              <w:rPr>
                <w:rFonts w:ascii="Times New Roman" w:hAnsi="Times New Roman" w:cs="Times New Roman"/>
                <w:bCs/>
                <w:color w:val="000000" w:themeColor="text1"/>
                <w:sz w:val="20"/>
                <w:szCs w:val="20"/>
                <w:lang w:val="ro-RO"/>
              </w:rPr>
              <w:t xml:space="preserve"> în art.4 din Legea nr.171 din 11.07.2012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p w14:paraId="63BD32E4"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c) un instrument financiar derivat;</w:t>
            </w:r>
          </w:p>
          <w:p w14:paraId="6C5632C9"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d) un instrument financiar primar;</w:t>
            </w:r>
          </w:p>
          <w:p w14:paraId="41E740AE" w14:textId="77777777" w:rsidR="009613B1" w:rsidRPr="00684853" w:rsidRDefault="009613B1" w:rsidP="009613B1">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e) un instrument de numerar.</w:t>
            </w:r>
          </w:p>
          <w:p w14:paraId="63850945" w14:textId="5FA93032" w:rsidR="00395381" w:rsidRPr="00684853" w:rsidRDefault="009613B1" w:rsidP="009613B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Instrumentele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w:t>
            </w:r>
            <w:proofErr w:type="spellStart"/>
            <w:r w:rsidRPr="00684853">
              <w:rPr>
                <w:rFonts w:ascii="Times New Roman" w:hAnsi="Times New Roman" w:cs="Times New Roman"/>
                <w:bCs/>
                <w:color w:val="000000" w:themeColor="text1"/>
                <w:sz w:val="20"/>
                <w:szCs w:val="20"/>
                <w:lang w:val="ro-RO"/>
              </w:rPr>
              <w:t>lit.a</w:t>
            </w:r>
            <w:proofErr w:type="spellEnd"/>
            <w:r w:rsidRPr="00684853">
              <w:rPr>
                <w:rFonts w:ascii="Times New Roman" w:hAnsi="Times New Roman" w:cs="Times New Roman"/>
                <w:bCs/>
                <w:color w:val="000000" w:themeColor="text1"/>
                <w:sz w:val="20"/>
                <w:szCs w:val="20"/>
                <w:lang w:val="ro-RO"/>
              </w:rPr>
              <w:t xml:space="preserve">), b)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 sunt instrumente financiare numai dacă valoarea lor derivă din </w:t>
            </w:r>
            <w:proofErr w:type="spellStart"/>
            <w:r w:rsidRPr="00684853">
              <w:rPr>
                <w:rFonts w:ascii="Times New Roman" w:hAnsi="Times New Roman" w:cs="Times New Roman"/>
                <w:bCs/>
                <w:color w:val="000000" w:themeColor="text1"/>
                <w:sz w:val="20"/>
                <w:szCs w:val="20"/>
                <w:lang w:val="ro-RO"/>
              </w:rPr>
              <w:t>preţul</w:t>
            </w:r>
            <w:proofErr w:type="spellEnd"/>
            <w:r w:rsidRPr="00684853">
              <w:rPr>
                <w:rFonts w:ascii="Times New Roman" w:hAnsi="Times New Roman" w:cs="Times New Roman"/>
                <w:bCs/>
                <w:color w:val="000000" w:themeColor="text1"/>
                <w:sz w:val="20"/>
                <w:szCs w:val="20"/>
                <w:lang w:val="ro-RO"/>
              </w:rPr>
              <w:t xml:space="preserve"> unui instrument financiar-suport sau al altui element-suport, dintr-un indicator sau un indice.</w:t>
            </w:r>
          </w:p>
        </w:tc>
        <w:tc>
          <w:tcPr>
            <w:tcW w:w="562" w:type="pct"/>
            <w:tcBorders>
              <w:top w:val="single" w:sz="4" w:space="0" w:color="auto"/>
              <w:left w:val="single" w:sz="4" w:space="0" w:color="auto"/>
              <w:bottom w:val="single" w:sz="4" w:space="0" w:color="auto"/>
              <w:right w:val="single" w:sz="4" w:space="0" w:color="auto"/>
            </w:tcBorders>
          </w:tcPr>
          <w:p w14:paraId="01C17742" w14:textId="77777777" w:rsidR="00395381" w:rsidRPr="00684853" w:rsidRDefault="00395381" w:rsidP="00B571EB">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Compatibil</w:t>
            </w:r>
            <w:r w:rsidRPr="00684853">
              <w:rPr>
                <w:rFonts w:ascii="Times New Roman" w:hAnsi="Times New Roman" w:cs="Times New Roman"/>
                <w:b/>
                <w:color w:val="000000" w:themeColor="text1"/>
                <w:sz w:val="20"/>
                <w:szCs w:val="20"/>
                <w:lang w:val="ro-RO"/>
              </w:rPr>
              <w:t xml:space="preserve"> </w:t>
            </w:r>
          </w:p>
        </w:tc>
        <w:tc>
          <w:tcPr>
            <w:tcW w:w="885" w:type="pct"/>
            <w:tcBorders>
              <w:top w:val="single" w:sz="4" w:space="0" w:color="auto"/>
              <w:left w:val="single" w:sz="4" w:space="0" w:color="auto"/>
              <w:bottom w:val="single" w:sz="4" w:space="0" w:color="auto"/>
              <w:right w:val="single" w:sz="4" w:space="0" w:color="auto"/>
            </w:tcBorders>
          </w:tcPr>
          <w:p w14:paraId="7608D49F" w14:textId="04A71A41" w:rsidR="00395381" w:rsidRPr="00684853" w:rsidRDefault="00395381" w:rsidP="00B571EB">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p.8 subp.6) din  </w:t>
            </w:r>
            <w:r w:rsidRPr="00684853">
              <w:rPr>
                <w:rFonts w:ascii="Times New Roman" w:hAnsi="Times New Roman" w:cs="Times New Roman"/>
                <w:b/>
                <w:color w:val="000000" w:themeColor="text1"/>
                <w:sz w:val="20"/>
                <w:szCs w:val="20"/>
                <w:lang w:val="ro-RO"/>
              </w:rPr>
              <w:t>Regulamentul</w:t>
            </w:r>
            <w:r w:rsidRPr="00684853">
              <w:rPr>
                <w:rFonts w:ascii="Times New Roman" w:eastAsia="EUAlbertina-Italic-Identity-H" w:hAnsi="Times New Roman" w:cs="Times New Roman"/>
                <w:b/>
                <w:bCs/>
                <w:iCs/>
                <w:color w:val="000000" w:themeColor="text1"/>
                <w:sz w:val="20"/>
                <w:szCs w:val="20"/>
                <w:lang w:val="ro-RO" w:eastAsia="ru-RU" w:bidi="or-IN"/>
              </w:rPr>
              <w:t xml:space="preserve">nr.114/2018 </w:t>
            </w:r>
            <w:r w:rsidRPr="00684853">
              <w:rPr>
                <w:rFonts w:ascii="Times New Roman" w:hAnsi="Times New Roman" w:cs="Times New Roman"/>
                <w:b/>
                <w:color w:val="000000" w:themeColor="text1"/>
                <w:sz w:val="20"/>
                <w:szCs w:val="20"/>
                <w:lang w:val="ro-RO"/>
              </w:rPr>
              <w:t xml:space="preserve">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p w14:paraId="4BD1DA10" w14:textId="77777777" w:rsidR="00395381" w:rsidRPr="00684853" w:rsidRDefault="00395381" w:rsidP="00B571EB">
            <w:pPr>
              <w:jc w:val="both"/>
              <w:rPr>
                <w:rFonts w:ascii="Times New Roman" w:hAnsi="Times New Roman" w:cs="Times New Roman"/>
                <w:color w:val="000000" w:themeColor="text1"/>
                <w:sz w:val="20"/>
                <w:szCs w:val="20"/>
                <w:lang w:val="ro-RO"/>
              </w:rPr>
            </w:pPr>
          </w:p>
        </w:tc>
      </w:tr>
      <w:tr w:rsidR="00EA59FA" w:rsidRPr="00684853" w14:paraId="1F0E112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3159EFE3" w14:textId="6650CCF0" w:rsidR="003B01BE" w:rsidRPr="00684853" w:rsidRDefault="003B01BE"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M9</w:t>
            </w:r>
          </w:p>
          <w:p w14:paraId="4505BCEE" w14:textId="53D51A2C" w:rsidR="00395381" w:rsidRPr="00684853" w:rsidRDefault="00395381"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51. </w:t>
            </w:r>
            <w:r w:rsidRPr="00684853">
              <w:rPr>
                <w:rFonts w:ascii="Times New Roman" w:eastAsia="Calibri" w:hAnsi="Times New Roman"/>
                <w:color w:val="000000" w:themeColor="text1"/>
                <w:sz w:val="20"/>
                <w:szCs w:val="20"/>
                <w:lang w:val="ro-RO"/>
              </w:rPr>
              <w:t>„capital inițial” înseamnă cuantumul și tipurile de fonduri proprii prevăzute la articolul 12 din Directiva 2013/36/UE;</w:t>
            </w:r>
          </w:p>
        </w:tc>
        <w:tc>
          <w:tcPr>
            <w:tcW w:w="1636" w:type="pct"/>
          </w:tcPr>
          <w:p w14:paraId="4C7A2089" w14:textId="77777777" w:rsidR="00933595" w:rsidRPr="00684853" w:rsidRDefault="00933595" w:rsidP="00933595">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Articolul 9. </w:t>
            </w:r>
            <w:r w:rsidRPr="00684853">
              <w:rPr>
                <w:rFonts w:ascii="Times New Roman" w:hAnsi="Times New Roman" w:cs="Times New Roman"/>
                <w:bCs/>
                <w:color w:val="000000" w:themeColor="text1"/>
                <w:sz w:val="20"/>
                <w:szCs w:val="20"/>
                <w:lang w:val="ro-RO"/>
              </w:rPr>
              <w:t xml:space="preserve">Capitalul </w:t>
            </w:r>
            <w:proofErr w:type="spellStart"/>
            <w:r w:rsidRPr="00684853">
              <w:rPr>
                <w:rFonts w:ascii="Times New Roman" w:hAnsi="Times New Roman" w:cs="Times New Roman"/>
                <w:bCs/>
                <w:color w:val="000000" w:themeColor="text1"/>
                <w:sz w:val="20"/>
                <w:szCs w:val="20"/>
                <w:lang w:val="ro-RO"/>
              </w:rPr>
              <w:t>iniţial</w:t>
            </w:r>
            <w:proofErr w:type="spellEnd"/>
          </w:p>
          <w:p w14:paraId="082DE07D" w14:textId="043F1698" w:rsidR="00395381" w:rsidRPr="00684853" w:rsidRDefault="00933595" w:rsidP="00933595">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Banca </w:t>
            </w:r>
            <w:proofErr w:type="spellStart"/>
            <w:r w:rsidRPr="00684853">
              <w:rPr>
                <w:rFonts w:ascii="Times New Roman" w:hAnsi="Times New Roman" w:cs="Times New Roman"/>
                <w:bCs/>
                <w:color w:val="000000" w:themeColor="text1"/>
                <w:sz w:val="20"/>
                <w:szCs w:val="20"/>
                <w:lang w:val="ro-RO"/>
              </w:rPr>
              <w:t>Naţională</w:t>
            </w:r>
            <w:proofErr w:type="spellEnd"/>
            <w:r w:rsidRPr="00684853">
              <w:rPr>
                <w:rFonts w:ascii="Times New Roman" w:hAnsi="Times New Roman" w:cs="Times New Roman"/>
                <w:bCs/>
                <w:color w:val="000000" w:themeColor="text1"/>
                <w:sz w:val="20"/>
                <w:szCs w:val="20"/>
                <w:lang w:val="ro-RO"/>
              </w:rPr>
              <w:t xml:space="preserve"> a Moldovei refuză acordarea </w:t>
            </w:r>
            <w:proofErr w:type="spellStart"/>
            <w:r w:rsidRPr="00684853">
              <w:rPr>
                <w:rFonts w:ascii="Times New Roman" w:hAnsi="Times New Roman" w:cs="Times New Roman"/>
                <w:bCs/>
                <w:color w:val="000000" w:themeColor="text1"/>
                <w:sz w:val="20"/>
                <w:szCs w:val="20"/>
                <w:lang w:val="ro-RO"/>
              </w:rPr>
              <w:t>licenţei</w:t>
            </w:r>
            <w:proofErr w:type="spellEnd"/>
            <w:r w:rsidRPr="00684853">
              <w:rPr>
                <w:rFonts w:ascii="Times New Roman" w:hAnsi="Times New Roman" w:cs="Times New Roman"/>
                <w:bCs/>
                <w:color w:val="000000" w:themeColor="text1"/>
                <w:sz w:val="20"/>
                <w:szCs w:val="20"/>
                <w:lang w:val="ro-RO"/>
              </w:rPr>
              <w:t xml:space="preserve"> unei bănci dacă aceasta nu dispune de un nivel al capitalului </w:t>
            </w:r>
            <w:proofErr w:type="spellStart"/>
            <w:r w:rsidRPr="00684853">
              <w:rPr>
                <w:rFonts w:ascii="Times New Roman" w:hAnsi="Times New Roman" w:cs="Times New Roman"/>
                <w:bCs/>
                <w:color w:val="000000" w:themeColor="text1"/>
                <w:sz w:val="20"/>
                <w:szCs w:val="20"/>
                <w:lang w:val="ro-RO"/>
              </w:rPr>
              <w:t>iniţial</w:t>
            </w:r>
            <w:proofErr w:type="spellEnd"/>
            <w:r w:rsidRPr="00684853">
              <w:rPr>
                <w:rFonts w:ascii="Times New Roman" w:hAnsi="Times New Roman" w:cs="Times New Roman"/>
                <w:bCs/>
                <w:color w:val="000000" w:themeColor="text1"/>
                <w:sz w:val="20"/>
                <w:szCs w:val="20"/>
                <w:lang w:val="ro-RO"/>
              </w:rPr>
              <w:t xml:space="preserv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egal cu nivelul minim stabilit prin actele normative ale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w:t>
            </w:r>
          </w:p>
        </w:tc>
        <w:tc>
          <w:tcPr>
            <w:tcW w:w="562" w:type="pct"/>
            <w:tcBorders>
              <w:top w:val="single" w:sz="4" w:space="0" w:color="auto"/>
              <w:left w:val="single" w:sz="4" w:space="0" w:color="auto"/>
              <w:bottom w:val="single" w:sz="4" w:space="0" w:color="auto"/>
              <w:right w:val="single" w:sz="4" w:space="0" w:color="auto"/>
            </w:tcBorders>
          </w:tcPr>
          <w:p w14:paraId="6309CFB5"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5DA920E6" w14:textId="33D86A37"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art. 9 </w:t>
            </w:r>
            <w:r w:rsidRPr="00684853">
              <w:rPr>
                <w:rFonts w:ascii="Times New Roman" w:hAnsi="Times New Roman" w:cs="Times New Roman"/>
                <w:b/>
                <w:color w:val="000000" w:themeColor="text1"/>
                <w:sz w:val="20"/>
                <w:szCs w:val="20"/>
                <w:lang w:val="ro-RO"/>
              </w:rPr>
              <w:t>din Legea nr.202 din 6 octombrie 2017 privind</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activitatea băncilor.</w:t>
            </w:r>
          </w:p>
        </w:tc>
      </w:tr>
      <w:tr w:rsidR="00EA59FA" w:rsidRPr="00684853" w14:paraId="20E1AB5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693AA0F5" w14:textId="77777777" w:rsidR="00700B85" w:rsidRPr="00684853" w:rsidRDefault="00700B85" w:rsidP="00BE23E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79B3EE1C" w14:textId="0D8C9051" w:rsidR="00395381" w:rsidRPr="00684853" w:rsidRDefault="00395381" w:rsidP="00BE23E0">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52.</w:t>
            </w:r>
            <w:r w:rsidRPr="00684853">
              <w:rPr>
                <w:rFonts w:ascii="Times New Roman" w:hAnsi="Times New Roman"/>
                <w:color w:val="000000" w:themeColor="text1"/>
                <w:sz w:val="20"/>
                <w:szCs w:val="20"/>
                <w:lang w:val="ro-RO"/>
              </w:rPr>
              <w:t xml:space="preserve"> „risc operațional” înseamnă riscul de pierdere care rezultă fie din utilizarea unor procese, persoane sau sisteme interne inadecvate sau care nu și-au îndeplinit funcția în mod corespunzător, fie din evenimente externe, inclu</w:t>
            </w:r>
            <w:r w:rsidR="00F95A8D" w:rsidRPr="00684853">
              <w:rPr>
                <w:rFonts w:ascii="Times New Roman" w:hAnsi="Times New Roman"/>
                <w:color w:val="000000" w:themeColor="text1"/>
                <w:sz w:val="20"/>
                <w:szCs w:val="20"/>
                <w:lang w:val="ro-RO"/>
              </w:rPr>
              <w:t>zân</w:t>
            </w:r>
            <w:r w:rsidRPr="00684853">
              <w:rPr>
                <w:rFonts w:ascii="Times New Roman" w:hAnsi="Times New Roman"/>
                <w:color w:val="000000" w:themeColor="text1"/>
                <w:sz w:val="20"/>
                <w:szCs w:val="20"/>
                <w:lang w:val="ro-RO"/>
              </w:rPr>
              <w:t>d riscul juridic</w:t>
            </w:r>
            <w:r w:rsidR="00F95A8D" w:rsidRPr="00684853">
              <w:rPr>
                <w:rFonts w:ascii="Times New Roman" w:hAnsi="Times New Roman"/>
                <w:color w:val="000000" w:themeColor="text1"/>
                <w:sz w:val="20"/>
                <w:szCs w:val="20"/>
                <w:lang w:val="ro-RO"/>
              </w:rPr>
              <w:t xml:space="preserve">, riscul de model și riscul aferent tehnologiei informațiilor și comunicațiilor, fără a se limita la acestea, dar excluzând riscul strategic și riscul </w:t>
            </w:r>
            <w:proofErr w:type="spellStart"/>
            <w:r w:rsidR="00F95A8D" w:rsidRPr="00684853">
              <w:rPr>
                <w:rFonts w:ascii="Times New Roman" w:hAnsi="Times New Roman"/>
                <w:color w:val="000000" w:themeColor="text1"/>
                <w:sz w:val="20"/>
                <w:szCs w:val="20"/>
                <w:lang w:val="ro-RO"/>
              </w:rPr>
              <w:t>reputațional</w:t>
            </w:r>
            <w:proofErr w:type="spellEnd"/>
            <w:r w:rsidRPr="00684853">
              <w:rPr>
                <w:rFonts w:ascii="Times New Roman" w:hAnsi="Times New Roman"/>
                <w:color w:val="000000" w:themeColor="text1"/>
                <w:sz w:val="20"/>
                <w:szCs w:val="20"/>
                <w:lang w:val="ro-RO"/>
              </w:rPr>
              <w:t>;</w:t>
            </w:r>
          </w:p>
        </w:tc>
        <w:tc>
          <w:tcPr>
            <w:tcW w:w="1636" w:type="pct"/>
          </w:tcPr>
          <w:p w14:paraId="06C2A12F" w14:textId="61BEFE52" w:rsidR="00395381" w:rsidRPr="00684853" w:rsidRDefault="00B334CA"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risc </w:t>
            </w:r>
            <w:proofErr w:type="spellStart"/>
            <w:r w:rsidRPr="00684853">
              <w:rPr>
                <w:rFonts w:ascii="Times New Roman" w:hAnsi="Times New Roman" w:cs="Times New Roman"/>
                <w:b/>
                <w:color w:val="000000" w:themeColor="text1"/>
                <w:sz w:val="20"/>
                <w:szCs w:val="20"/>
                <w:lang w:val="ro-RO"/>
              </w:rPr>
              <w:t>operaţional</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înseamnă riscul de pierdere care rezultă fie din utilizarea unor procese, persoane sau sisteme interne inadecvate sau care nu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-au îndeplinit </w:t>
            </w:r>
            <w:proofErr w:type="spellStart"/>
            <w:r w:rsidRPr="00684853">
              <w:rPr>
                <w:rFonts w:ascii="Times New Roman" w:hAnsi="Times New Roman" w:cs="Times New Roman"/>
                <w:bCs/>
                <w:color w:val="000000" w:themeColor="text1"/>
                <w:sz w:val="20"/>
                <w:szCs w:val="20"/>
                <w:lang w:val="ro-RO"/>
              </w:rPr>
              <w:t>funcţia</w:t>
            </w:r>
            <w:proofErr w:type="spellEnd"/>
            <w:r w:rsidRPr="00684853">
              <w:rPr>
                <w:rFonts w:ascii="Times New Roman" w:hAnsi="Times New Roman" w:cs="Times New Roman"/>
                <w:bCs/>
                <w:color w:val="000000" w:themeColor="text1"/>
                <w:sz w:val="20"/>
                <w:szCs w:val="20"/>
                <w:lang w:val="ro-RO"/>
              </w:rPr>
              <w:t xml:space="preserve"> în mod corespunzător, fie din evenimente externe. Riscul </w:t>
            </w:r>
            <w:proofErr w:type="spellStart"/>
            <w:r w:rsidRPr="00684853">
              <w:rPr>
                <w:rFonts w:ascii="Times New Roman" w:hAnsi="Times New Roman" w:cs="Times New Roman"/>
                <w:bCs/>
                <w:color w:val="000000" w:themeColor="text1"/>
                <w:sz w:val="20"/>
                <w:szCs w:val="20"/>
                <w:lang w:val="ro-RO"/>
              </w:rPr>
              <w:t>operaţional</w:t>
            </w:r>
            <w:proofErr w:type="spellEnd"/>
            <w:r w:rsidRPr="00684853">
              <w:rPr>
                <w:rFonts w:ascii="Times New Roman" w:hAnsi="Times New Roman" w:cs="Times New Roman"/>
                <w:bCs/>
                <w:color w:val="000000" w:themeColor="text1"/>
                <w:sz w:val="20"/>
                <w:szCs w:val="20"/>
                <w:lang w:val="ro-RO"/>
              </w:rPr>
              <w:t xml:space="preserve"> include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riscul juridic (care cuprinde dar nu se limitează la expunerea băncii la amenzi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alte </w:t>
            </w:r>
            <w:proofErr w:type="spellStart"/>
            <w:r w:rsidRPr="00684853">
              <w:rPr>
                <w:rFonts w:ascii="Times New Roman" w:hAnsi="Times New Roman" w:cs="Times New Roman"/>
                <w:bCs/>
                <w:color w:val="000000" w:themeColor="text1"/>
                <w:sz w:val="20"/>
                <w:szCs w:val="20"/>
                <w:lang w:val="ro-RO"/>
              </w:rPr>
              <w:t>sancţiuni</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plăţi</w:t>
            </w:r>
            <w:proofErr w:type="spellEnd"/>
            <w:r w:rsidRPr="00684853">
              <w:rPr>
                <w:rFonts w:ascii="Times New Roman" w:hAnsi="Times New Roman" w:cs="Times New Roman"/>
                <w:bCs/>
                <w:color w:val="000000" w:themeColor="text1"/>
                <w:sz w:val="20"/>
                <w:szCs w:val="20"/>
                <w:lang w:val="ro-RO"/>
              </w:rPr>
              <w:t xml:space="preserve"> de despăgubiri în caz de neaplicare sau aplicare defectuoasă a </w:t>
            </w:r>
            <w:proofErr w:type="spellStart"/>
            <w:r w:rsidRPr="00684853">
              <w:rPr>
                <w:rFonts w:ascii="Times New Roman" w:hAnsi="Times New Roman" w:cs="Times New Roman"/>
                <w:bCs/>
                <w:color w:val="000000" w:themeColor="text1"/>
                <w:sz w:val="20"/>
                <w:szCs w:val="20"/>
                <w:lang w:val="ro-RO"/>
              </w:rPr>
              <w:t>dispoziţiilor</w:t>
            </w:r>
            <w:proofErr w:type="spellEnd"/>
            <w:r w:rsidRPr="00684853">
              <w:rPr>
                <w:rFonts w:ascii="Times New Roman" w:hAnsi="Times New Roman" w:cs="Times New Roman"/>
                <w:bCs/>
                <w:color w:val="000000" w:themeColor="text1"/>
                <w:sz w:val="20"/>
                <w:szCs w:val="20"/>
                <w:lang w:val="ro-RO"/>
              </w:rPr>
              <w:t xml:space="preserve"> legale sau contractuale, precum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faptului că drepturile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obligaţiile</w:t>
            </w:r>
            <w:proofErr w:type="spellEnd"/>
            <w:r w:rsidRPr="00684853">
              <w:rPr>
                <w:rFonts w:ascii="Times New Roman" w:hAnsi="Times New Roman" w:cs="Times New Roman"/>
                <w:bCs/>
                <w:color w:val="000000" w:themeColor="text1"/>
                <w:sz w:val="20"/>
                <w:szCs w:val="20"/>
                <w:lang w:val="ro-RO"/>
              </w:rPr>
              <w:t xml:space="preserve"> contractuale ale </w:t>
            </w:r>
            <w:r w:rsidRPr="00684853">
              <w:rPr>
                <w:rFonts w:ascii="Times New Roman" w:hAnsi="Times New Roman" w:cs="Times New Roman"/>
                <w:bCs/>
                <w:color w:val="000000" w:themeColor="text1"/>
                <w:sz w:val="20"/>
                <w:szCs w:val="20"/>
                <w:lang w:val="ro-RO"/>
              </w:rPr>
              <w:lastRenderedPageBreak/>
              <w:t xml:space="preserve">băncii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/sau ale contrapartidei sale nu sunt stabilite în mod corespunzător).</w:t>
            </w:r>
          </w:p>
        </w:tc>
        <w:tc>
          <w:tcPr>
            <w:tcW w:w="562" w:type="pct"/>
            <w:tcBorders>
              <w:top w:val="single" w:sz="4" w:space="0" w:color="auto"/>
              <w:left w:val="single" w:sz="4" w:space="0" w:color="auto"/>
              <w:bottom w:val="single" w:sz="4" w:space="0" w:color="auto"/>
              <w:right w:val="single" w:sz="4" w:space="0" w:color="auto"/>
            </w:tcBorders>
          </w:tcPr>
          <w:p w14:paraId="73AE4909"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885" w:type="pct"/>
            <w:tcBorders>
              <w:top w:val="single" w:sz="4" w:space="0" w:color="auto"/>
              <w:left w:val="single" w:sz="4" w:space="0" w:color="auto"/>
              <w:bottom w:val="single" w:sz="4" w:space="0" w:color="auto"/>
              <w:right w:val="single" w:sz="4" w:space="0" w:color="auto"/>
            </w:tcBorders>
          </w:tcPr>
          <w:p w14:paraId="044DDC0E" w14:textId="3B542795" w:rsidR="00395381" w:rsidRPr="00684853" w:rsidRDefault="00395381" w:rsidP="0016395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p.5 </w:t>
            </w:r>
            <w:proofErr w:type="spellStart"/>
            <w:r w:rsidRPr="00684853">
              <w:rPr>
                <w:rFonts w:ascii="Times New Roman" w:hAnsi="Times New Roman" w:cs="Times New Roman"/>
                <w:color w:val="000000" w:themeColor="text1"/>
                <w:sz w:val="20"/>
                <w:szCs w:val="20"/>
                <w:lang w:val="ro-RO"/>
              </w:rPr>
              <w:t>subp</w:t>
            </w:r>
            <w:proofErr w:type="spellEnd"/>
            <w:r w:rsidRPr="00684853">
              <w:rPr>
                <w:rFonts w:ascii="Times New Roman" w:hAnsi="Times New Roman" w:cs="Times New Roman"/>
                <w:color w:val="000000" w:themeColor="text1"/>
                <w:sz w:val="20"/>
                <w:szCs w:val="20"/>
                <w:lang w:val="ro-RO"/>
              </w:rPr>
              <w:t xml:space="preserve">. 2) din </w:t>
            </w:r>
            <w:r w:rsidRPr="00684853">
              <w:rPr>
                <w:rFonts w:ascii="Times New Roman" w:hAnsi="Times New Roman" w:cs="Times New Roman"/>
                <w:b/>
                <w:color w:val="000000" w:themeColor="text1"/>
                <w:sz w:val="20"/>
                <w:szCs w:val="20"/>
                <w:lang w:val="ro-RO"/>
              </w:rPr>
              <w:t xml:space="preserve">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nr.113/2018 </w:t>
            </w:r>
            <w:r w:rsidRPr="00684853">
              <w:rPr>
                <w:rFonts w:ascii="Times New Roman" w:hAnsi="Times New Roman" w:cs="Times New Roman"/>
                <w:b/>
                <w:color w:val="000000" w:themeColor="text1"/>
                <w:sz w:val="20"/>
                <w:szCs w:val="20"/>
                <w:lang w:val="ro-RO"/>
              </w:rPr>
              <w:t>privind tratamentul riscului operațional pentru bănci potrivit abordării de bază și abordării standardizate.</w:t>
            </w:r>
          </w:p>
        </w:tc>
      </w:tr>
      <w:tr w:rsidR="00EA59FA" w:rsidRPr="00684853" w14:paraId="5378BA8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9174E7B" w14:textId="77777777" w:rsidR="00476ED9" w:rsidRPr="00684853" w:rsidRDefault="00476ED9" w:rsidP="00BE23E0">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4A13F20A" w14:textId="5860EAAA"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
                <w:color w:val="000000" w:themeColor="text1"/>
                <w:sz w:val="20"/>
                <w:szCs w:val="20"/>
                <w:lang w:val="ro-RO"/>
              </w:rPr>
              <w:t>52a.</w:t>
            </w:r>
            <w:r w:rsidRPr="00684853">
              <w:rPr>
                <w:rFonts w:ascii="Times New Roman" w:hAnsi="Times New Roman"/>
                <w:b/>
                <w:color w:val="000000" w:themeColor="text1"/>
                <w:sz w:val="20"/>
                <w:szCs w:val="20"/>
                <w:lang w:val="ro-RO"/>
              </w:rPr>
              <w:tab/>
            </w:r>
            <w:r w:rsidRPr="00684853">
              <w:rPr>
                <w:rFonts w:ascii="Times New Roman" w:hAnsi="Times New Roman"/>
                <w:bCs/>
                <w:color w:val="000000" w:themeColor="text1"/>
                <w:sz w:val="20"/>
                <w:szCs w:val="20"/>
                <w:lang w:val="ro-RO"/>
              </w:rPr>
              <w:t>«risc juridic» înseamnă riscul de pierdere, inclusiv cheltuielile, amenzile, penalitățile sau daunele punitive pe care o instituție le-ar putea suporta ca urmare a unor evenimente care duc la proceduri judiciare, inclusiv următoarele:</w:t>
            </w:r>
          </w:p>
          <w:p w14:paraId="7A3946A7"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(a)</w:t>
            </w:r>
            <w:r w:rsidRPr="00684853">
              <w:rPr>
                <w:rFonts w:ascii="Times New Roman" w:hAnsi="Times New Roman"/>
                <w:bCs/>
                <w:color w:val="000000" w:themeColor="text1"/>
                <w:sz w:val="20"/>
                <w:szCs w:val="20"/>
                <w:lang w:val="ro-RO"/>
              </w:rPr>
              <w:tab/>
              <w:t>acțiuni de supraveghere și tranzacții extrajudiciare;</w:t>
            </w:r>
          </w:p>
          <w:p w14:paraId="02587519"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(b)</w:t>
            </w:r>
            <w:r w:rsidRPr="00684853">
              <w:rPr>
                <w:rFonts w:ascii="Times New Roman" w:hAnsi="Times New Roman"/>
                <w:bCs/>
                <w:color w:val="000000" w:themeColor="text1"/>
                <w:sz w:val="20"/>
                <w:szCs w:val="20"/>
                <w:lang w:val="ro-RO"/>
              </w:rPr>
              <w:tab/>
              <w:t>absența unei acțiuni atunci când o astfel de acțiune este necesară pentru a respecta o obligație juridică;</w:t>
            </w:r>
          </w:p>
          <w:p w14:paraId="16910073"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(c)</w:t>
            </w:r>
            <w:r w:rsidRPr="00684853">
              <w:rPr>
                <w:rFonts w:ascii="Times New Roman" w:hAnsi="Times New Roman"/>
                <w:bCs/>
                <w:color w:val="000000" w:themeColor="text1"/>
                <w:sz w:val="20"/>
                <w:szCs w:val="20"/>
                <w:lang w:val="ro-RO"/>
              </w:rPr>
              <w:tab/>
              <w:t>acțiuni întreprinse pentru a evita respectarea unei obligații juridice;</w:t>
            </w:r>
          </w:p>
          <w:p w14:paraId="53CAF061"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(d)</w:t>
            </w:r>
            <w:r w:rsidRPr="00684853">
              <w:rPr>
                <w:rFonts w:ascii="Times New Roman" w:hAnsi="Times New Roman"/>
                <w:bCs/>
                <w:color w:val="000000" w:themeColor="text1"/>
                <w:sz w:val="20"/>
                <w:szCs w:val="20"/>
                <w:lang w:val="ro-RO"/>
              </w:rPr>
              <w:tab/>
              <w:t>evenimente legate de o conduită necorespunzătoare, care sunt evenimente ce rezultă din abateri săvârșite cu intenție sau din neglijență, inclusiv prestarea necorespunzătoare de servicii financiare sau furnizarea de informații inadecvate sau înșelătoare privind riscul financiar al produselor vândute de instituție;</w:t>
            </w:r>
          </w:p>
          <w:p w14:paraId="2B74975A"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(e)</w:t>
            </w:r>
            <w:r w:rsidRPr="00684853">
              <w:rPr>
                <w:rFonts w:ascii="Times New Roman" w:hAnsi="Times New Roman"/>
                <w:bCs/>
                <w:color w:val="000000" w:themeColor="text1"/>
                <w:sz w:val="20"/>
                <w:szCs w:val="20"/>
                <w:lang w:val="ro-RO"/>
              </w:rPr>
              <w:tab/>
              <w:t>nerespectarea oricărei cerințe derivate din dispozițiile statutare sau legislative naționale sau internaționale;</w:t>
            </w:r>
          </w:p>
          <w:p w14:paraId="32DF1091"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(f)</w:t>
            </w:r>
            <w:r w:rsidRPr="00684853">
              <w:rPr>
                <w:rFonts w:ascii="Times New Roman" w:hAnsi="Times New Roman"/>
                <w:bCs/>
                <w:color w:val="000000" w:themeColor="text1"/>
                <w:sz w:val="20"/>
                <w:szCs w:val="20"/>
                <w:lang w:val="ro-RO"/>
              </w:rPr>
              <w:tab/>
              <w:t>nerespectarea oricărei cerințe derivate din acorduri contractuale sau a unor norme interne și coduri de conduită stabilite în conformitate cu normele și practicile naționale sau internaționale;</w:t>
            </w:r>
          </w:p>
          <w:p w14:paraId="328B5F59" w14:textId="77777777" w:rsidR="00476ED9" w:rsidRPr="00684853" w:rsidRDefault="00476ED9" w:rsidP="00BE23E0">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(g)</w:t>
            </w:r>
            <w:r w:rsidRPr="00684853">
              <w:rPr>
                <w:rFonts w:ascii="Times New Roman" w:hAnsi="Times New Roman"/>
                <w:bCs/>
                <w:color w:val="000000" w:themeColor="text1"/>
                <w:sz w:val="20"/>
                <w:szCs w:val="20"/>
                <w:lang w:val="ro-RO"/>
              </w:rPr>
              <w:tab/>
              <w:t>nerespectarea normelor de etică;</w:t>
            </w:r>
          </w:p>
          <w:p w14:paraId="5D8F93FB" w14:textId="77777777" w:rsidR="00F95A8D" w:rsidRPr="00684853" w:rsidRDefault="00F95A8D" w:rsidP="00BE23E0">
            <w:pPr>
              <w:pStyle w:val="CM4"/>
              <w:rPr>
                <w:rFonts w:ascii="Times New Roman" w:hAnsi="Times New Roman"/>
                <w:b/>
                <w:color w:val="000000" w:themeColor="text1"/>
                <w:sz w:val="20"/>
                <w:szCs w:val="20"/>
                <w:lang w:val="ro-RO"/>
              </w:rPr>
            </w:pPr>
          </w:p>
        </w:tc>
        <w:tc>
          <w:tcPr>
            <w:tcW w:w="1636" w:type="pct"/>
          </w:tcPr>
          <w:p w14:paraId="682CF8EB" w14:textId="77777777" w:rsidR="00F95A8D" w:rsidRPr="00684853" w:rsidRDefault="00F95A8D" w:rsidP="00B571EB">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20564F6D" w14:textId="28537A8E" w:rsidR="00F95A8D" w:rsidRPr="00684853" w:rsidRDefault="009C6F60"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2A31CC56" w14:textId="6A97E611" w:rsidR="00F95A8D" w:rsidRPr="00684853" w:rsidRDefault="009C6F60" w:rsidP="0016395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68A6EFE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7D10E4DF" w14:textId="77777777" w:rsidR="009C6F60" w:rsidRPr="00684853" w:rsidRDefault="009C6F60" w:rsidP="009C6F60">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493FD00" w14:textId="3B913242"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52a.</w:t>
            </w:r>
            <w:r w:rsidRPr="00684853">
              <w:rPr>
                <w:rFonts w:ascii="Times New Roman" w:eastAsia="Times New Roman" w:hAnsi="Times New Roman" w:cs="Times New Roman"/>
                <w:bCs/>
                <w:color w:val="000000" w:themeColor="text1"/>
                <w:sz w:val="20"/>
                <w:szCs w:val="20"/>
                <w:lang w:val="ro-RO"/>
              </w:rPr>
              <w:tab/>
              <w:t>«risc juridic» înseamnă riscul de pierdere, inclusiv cheltuielile, amenzile, penalitățile sau daunele punitive pe care o instituție le-ar putea suporta ca urmare a unor evenimente care duc la proceduri judiciare, inclusiv următoarele:</w:t>
            </w:r>
          </w:p>
          <w:p w14:paraId="4C5DCC6E" w14:textId="183EA4E7"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(a) acțiuni de supraveghere și tranzacții extrajudiciare;</w:t>
            </w:r>
          </w:p>
          <w:p w14:paraId="45787339" w14:textId="253089E4"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(b) absența unei acțiuni atunci când o astfel de acțiune este necesară pentru a respecta o obligație juridică;</w:t>
            </w:r>
          </w:p>
          <w:p w14:paraId="38E934B0" w14:textId="33A0A77A"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(c) acțiuni întreprinse pentru a evita respectarea unei obligații juridice;</w:t>
            </w:r>
          </w:p>
          <w:p w14:paraId="65971BC0" w14:textId="50F959C8"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lastRenderedPageBreak/>
              <w:t>(d) evenimente legate de o conduită necorespunzătoare, care sunt evenimente ce rezultă din abateri săvârșite cu intenție sau din neglijență, inclusiv prestarea necorespunzătoare de servicii financiare sau furnizarea de informații inadecvate sau înșelătoare privind riscul financiar al produselor vândute de instituție;</w:t>
            </w:r>
          </w:p>
          <w:p w14:paraId="71109074" w14:textId="69108561"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(e) nerespectarea oricărei cerințe derivate din dispozițiile statutare sau legislative naționale sau internaționale;</w:t>
            </w:r>
          </w:p>
          <w:p w14:paraId="2382AE13" w14:textId="74F45A5A"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(f) nerespectarea oricărei cerințe derivate din acorduri contractuale sau a unor norme interne și coduri de conduită stabilite în conformitate cu normele și practicile naționale sau internaționale;</w:t>
            </w:r>
          </w:p>
          <w:p w14:paraId="677E93B1" w14:textId="19A738ED" w:rsidR="009C6F60" w:rsidRPr="00684853" w:rsidRDefault="009C6F60" w:rsidP="009C6F60">
            <w:pPr>
              <w:spacing w:after="0" w:line="240" w:lineRule="auto"/>
              <w:jc w:val="both"/>
              <w:rPr>
                <w:color w:val="000000" w:themeColor="text1"/>
                <w:lang w:val="ro-RO"/>
              </w:rPr>
            </w:pPr>
            <w:r w:rsidRPr="00684853">
              <w:rPr>
                <w:rFonts w:ascii="Times New Roman" w:eastAsia="Times New Roman" w:hAnsi="Times New Roman" w:cs="Times New Roman"/>
                <w:bCs/>
                <w:color w:val="000000" w:themeColor="text1"/>
                <w:sz w:val="20"/>
                <w:szCs w:val="20"/>
                <w:lang w:val="ro-RO"/>
              </w:rPr>
              <w:t>(g) nerespectarea normelor de etică;</w:t>
            </w:r>
          </w:p>
        </w:tc>
        <w:tc>
          <w:tcPr>
            <w:tcW w:w="1636" w:type="pct"/>
          </w:tcPr>
          <w:p w14:paraId="7DF4CD48"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33743725" w14:textId="3EB3E8BA"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0C74672D" w14:textId="29E40AF3"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4263CAE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25487448" w14:textId="77777777" w:rsidR="009C6F60" w:rsidRPr="00684853" w:rsidRDefault="009C6F60" w:rsidP="009C6F60">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64C0F0D" w14:textId="634EC14A"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52b.</w:t>
            </w:r>
            <w:r w:rsidRPr="00684853">
              <w:rPr>
                <w:rFonts w:ascii="Times New Roman" w:eastAsia="Times New Roman" w:hAnsi="Times New Roman" w:cs="Times New Roman"/>
                <w:bCs/>
                <w:color w:val="000000" w:themeColor="text1"/>
                <w:sz w:val="20"/>
                <w:szCs w:val="20"/>
                <w:lang w:val="ro-RO"/>
              </w:rPr>
              <w:t xml:space="preserve"> «risc de model» înseamnă riscul de pierdere care rezultă în urma unor decizii care se bazează în principal pe rezultatul modelelor interne din cauza erorilor în elaborarea, dezvoltarea, estimarea parametrilor, punerea în aplicare sau utilizarea ori monitorizarea unor astfel de modele, inclusiv din cauza următoarelor:</w:t>
            </w:r>
          </w:p>
          <w:p w14:paraId="1EEA47BB" w14:textId="71F46E9D"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(a) elaborarea necorespunzătoare a modelului intern ales și a caracteristicilor sale;</w:t>
            </w:r>
          </w:p>
          <w:p w14:paraId="1CCE9AE4" w14:textId="435C019E"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(b) verificarea necorespunzătoare a caracterului adecvat al modelului intern ales în ceea ce privește instrumentul financiar care trebuie evaluat sau produsul căruia trebuie să i se stabilească un preț ori a caracterului adecvat al modelului intern ales pentru condițiile de piață aplicabile;</w:t>
            </w:r>
          </w:p>
          <w:p w14:paraId="3D18DB05" w14:textId="6FD48A4D"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(c) erorile în punerea în aplicare a modelului intern ales;</w:t>
            </w:r>
          </w:p>
          <w:p w14:paraId="7D971F83" w14:textId="62218F73"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(d) evaluările incorecte la prețul pieței și măsurarea incorectă a riscului ca urmare a unei erori în momentul înregistrării unei tranzacții în sistemul de tranzacționare;</w:t>
            </w:r>
          </w:p>
          <w:p w14:paraId="29A0D67C" w14:textId="72EDAFA7" w:rsidR="009C6F60" w:rsidRPr="00684853" w:rsidRDefault="009C6F60" w:rsidP="009C6F60">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(e) utilizarea modelului intern ales sau a rezultatelor acestuia într-un scop pentru care modelul respectiv nu a fost conceput sau căruia nu îi era destinat, inclusiv manipularea parametrilor de modelare;</w:t>
            </w:r>
          </w:p>
          <w:p w14:paraId="10BFC925" w14:textId="607AEC5A" w:rsidR="009C6F60" w:rsidRPr="00684853" w:rsidRDefault="009C6F60" w:rsidP="009C6F60">
            <w:pPr>
              <w:spacing w:after="0" w:line="240" w:lineRule="auto"/>
              <w:jc w:val="both"/>
              <w:rPr>
                <w:color w:val="000000" w:themeColor="text1"/>
                <w:lang w:val="ro-RO"/>
              </w:rPr>
            </w:pPr>
            <w:r w:rsidRPr="00684853">
              <w:rPr>
                <w:rFonts w:ascii="Times New Roman" w:eastAsia="Times New Roman" w:hAnsi="Times New Roman" w:cs="Times New Roman"/>
                <w:bCs/>
                <w:color w:val="000000" w:themeColor="text1"/>
                <w:sz w:val="20"/>
                <w:szCs w:val="20"/>
                <w:lang w:val="ro-RO"/>
              </w:rPr>
              <w:t>(f) monitorizarea sau validarea tardivă sau ineficace a performanței modelului sau a capacității predictive de a evalua dacă modelul intern ales este în continuare adecvat scopului;</w:t>
            </w:r>
          </w:p>
        </w:tc>
        <w:tc>
          <w:tcPr>
            <w:tcW w:w="1636" w:type="pct"/>
          </w:tcPr>
          <w:p w14:paraId="28945CF2"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5EBE74D9" w14:textId="174A7B17"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4B9586DE" w14:textId="1F60D8E1"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25739BB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41661722"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1EF1974E" w14:textId="0C7B94C5"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52c.</w:t>
            </w:r>
            <w:r w:rsidRPr="00684853">
              <w:rPr>
                <w:rFonts w:ascii="Times New Roman" w:eastAsia="Calibri" w:hAnsi="Times New Roman" w:cs="Times New Roman"/>
                <w:color w:val="000000" w:themeColor="text1"/>
                <w:sz w:val="20"/>
                <w:szCs w:val="20"/>
                <w:lang w:val="ro-RO"/>
              </w:rPr>
              <w:tab/>
              <w:t>«risc TIC» înseamnă riscul de pierderi legat de orice circumstanță care poate fi identificată în mod rezonabil în legătură cu utilizarea rețelelor și a sistemelor informatice care, dacă se materializează, ar putea compromite securitatea rețelelor și a sistemelor informatice, a oricărui instrument sau proces dependent de tehnologie, a operațiunilor și proceselor sau a prestării de servicii prin producerea de efecte adverse în mediul digital sau fizic;</w:t>
            </w:r>
          </w:p>
        </w:tc>
        <w:tc>
          <w:tcPr>
            <w:tcW w:w="1636" w:type="pct"/>
          </w:tcPr>
          <w:p w14:paraId="35463B24"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6257A992" w14:textId="09A58726"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5811298B" w14:textId="2E3E6963"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3084E2C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7A2F9369"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782941E5" w14:textId="1116BC68"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52d.</w:t>
            </w:r>
            <w:r w:rsidRPr="00684853">
              <w:rPr>
                <w:rFonts w:ascii="Times New Roman" w:eastAsia="Calibri" w:hAnsi="Times New Roman" w:cs="Times New Roman"/>
                <w:color w:val="000000" w:themeColor="text1"/>
                <w:sz w:val="20"/>
                <w:szCs w:val="20"/>
                <w:lang w:val="ro-RO"/>
              </w:rPr>
              <w:tab/>
              <w:t xml:space="preserve">«risc de mediu, social și de guvernanță» sau «risc ESG» înseamnă riscul de orice impact financiar negativ asupra unei instituții care decurge din impactul actual sau potențial al factorilor de mediu, sociali sau de guvernanță (ESG)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 riscurile ESG se materializează prin categoriile tradiționale de riscuri financiare;</w:t>
            </w:r>
          </w:p>
        </w:tc>
        <w:tc>
          <w:tcPr>
            <w:tcW w:w="1636" w:type="pct"/>
          </w:tcPr>
          <w:p w14:paraId="61D1DBA9"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4AE4CAC5" w14:textId="2B5DD7BA"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4643C261" w14:textId="4A29CF77"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55B3FDE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74ACFB24"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4E01D5BA" w14:textId="47460995"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52e.</w:t>
            </w:r>
            <w:r w:rsidRPr="00684853">
              <w:rPr>
                <w:rFonts w:ascii="Times New Roman" w:eastAsia="Calibri" w:hAnsi="Times New Roman" w:cs="Times New Roman"/>
                <w:color w:val="000000" w:themeColor="text1"/>
                <w:sz w:val="20"/>
                <w:szCs w:val="20"/>
                <w:lang w:val="ro-RO"/>
              </w:rPr>
              <w:tab/>
              <w:t xml:space="preserve">«risc de mediu» înseamnă riscul de orice impact financiar negativ asupra unei instituții care decurge din impactul actual sau potențial al factorilor de mediu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 inclusiv al factorilor legați de tranziția către obiectivele prevăzute la articolul 9 din Regulamentul (UE) 2020/852 al Parlamentului European și al Consiliului (*5); riscul de mediu include atât riscul fizic, cât și riscul de tranziție;</w:t>
            </w:r>
          </w:p>
        </w:tc>
        <w:tc>
          <w:tcPr>
            <w:tcW w:w="1636" w:type="pct"/>
          </w:tcPr>
          <w:p w14:paraId="377110E5"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07A1F03F" w14:textId="1C137664"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6A8A4633" w14:textId="31B18C4E"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2688549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4203FE8E"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056B94B" w14:textId="35BD2E47"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52f.</w:t>
            </w:r>
            <w:r w:rsidRPr="00684853">
              <w:rPr>
                <w:rFonts w:ascii="Times New Roman" w:eastAsia="Calibri" w:hAnsi="Times New Roman" w:cs="Times New Roman"/>
                <w:color w:val="000000" w:themeColor="text1"/>
                <w:sz w:val="20"/>
                <w:szCs w:val="20"/>
                <w:lang w:val="ro-RO"/>
              </w:rPr>
              <w:tab/>
              <w:t xml:space="preserve">«risc fizic», ca parte a riscului de mediu, înseamnă riscul de orice impact financiar negativ asupra unei instituții care decurge din impactul actual sau potențial al efectelor fizice ale factorilor de mediu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w:t>
            </w:r>
          </w:p>
        </w:tc>
        <w:tc>
          <w:tcPr>
            <w:tcW w:w="1636" w:type="pct"/>
          </w:tcPr>
          <w:p w14:paraId="2A0F50BB"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2898F1A6" w14:textId="03606C19"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0E7B2D5F" w14:textId="251FB3CE"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61F68A5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520BA704"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61F3B79E" w14:textId="0EFAC845" w:rsidR="009C6F60" w:rsidRPr="00684853" w:rsidRDefault="009C6F60" w:rsidP="009C6F60">
            <w:pPr>
              <w:jc w:val="both"/>
              <w:rPr>
                <w:color w:val="000000" w:themeColor="text1"/>
                <w:lang w:val="ro-RO"/>
              </w:rPr>
            </w:pPr>
            <w:r w:rsidRPr="00684853">
              <w:rPr>
                <w:rFonts w:ascii="Times New Roman" w:eastAsia="Calibri" w:hAnsi="Times New Roman" w:cs="Times New Roman"/>
                <w:color w:val="000000" w:themeColor="text1"/>
                <w:sz w:val="20"/>
                <w:szCs w:val="20"/>
                <w:lang w:val="ro-RO"/>
              </w:rPr>
              <w:t>52g.</w:t>
            </w:r>
            <w:r w:rsidRPr="00684853">
              <w:rPr>
                <w:rFonts w:ascii="Times New Roman" w:eastAsia="Calibri" w:hAnsi="Times New Roman" w:cs="Times New Roman"/>
                <w:color w:val="000000" w:themeColor="text1"/>
                <w:sz w:val="20"/>
                <w:szCs w:val="20"/>
                <w:lang w:val="ro-RO"/>
              </w:rPr>
              <w:tab/>
              <w:t xml:space="preserve">«risc de tranziție», ca parte a riscului de mediu, înseamnă riscul de orice impact financiar negativ asupra unei instituții care decurge din impactul actual sau potențial al tranziției la o economie durabilă din punctul de vedere al mediului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w:t>
            </w:r>
          </w:p>
        </w:tc>
        <w:tc>
          <w:tcPr>
            <w:tcW w:w="1636" w:type="pct"/>
          </w:tcPr>
          <w:p w14:paraId="5DD80C6D"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44619E3E" w14:textId="4C41AC91"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700098E5" w14:textId="0E862280"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69A57C5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734BBE31" w14:textId="77777777" w:rsidR="009C6F60" w:rsidRPr="00684853" w:rsidRDefault="009C6F60" w:rsidP="009C6F6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FD3A89B" w14:textId="56950445" w:rsidR="009C6F60" w:rsidRPr="00684853" w:rsidRDefault="009C6F60" w:rsidP="009C6F60">
            <w:pPr>
              <w:jc w:val="both"/>
              <w:rPr>
                <w:color w:val="000000" w:themeColor="text1"/>
                <w:lang w:val="ro-RO"/>
              </w:rPr>
            </w:pPr>
            <w:r w:rsidRPr="00684853">
              <w:rPr>
                <w:rFonts w:ascii="Times New Roman" w:eastAsia="Calibri" w:hAnsi="Times New Roman" w:cs="Times New Roman"/>
                <w:b/>
                <w:bCs/>
                <w:color w:val="000000" w:themeColor="text1"/>
                <w:sz w:val="20"/>
                <w:szCs w:val="20"/>
                <w:lang w:val="ro-RO"/>
              </w:rPr>
              <w:t>52h.</w:t>
            </w:r>
            <w:r w:rsidRPr="00684853">
              <w:rPr>
                <w:rFonts w:ascii="Times New Roman" w:eastAsia="Calibri" w:hAnsi="Times New Roman" w:cs="Times New Roman"/>
                <w:color w:val="000000" w:themeColor="text1"/>
                <w:sz w:val="20"/>
                <w:szCs w:val="20"/>
                <w:lang w:val="ro-RO"/>
              </w:rPr>
              <w:tab/>
              <w:t xml:space="preserve">«risc social» înseamnă riscul de orice impact financiar negativ asupra unei instituții care decurge din impactul actual sau potențial al factorilor sociali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sale investite;</w:t>
            </w:r>
          </w:p>
        </w:tc>
        <w:tc>
          <w:tcPr>
            <w:tcW w:w="1636" w:type="pct"/>
          </w:tcPr>
          <w:p w14:paraId="35F80BE4" w14:textId="77777777" w:rsidR="009C6F60" w:rsidRPr="00684853" w:rsidRDefault="009C6F60" w:rsidP="009C6F60">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07ECEB8B" w14:textId="4AE64A96" w:rsidR="009C6F60" w:rsidRPr="00684853" w:rsidRDefault="009C6F60" w:rsidP="009C6F6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2714F270" w14:textId="7FC83E45" w:rsidR="009C6F60" w:rsidRPr="00684853" w:rsidRDefault="009C6F60" w:rsidP="009C6F6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în proiectul de modificare a Regulamentului nr.322/2018 privind cadrul de administrare a activității băncilor.</w:t>
            </w:r>
          </w:p>
        </w:tc>
      </w:tr>
      <w:tr w:rsidR="00EA59FA" w:rsidRPr="00684853" w14:paraId="182B92D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3B87FD95" w14:textId="77777777" w:rsidR="00B47AB3" w:rsidRPr="00684853" w:rsidRDefault="00B47AB3" w:rsidP="00BE23E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1C370A9D" w14:textId="080ED181" w:rsidR="00B47AB3" w:rsidRPr="00684853" w:rsidRDefault="00B47AB3" w:rsidP="00BE23E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52i.</w:t>
            </w:r>
            <w:r w:rsidRPr="00684853">
              <w:rPr>
                <w:rFonts w:ascii="Times New Roman" w:hAnsi="Times New Roman"/>
                <w:b/>
                <w:color w:val="000000" w:themeColor="text1"/>
                <w:sz w:val="20"/>
                <w:szCs w:val="20"/>
                <w:lang w:val="ro-RO"/>
              </w:rPr>
              <w:tab/>
            </w:r>
            <w:r w:rsidRPr="00684853">
              <w:rPr>
                <w:rFonts w:ascii="Times New Roman" w:hAnsi="Times New Roman"/>
                <w:bCs/>
                <w:color w:val="000000" w:themeColor="text1"/>
                <w:sz w:val="20"/>
                <w:szCs w:val="20"/>
                <w:lang w:val="ro-RO"/>
              </w:rPr>
              <w:t xml:space="preserve">«risc de guvernanță» înseamnă riscul de orice impact financiar negativ asupra unei instituții care decurge din impactul actual sau potențial al factorilor de guvernanță asupra </w:t>
            </w:r>
            <w:proofErr w:type="spellStart"/>
            <w:r w:rsidRPr="00684853">
              <w:rPr>
                <w:rFonts w:ascii="Times New Roman" w:hAnsi="Times New Roman"/>
                <w:bCs/>
                <w:color w:val="000000" w:themeColor="text1"/>
                <w:sz w:val="20"/>
                <w:szCs w:val="20"/>
                <w:lang w:val="ro-RO"/>
              </w:rPr>
              <w:t>contrapărților</w:t>
            </w:r>
            <w:proofErr w:type="spellEnd"/>
            <w:r w:rsidRPr="00684853">
              <w:rPr>
                <w:rFonts w:ascii="Times New Roman" w:hAnsi="Times New Roman"/>
                <w:bCs/>
                <w:color w:val="000000" w:themeColor="text1"/>
                <w:sz w:val="20"/>
                <w:szCs w:val="20"/>
                <w:lang w:val="ro-RO"/>
              </w:rPr>
              <w:t xml:space="preserve"> sau a activelor investite ale instituției respective;</w:t>
            </w:r>
          </w:p>
        </w:tc>
        <w:tc>
          <w:tcPr>
            <w:tcW w:w="1636" w:type="pct"/>
          </w:tcPr>
          <w:p w14:paraId="069EFA56" w14:textId="77777777" w:rsidR="00B47AB3" w:rsidRPr="00684853" w:rsidRDefault="00B47AB3" w:rsidP="00476ED9">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1BF66BCB" w14:textId="77777777" w:rsidR="00B47AB3" w:rsidRPr="00684853" w:rsidRDefault="00B47AB3" w:rsidP="00476ED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57920736" w14:textId="77777777" w:rsidR="00B47AB3" w:rsidRPr="00684853" w:rsidRDefault="00B47AB3" w:rsidP="00476ED9">
            <w:pPr>
              <w:rPr>
                <w:rFonts w:ascii="Times New Roman" w:hAnsi="Times New Roman" w:cs="Times New Roman"/>
                <w:color w:val="000000" w:themeColor="text1"/>
                <w:sz w:val="20"/>
                <w:szCs w:val="20"/>
                <w:lang w:val="ro-RO"/>
              </w:rPr>
            </w:pPr>
          </w:p>
        </w:tc>
      </w:tr>
      <w:tr w:rsidR="00EA59FA" w:rsidRPr="00684853" w14:paraId="5B5821C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0C76ACA8" w14:textId="77777777" w:rsidR="00395381" w:rsidRPr="00684853" w:rsidRDefault="00395381"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53. </w:t>
            </w:r>
            <w:r w:rsidRPr="00684853">
              <w:rPr>
                <w:rFonts w:ascii="Times New Roman" w:eastAsia="Calibri" w:hAnsi="Times New Roman"/>
                <w:color w:val="000000" w:themeColor="text1"/>
                <w:sz w:val="20"/>
                <w:szCs w:val="20"/>
                <w:lang w:val="ro-RO"/>
              </w:rPr>
              <w:t>„risc de diminuare a valorii creanței” înseamnă riscul ca o creanță să fie redusă prin acordarea de credite, în numerar sau nu, către debitor;</w:t>
            </w:r>
          </w:p>
        </w:tc>
        <w:tc>
          <w:tcPr>
            <w:tcW w:w="1636" w:type="pct"/>
          </w:tcPr>
          <w:p w14:paraId="3FCA552A"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50320592" w14:textId="648919DD" w:rsidR="00395381" w:rsidRPr="00684853" w:rsidRDefault="00B334CA"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4155E645" w14:textId="20310F23"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tratamentul riscului de credit pentru bănci potrivit abordării IRB.</w:t>
            </w:r>
          </w:p>
        </w:tc>
      </w:tr>
      <w:tr w:rsidR="00EA59FA" w:rsidRPr="00684853" w14:paraId="01DF949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47515492" w14:textId="324377C1" w:rsidR="00BE23E0" w:rsidRPr="00684853" w:rsidRDefault="00BE23E0"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F15AF9B" w14:textId="5836EF6A" w:rsidR="00395381" w:rsidRPr="00684853" w:rsidRDefault="00395381" w:rsidP="00BE23E0">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54. </w:t>
            </w:r>
            <w:r w:rsidRPr="00684853">
              <w:rPr>
                <w:rFonts w:ascii="Times New Roman" w:eastAsia="Calibri" w:hAnsi="Times New Roman"/>
                <w:color w:val="000000" w:themeColor="text1"/>
                <w:sz w:val="20"/>
                <w:szCs w:val="20"/>
                <w:lang w:val="ro-RO"/>
              </w:rPr>
              <w:t xml:space="preserve">„probabilitate de nerambursare” sau „PD” înseamnă probabilitatea ca </w:t>
            </w:r>
            <w:r w:rsidR="003B247C" w:rsidRPr="00684853">
              <w:rPr>
                <w:rFonts w:ascii="Times New Roman" w:eastAsia="Calibri" w:hAnsi="Times New Roman"/>
                <w:color w:val="000000" w:themeColor="text1"/>
                <w:sz w:val="20"/>
                <w:szCs w:val="20"/>
                <w:lang w:val="ro-RO"/>
              </w:rPr>
              <w:t xml:space="preserve">un debitor sau, după caz, o facilitate de credit să intre </w:t>
            </w:r>
            <w:r w:rsidRPr="00684853">
              <w:rPr>
                <w:rFonts w:ascii="Times New Roman" w:eastAsia="Calibri" w:hAnsi="Times New Roman"/>
                <w:color w:val="000000" w:themeColor="text1"/>
                <w:sz w:val="20"/>
                <w:szCs w:val="20"/>
                <w:lang w:val="ro-RO"/>
              </w:rPr>
              <w:t xml:space="preserve">în stare de nerambursare în </w:t>
            </w:r>
            <w:r w:rsidR="003B247C" w:rsidRPr="00684853">
              <w:rPr>
                <w:rFonts w:ascii="Times New Roman" w:eastAsia="Calibri" w:hAnsi="Times New Roman"/>
                <w:color w:val="000000" w:themeColor="text1"/>
                <w:sz w:val="20"/>
                <w:szCs w:val="20"/>
                <w:lang w:val="ro-RO"/>
              </w:rPr>
              <w:t>decursul</w:t>
            </w:r>
            <w:r w:rsidRPr="00684853">
              <w:rPr>
                <w:rFonts w:ascii="Times New Roman" w:eastAsia="Calibri" w:hAnsi="Times New Roman"/>
                <w:color w:val="000000" w:themeColor="text1"/>
                <w:sz w:val="20"/>
                <w:szCs w:val="20"/>
                <w:lang w:val="ro-RO"/>
              </w:rPr>
              <w:t xml:space="preserve"> un</w:t>
            </w:r>
            <w:r w:rsidR="003B247C" w:rsidRPr="00684853">
              <w:rPr>
                <w:rFonts w:ascii="Times New Roman" w:eastAsia="Calibri" w:hAnsi="Times New Roman"/>
                <w:color w:val="000000" w:themeColor="text1"/>
                <w:sz w:val="20"/>
                <w:szCs w:val="20"/>
                <w:lang w:val="ro-RO"/>
              </w:rPr>
              <w:t>ui</w:t>
            </w:r>
            <w:r w:rsidRPr="00684853">
              <w:rPr>
                <w:rFonts w:ascii="Times New Roman" w:eastAsia="Calibri" w:hAnsi="Times New Roman"/>
                <w:color w:val="000000" w:themeColor="text1"/>
                <w:sz w:val="20"/>
                <w:szCs w:val="20"/>
                <w:lang w:val="ro-RO"/>
              </w:rPr>
              <w:t xml:space="preserve"> an</w:t>
            </w:r>
            <w:r w:rsidR="003B247C" w:rsidRPr="00684853">
              <w:rPr>
                <w:color w:val="000000" w:themeColor="text1"/>
              </w:rPr>
              <w:t xml:space="preserve"> </w:t>
            </w:r>
            <w:r w:rsidR="003B247C" w:rsidRPr="00684853">
              <w:rPr>
                <w:rFonts w:ascii="Times New Roman" w:eastAsia="Calibri" w:hAnsi="Times New Roman"/>
                <w:color w:val="000000" w:themeColor="text1"/>
                <w:sz w:val="20"/>
                <w:szCs w:val="20"/>
                <w:lang w:val="ro-RO"/>
              </w:rPr>
              <w:t>și, în contextul riscului de diminuare a valorii creanței, probabilitatea de diminuare a valorii creanței în decursul unei perioade de un an;</w:t>
            </w:r>
            <w:r w:rsidRPr="00684853">
              <w:rPr>
                <w:rFonts w:ascii="Times New Roman" w:eastAsia="Calibri" w:hAnsi="Times New Roman"/>
                <w:color w:val="000000" w:themeColor="text1"/>
                <w:sz w:val="20"/>
                <w:szCs w:val="20"/>
                <w:lang w:val="ro-RO"/>
              </w:rPr>
              <w:t>;</w:t>
            </w:r>
          </w:p>
        </w:tc>
        <w:tc>
          <w:tcPr>
            <w:tcW w:w="1636" w:type="pct"/>
          </w:tcPr>
          <w:p w14:paraId="5DFEA9FE"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0DCC6991" w14:textId="4E8B8E13" w:rsidR="00395381" w:rsidRPr="00684853" w:rsidRDefault="00B334CA"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2862170D" w14:textId="4D2AB74C"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tratamentul riscului de credit pentru bănci potrivit abordării IRB.</w:t>
            </w:r>
          </w:p>
        </w:tc>
      </w:tr>
      <w:tr w:rsidR="00EA59FA" w:rsidRPr="00684853" w14:paraId="7102DA7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1916" w:type="pct"/>
            <w:tcBorders>
              <w:top w:val="single" w:sz="4" w:space="0" w:color="auto"/>
              <w:left w:val="single" w:sz="4" w:space="0" w:color="auto"/>
              <w:bottom w:val="single" w:sz="4" w:space="0" w:color="auto"/>
              <w:right w:val="single" w:sz="4" w:space="0" w:color="auto"/>
            </w:tcBorders>
          </w:tcPr>
          <w:p w14:paraId="146002A4" w14:textId="77777777" w:rsidR="00BE23E0" w:rsidRPr="00684853" w:rsidRDefault="00BE23E0" w:rsidP="00BE23E0">
            <w:pPr>
              <w:autoSpaceDE w:val="0"/>
              <w:autoSpaceDN w:val="0"/>
              <w:adjustRightInd w:val="0"/>
              <w:spacing w:before="200" w:after="200"/>
              <w:jc w:val="both"/>
              <w:rPr>
                <w:rFonts w:ascii="Times New Roman" w:eastAsia="Calibri" w:hAnsi="Times New Roman" w:cs="Times New Roman"/>
                <w:b/>
                <w:color w:val="000000" w:themeColor="text1"/>
                <w:sz w:val="20"/>
                <w:szCs w:val="20"/>
                <w:lang w:val="ro-RO"/>
              </w:rPr>
            </w:pPr>
            <w:r w:rsidRPr="00684853">
              <w:rPr>
                <w:rFonts w:ascii="Times New Roman" w:eastAsia="Calibri" w:hAnsi="Times New Roman" w:cs="Times New Roman"/>
                <w:b/>
                <w:color w:val="000000" w:themeColor="text1"/>
                <w:sz w:val="20"/>
                <w:szCs w:val="20"/>
                <w:lang w:val="ro-RO"/>
              </w:rPr>
              <w:lastRenderedPageBreak/>
              <w:t>M17</w:t>
            </w:r>
          </w:p>
          <w:p w14:paraId="7954E901" w14:textId="012E3CE5" w:rsidR="00395381" w:rsidRPr="00684853" w:rsidRDefault="00395381" w:rsidP="00BE23E0">
            <w:pPr>
              <w:autoSpaceDE w:val="0"/>
              <w:autoSpaceDN w:val="0"/>
              <w:adjustRightInd w:val="0"/>
              <w:spacing w:before="200" w:after="200"/>
              <w:jc w:val="both"/>
              <w:rPr>
                <w:rFonts w:ascii="Times New Roman" w:hAnsi="Times New Roman" w:cs="Times New Roman"/>
                <w:b/>
                <w:color w:val="000000" w:themeColor="text1"/>
                <w:sz w:val="20"/>
                <w:szCs w:val="20"/>
                <w:lang w:val="ro-RO"/>
              </w:rPr>
            </w:pPr>
            <w:r w:rsidRPr="00684853">
              <w:rPr>
                <w:rFonts w:ascii="Times New Roman" w:eastAsia="Calibri" w:hAnsi="Times New Roman" w:cs="Times New Roman"/>
                <w:b/>
                <w:color w:val="000000" w:themeColor="text1"/>
                <w:sz w:val="20"/>
                <w:szCs w:val="20"/>
                <w:lang w:val="ro-RO"/>
              </w:rPr>
              <w:t>55.</w:t>
            </w:r>
            <w:r w:rsidRPr="00684853">
              <w:rPr>
                <w:rFonts w:ascii="Times New Roman" w:eastAsia="Calibri" w:hAnsi="Times New Roman" w:cs="Times New Roman"/>
                <w:color w:val="000000" w:themeColor="text1"/>
                <w:sz w:val="20"/>
                <w:szCs w:val="20"/>
                <w:lang w:val="ro-RO"/>
              </w:rPr>
              <w:t xml:space="preserve"> „pierdere în caz de nerambursare” sau „LGD” înseamnă raportul dintre</w:t>
            </w:r>
            <w:r w:rsidR="003B247C" w:rsidRPr="00684853">
              <w:rPr>
                <w:rFonts w:ascii="Times New Roman" w:eastAsia="Calibri" w:hAnsi="Times New Roman" w:cs="Times New Roman"/>
                <w:color w:val="000000" w:themeColor="text1"/>
                <w:sz w:val="20"/>
                <w:szCs w:val="20"/>
                <w:lang w:val="ro-RO"/>
              </w:rPr>
              <w:t>,</w:t>
            </w:r>
            <w:r w:rsidRPr="00684853">
              <w:rPr>
                <w:rFonts w:ascii="Times New Roman" w:eastAsia="Calibri" w:hAnsi="Times New Roman" w:cs="Times New Roman"/>
                <w:color w:val="000000" w:themeColor="text1"/>
                <w:sz w:val="20"/>
                <w:szCs w:val="20"/>
                <w:lang w:val="ro-RO"/>
              </w:rPr>
              <w:t xml:space="preserve"> </w:t>
            </w:r>
            <w:r w:rsidR="003B247C" w:rsidRPr="00684853">
              <w:rPr>
                <w:rFonts w:ascii="Times New Roman" w:eastAsia="Calibri" w:hAnsi="Times New Roman" w:cs="Times New Roman"/>
                <w:color w:val="000000" w:themeColor="text1"/>
                <w:sz w:val="20"/>
                <w:szCs w:val="20"/>
                <w:lang w:val="ro-RO"/>
              </w:rPr>
              <w:t xml:space="preserve">pe de o parte, </w:t>
            </w:r>
            <w:r w:rsidRPr="00684853">
              <w:rPr>
                <w:rFonts w:ascii="Times New Roman" w:eastAsia="Calibri" w:hAnsi="Times New Roman" w:cs="Times New Roman"/>
                <w:color w:val="000000" w:themeColor="text1"/>
                <w:sz w:val="20"/>
                <w:szCs w:val="20"/>
                <w:lang w:val="ro-RO"/>
              </w:rPr>
              <w:t xml:space="preserve">pierderea aferentă unei expuneri </w:t>
            </w:r>
            <w:r w:rsidR="003B247C" w:rsidRPr="00684853">
              <w:rPr>
                <w:rFonts w:ascii="Times New Roman" w:eastAsia="Calibri" w:hAnsi="Times New Roman" w:cs="Times New Roman"/>
                <w:color w:val="000000" w:themeColor="text1"/>
                <w:sz w:val="20"/>
                <w:szCs w:val="20"/>
                <w:lang w:val="ro-RO"/>
              </w:rPr>
              <w:t xml:space="preserve">legate de o singură facilitate </w:t>
            </w:r>
            <w:r w:rsidRPr="00684853">
              <w:rPr>
                <w:rFonts w:ascii="Times New Roman" w:eastAsia="Calibri" w:hAnsi="Times New Roman" w:cs="Times New Roman"/>
                <w:color w:val="000000" w:themeColor="text1"/>
                <w:sz w:val="20"/>
                <w:szCs w:val="20"/>
                <w:lang w:val="ro-RO"/>
              </w:rPr>
              <w:t>în cazul neramburs</w:t>
            </w:r>
            <w:r w:rsidR="003B247C" w:rsidRPr="00684853">
              <w:rPr>
                <w:rFonts w:ascii="Times New Roman" w:eastAsia="Calibri" w:hAnsi="Times New Roman" w:cs="Times New Roman"/>
                <w:color w:val="000000" w:themeColor="text1"/>
                <w:sz w:val="20"/>
                <w:szCs w:val="20"/>
                <w:lang w:val="ro-RO"/>
              </w:rPr>
              <w:t>a</w:t>
            </w:r>
            <w:r w:rsidRPr="00684853">
              <w:rPr>
                <w:rFonts w:ascii="Times New Roman" w:eastAsia="Calibri" w:hAnsi="Times New Roman" w:cs="Times New Roman"/>
                <w:color w:val="000000" w:themeColor="text1"/>
                <w:sz w:val="20"/>
                <w:szCs w:val="20"/>
                <w:lang w:val="ro-RO"/>
              </w:rPr>
              <w:t>r</w:t>
            </w:r>
            <w:r w:rsidR="003B247C" w:rsidRPr="00684853">
              <w:rPr>
                <w:rFonts w:ascii="Times New Roman" w:eastAsia="Calibri" w:hAnsi="Times New Roman" w:cs="Times New Roman"/>
                <w:color w:val="000000" w:themeColor="text1"/>
                <w:sz w:val="20"/>
                <w:szCs w:val="20"/>
                <w:lang w:val="ro-RO"/>
              </w:rPr>
              <w:t>e</w:t>
            </w:r>
            <w:r w:rsidRPr="00684853">
              <w:rPr>
                <w:rFonts w:ascii="Times New Roman" w:eastAsia="Calibri" w:hAnsi="Times New Roman" w:cs="Times New Roman"/>
                <w:color w:val="000000" w:themeColor="text1"/>
                <w:sz w:val="20"/>
                <w:szCs w:val="20"/>
                <w:lang w:val="ro-RO"/>
              </w:rPr>
              <w:t xml:space="preserve"> </w:t>
            </w:r>
            <w:r w:rsidR="003B247C" w:rsidRPr="00684853">
              <w:rPr>
                <w:rFonts w:ascii="Times New Roman" w:eastAsia="Calibri" w:hAnsi="Times New Roman" w:cs="Times New Roman"/>
                <w:color w:val="000000" w:themeColor="text1"/>
                <w:sz w:val="20"/>
                <w:szCs w:val="20"/>
                <w:lang w:val="ro-RO"/>
              </w:rPr>
              <w:t xml:space="preserve">a unui debitor sau, dacă este cazul, a unei facilități de credit </w:t>
            </w:r>
            <w:r w:rsidRPr="00684853">
              <w:rPr>
                <w:rFonts w:ascii="Times New Roman" w:eastAsia="Calibri" w:hAnsi="Times New Roman" w:cs="Times New Roman"/>
                <w:color w:val="000000" w:themeColor="text1"/>
                <w:sz w:val="20"/>
                <w:szCs w:val="20"/>
                <w:lang w:val="ro-RO"/>
              </w:rPr>
              <w:t>și</w:t>
            </w:r>
            <w:r w:rsidR="003B247C" w:rsidRPr="00684853">
              <w:rPr>
                <w:rFonts w:ascii="Times New Roman" w:eastAsia="Calibri" w:hAnsi="Times New Roman" w:cs="Times New Roman"/>
                <w:color w:val="000000" w:themeColor="text1"/>
                <w:sz w:val="20"/>
                <w:szCs w:val="20"/>
                <w:lang w:val="ro-RO"/>
              </w:rPr>
              <w:t>, pe de altă parte,</w:t>
            </w:r>
            <w:r w:rsidRPr="00684853">
              <w:rPr>
                <w:rFonts w:ascii="Times New Roman" w:eastAsia="Calibri" w:hAnsi="Times New Roman" w:cs="Times New Roman"/>
                <w:color w:val="000000" w:themeColor="text1"/>
                <w:sz w:val="20"/>
                <w:szCs w:val="20"/>
                <w:lang w:val="ro-RO"/>
              </w:rPr>
              <w:t xml:space="preserve"> cuantumul expus la risc în </w:t>
            </w:r>
            <w:r w:rsidR="003B247C" w:rsidRPr="00684853">
              <w:rPr>
                <w:rFonts w:ascii="Times New Roman" w:eastAsia="Calibri" w:hAnsi="Times New Roman" w:cs="Times New Roman"/>
                <w:color w:val="000000" w:themeColor="text1"/>
                <w:sz w:val="20"/>
                <w:szCs w:val="20"/>
                <w:lang w:val="ro-RO"/>
              </w:rPr>
              <w:t>momentul intrării în stare</w:t>
            </w:r>
            <w:r w:rsidRPr="00684853">
              <w:rPr>
                <w:rFonts w:ascii="Times New Roman" w:eastAsia="Calibri" w:hAnsi="Times New Roman" w:cs="Times New Roman"/>
                <w:color w:val="000000" w:themeColor="text1"/>
                <w:sz w:val="20"/>
                <w:szCs w:val="20"/>
                <w:lang w:val="ro-RO"/>
              </w:rPr>
              <w:t xml:space="preserve"> de nerambursare</w:t>
            </w:r>
            <w:r w:rsidR="003B247C" w:rsidRPr="00684853">
              <w:rPr>
                <w:rFonts w:ascii="Times New Roman" w:eastAsia="Calibri" w:hAnsi="Times New Roman" w:cs="Times New Roman"/>
                <w:color w:val="000000" w:themeColor="text1"/>
                <w:sz w:val="20"/>
                <w:szCs w:val="20"/>
                <w:lang w:val="ro-RO"/>
              </w:rPr>
              <w:t>, precum și, în contextul riscului de diminuare a valorii creanței, pierderea în caz de diminuare a valorii creanței, care înseamnă raportul dintre, pe de o parte, pierderea aferentă unei expuneri legate de o creanță achiziționată în caz de diminuare a valorii acesteia și, pe de altă parte, cuantumul expus la risc al creanței achiziționate</w:t>
            </w:r>
            <w:r w:rsidRPr="00684853">
              <w:rPr>
                <w:rFonts w:ascii="Times New Roman" w:eastAsia="Calibri" w:hAnsi="Times New Roman" w:cs="Times New Roman"/>
                <w:color w:val="000000" w:themeColor="text1"/>
                <w:sz w:val="20"/>
                <w:szCs w:val="20"/>
                <w:lang w:val="ro-RO"/>
              </w:rPr>
              <w:t>;</w:t>
            </w:r>
          </w:p>
        </w:tc>
        <w:tc>
          <w:tcPr>
            <w:tcW w:w="1636" w:type="pct"/>
          </w:tcPr>
          <w:p w14:paraId="497BBE61" w14:textId="77777777" w:rsidR="00395381" w:rsidRPr="00684853" w:rsidRDefault="00395381" w:rsidP="00B571EB">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2B43791D" w14:textId="65E2D815" w:rsidR="00395381" w:rsidRPr="00684853" w:rsidRDefault="00B334CA"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0B1E562F" w14:textId="334BB4B6"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tratamentul riscului de credit pentru bănci potrivit abordării IRB.</w:t>
            </w:r>
          </w:p>
        </w:tc>
      </w:tr>
      <w:tr w:rsidR="00EA59FA" w:rsidRPr="00684853" w14:paraId="34630A7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79C01C8A" w14:textId="77777777" w:rsidR="00BE23E0" w:rsidRPr="00684853" w:rsidRDefault="00BE23E0" w:rsidP="00BE23E0">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15852C41" w14:textId="38A3AC53" w:rsidR="00395381" w:rsidRPr="00684853" w:rsidRDefault="00395381" w:rsidP="00BE23E0">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 xml:space="preserve">56. </w:t>
            </w:r>
            <w:r w:rsidRPr="00684853">
              <w:rPr>
                <w:rFonts w:ascii="Times New Roman" w:eastAsia="Calibri" w:hAnsi="Times New Roman"/>
                <w:color w:val="000000" w:themeColor="text1"/>
                <w:sz w:val="20"/>
                <w:szCs w:val="20"/>
                <w:lang w:val="ro-RO"/>
              </w:rPr>
              <w:t xml:space="preserve">„factor de conversie” </w:t>
            </w:r>
            <w:r w:rsidR="00715A96" w:rsidRPr="00684853">
              <w:rPr>
                <w:rFonts w:ascii="Times New Roman" w:eastAsia="Calibri" w:hAnsi="Times New Roman"/>
                <w:color w:val="000000" w:themeColor="text1"/>
                <w:sz w:val="20"/>
                <w:szCs w:val="20"/>
                <w:lang w:val="ro-RO"/>
              </w:rPr>
              <w:t xml:space="preserve">sau «factor de conversie a creditului» sau «CCF» </w:t>
            </w:r>
            <w:r w:rsidRPr="00684853">
              <w:rPr>
                <w:rFonts w:ascii="Times New Roman" w:eastAsia="Calibri" w:hAnsi="Times New Roman"/>
                <w:color w:val="000000" w:themeColor="text1"/>
                <w:sz w:val="20"/>
                <w:szCs w:val="20"/>
                <w:lang w:val="ro-RO"/>
              </w:rPr>
              <w:t xml:space="preserve">înseamnă raportul dintre cuantumul </w:t>
            </w:r>
            <w:r w:rsidR="00715A96" w:rsidRPr="00684853">
              <w:rPr>
                <w:rFonts w:ascii="Times New Roman" w:eastAsia="Calibri" w:hAnsi="Times New Roman"/>
                <w:color w:val="000000" w:themeColor="text1"/>
                <w:sz w:val="20"/>
                <w:szCs w:val="20"/>
                <w:lang w:val="ro-RO"/>
              </w:rPr>
              <w:t>neutilizat</w:t>
            </w:r>
            <w:r w:rsidRPr="00684853">
              <w:rPr>
                <w:rFonts w:ascii="Times New Roman" w:eastAsia="Calibri" w:hAnsi="Times New Roman"/>
                <w:color w:val="000000" w:themeColor="text1"/>
                <w:sz w:val="20"/>
                <w:szCs w:val="20"/>
                <w:lang w:val="ro-RO"/>
              </w:rPr>
              <w:t xml:space="preserve"> dintr-un angajament </w:t>
            </w:r>
            <w:r w:rsidR="00F6762E" w:rsidRPr="00684853">
              <w:rPr>
                <w:rFonts w:ascii="Times New Roman" w:eastAsia="Calibri" w:hAnsi="Times New Roman"/>
                <w:color w:val="000000" w:themeColor="text1"/>
                <w:sz w:val="20"/>
                <w:szCs w:val="20"/>
                <w:lang w:val="ro-RO"/>
              </w:rPr>
              <w:t>din cadrul unei singure facilități care ar putea fi trasă din respectiva facilitate unică începând cu un anumit moment înainte de intrarea în stare de nerambursare</w:t>
            </w:r>
            <w:r w:rsidRPr="00684853">
              <w:rPr>
                <w:rFonts w:ascii="Times New Roman" w:eastAsia="Calibri" w:hAnsi="Times New Roman"/>
                <w:color w:val="000000" w:themeColor="text1"/>
                <w:sz w:val="20"/>
                <w:szCs w:val="20"/>
                <w:lang w:val="ro-RO"/>
              </w:rPr>
              <w:t xml:space="preserve"> și</w:t>
            </w:r>
            <w:r w:rsidR="00F6762E" w:rsidRPr="00684853">
              <w:rPr>
                <w:rFonts w:ascii="Times New Roman" w:eastAsia="Calibri" w:hAnsi="Times New Roman"/>
                <w:color w:val="000000" w:themeColor="text1"/>
                <w:sz w:val="20"/>
                <w:szCs w:val="20"/>
                <w:lang w:val="ro-RO"/>
              </w:rPr>
              <w:t xml:space="preserve"> care</w:t>
            </w:r>
            <w:r w:rsidRPr="00684853">
              <w:rPr>
                <w:rFonts w:ascii="Times New Roman" w:eastAsia="Calibri" w:hAnsi="Times New Roman"/>
                <w:color w:val="000000" w:themeColor="text1"/>
                <w:sz w:val="20"/>
                <w:szCs w:val="20"/>
                <w:lang w:val="ro-RO"/>
              </w:rPr>
              <w:t>, prin urmare, ar deveni expus</w:t>
            </w:r>
            <w:r w:rsidR="00F6762E" w:rsidRPr="00684853">
              <w:rPr>
                <w:rFonts w:ascii="Times New Roman" w:eastAsia="Calibri" w:hAnsi="Times New Roman"/>
                <w:color w:val="000000" w:themeColor="text1"/>
                <w:sz w:val="20"/>
                <w:szCs w:val="20"/>
                <w:lang w:val="ro-RO"/>
              </w:rPr>
              <w:t>ă</w:t>
            </w:r>
            <w:r w:rsidRPr="00684853">
              <w:rPr>
                <w:rFonts w:ascii="Times New Roman" w:eastAsia="Calibri" w:hAnsi="Times New Roman"/>
                <w:color w:val="000000" w:themeColor="text1"/>
                <w:sz w:val="20"/>
                <w:szCs w:val="20"/>
                <w:lang w:val="ro-RO"/>
              </w:rPr>
              <w:t xml:space="preserve"> la risc în </w:t>
            </w:r>
            <w:proofErr w:type="spellStart"/>
            <w:r w:rsidR="00F6762E" w:rsidRPr="00684853">
              <w:rPr>
                <w:rFonts w:ascii="Times New Roman" w:eastAsia="Calibri" w:hAnsi="Times New Roman"/>
                <w:color w:val="000000" w:themeColor="text1"/>
                <w:sz w:val="20"/>
                <w:szCs w:val="20"/>
                <w:lang w:val="ro-RO"/>
              </w:rPr>
              <w:t>momentulintrării</w:t>
            </w:r>
            <w:proofErr w:type="spellEnd"/>
            <w:r w:rsidR="00F6762E" w:rsidRPr="00684853">
              <w:rPr>
                <w:rFonts w:ascii="Times New Roman" w:eastAsia="Calibri" w:hAnsi="Times New Roman"/>
                <w:color w:val="000000" w:themeColor="text1"/>
                <w:sz w:val="20"/>
                <w:szCs w:val="20"/>
                <w:lang w:val="ro-RO"/>
              </w:rPr>
              <w:t xml:space="preserve"> în stare de</w:t>
            </w:r>
            <w:r w:rsidRPr="00684853">
              <w:rPr>
                <w:rFonts w:ascii="Times New Roman" w:eastAsia="Calibri" w:hAnsi="Times New Roman"/>
                <w:color w:val="000000" w:themeColor="text1"/>
                <w:sz w:val="20"/>
                <w:szCs w:val="20"/>
                <w:lang w:val="ro-RO"/>
              </w:rPr>
              <w:t xml:space="preserve"> nerambursare </w:t>
            </w:r>
            <w:r w:rsidR="00F6762E" w:rsidRPr="00684853">
              <w:rPr>
                <w:rFonts w:ascii="Times New Roman" w:eastAsia="Calibri" w:hAnsi="Times New Roman"/>
                <w:color w:val="000000" w:themeColor="text1"/>
                <w:sz w:val="20"/>
                <w:szCs w:val="20"/>
                <w:lang w:val="ro-RO"/>
              </w:rPr>
              <w:t>și</w:t>
            </w:r>
            <w:r w:rsidRPr="00684853">
              <w:rPr>
                <w:rFonts w:ascii="Times New Roman" w:eastAsia="Calibri" w:hAnsi="Times New Roman"/>
                <w:color w:val="000000" w:themeColor="text1"/>
                <w:sz w:val="20"/>
                <w:szCs w:val="20"/>
                <w:lang w:val="ro-RO"/>
              </w:rPr>
              <w:t xml:space="preserve"> cuantumul </w:t>
            </w:r>
            <w:r w:rsidR="00F6762E" w:rsidRPr="00684853">
              <w:rPr>
                <w:rFonts w:ascii="Times New Roman" w:eastAsia="Calibri" w:hAnsi="Times New Roman"/>
                <w:color w:val="000000" w:themeColor="text1"/>
                <w:sz w:val="20"/>
                <w:szCs w:val="20"/>
                <w:lang w:val="ro-RO"/>
              </w:rPr>
              <w:t>neutilizat</w:t>
            </w:r>
            <w:r w:rsidRPr="00684853">
              <w:rPr>
                <w:rFonts w:ascii="Times New Roman" w:eastAsia="Calibri" w:hAnsi="Times New Roman"/>
                <w:color w:val="000000" w:themeColor="text1"/>
                <w:sz w:val="20"/>
                <w:szCs w:val="20"/>
                <w:lang w:val="ro-RO"/>
              </w:rPr>
              <w:t xml:space="preserve"> din</w:t>
            </w:r>
            <w:r w:rsidR="00F6762E" w:rsidRPr="00684853">
              <w:rPr>
                <w:rFonts w:ascii="Times New Roman" w:eastAsia="Calibri" w:hAnsi="Times New Roman"/>
                <w:color w:val="000000" w:themeColor="text1"/>
                <w:sz w:val="20"/>
                <w:szCs w:val="20"/>
                <w:lang w:val="ro-RO"/>
              </w:rPr>
              <w:t>tr-un</w:t>
            </w:r>
            <w:r w:rsidRPr="00684853">
              <w:rPr>
                <w:rFonts w:ascii="Times New Roman" w:eastAsia="Calibri" w:hAnsi="Times New Roman"/>
                <w:color w:val="000000" w:themeColor="text1"/>
                <w:sz w:val="20"/>
                <w:szCs w:val="20"/>
                <w:lang w:val="ro-RO"/>
              </w:rPr>
              <w:t xml:space="preserve"> angajamentul </w:t>
            </w:r>
            <w:r w:rsidR="00F6762E" w:rsidRPr="00684853">
              <w:rPr>
                <w:rFonts w:ascii="Times New Roman" w:eastAsia="Calibri" w:hAnsi="Times New Roman"/>
                <w:color w:val="000000" w:themeColor="text1"/>
                <w:sz w:val="20"/>
                <w:szCs w:val="20"/>
                <w:lang w:val="ro-RO"/>
              </w:rPr>
              <w:t>din cadrul facilității respective</w:t>
            </w:r>
            <w:r w:rsidRPr="00684853">
              <w:rPr>
                <w:rFonts w:ascii="Times New Roman" w:eastAsia="Calibri" w:hAnsi="Times New Roman"/>
                <w:color w:val="000000" w:themeColor="text1"/>
                <w:sz w:val="20"/>
                <w:szCs w:val="20"/>
                <w:lang w:val="ro-RO"/>
              </w:rPr>
              <w:t>, valoarea angajamentului fiind determinată de limita autorizată, cu excepția cazului în care limita neautorizată este mai mare;</w:t>
            </w:r>
          </w:p>
        </w:tc>
        <w:tc>
          <w:tcPr>
            <w:tcW w:w="1636" w:type="pct"/>
          </w:tcPr>
          <w:p w14:paraId="30FF85AB" w14:textId="1E41140B" w:rsidR="00395381" w:rsidRPr="00684853" w:rsidRDefault="00B334CA"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Factor de conversie - </w:t>
            </w:r>
            <w:r w:rsidRPr="00684853">
              <w:rPr>
                <w:rFonts w:ascii="Times New Roman" w:hAnsi="Times New Roman" w:cs="Times New Roman"/>
                <w:bCs/>
                <w:color w:val="000000" w:themeColor="text1"/>
                <w:sz w:val="20"/>
                <w:szCs w:val="20"/>
                <w:lang w:val="ro-RO"/>
              </w:rPr>
              <w:t xml:space="preserve">raportul dintre cuantumul încă netras dintr-un angajament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care ar putea fi tras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prin urmare, ar deveni expus la risc în caz de nerambursare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cuantumul încă netras din angajamentul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valoarea angajamentului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fiind determinată de limita autorizată, cu </w:t>
            </w:r>
            <w:proofErr w:type="spellStart"/>
            <w:r w:rsidRPr="00684853">
              <w:rPr>
                <w:rFonts w:ascii="Times New Roman" w:hAnsi="Times New Roman" w:cs="Times New Roman"/>
                <w:bCs/>
                <w:color w:val="000000" w:themeColor="text1"/>
                <w:sz w:val="20"/>
                <w:szCs w:val="20"/>
                <w:lang w:val="ro-RO"/>
              </w:rPr>
              <w:t>excepţia</w:t>
            </w:r>
            <w:proofErr w:type="spellEnd"/>
            <w:r w:rsidRPr="00684853">
              <w:rPr>
                <w:rFonts w:ascii="Times New Roman" w:hAnsi="Times New Roman" w:cs="Times New Roman"/>
                <w:bCs/>
                <w:color w:val="000000" w:themeColor="text1"/>
                <w:sz w:val="20"/>
                <w:szCs w:val="20"/>
                <w:lang w:val="ro-RO"/>
              </w:rPr>
              <w:t xml:space="preserve"> cazului în care limita neautorizată este mai mare.</w:t>
            </w:r>
          </w:p>
        </w:tc>
        <w:tc>
          <w:tcPr>
            <w:tcW w:w="562" w:type="pct"/>
            <w:tcBorders>
              <w:top w:val="single" w:sz="4" w:space="0" w:color="auto"/>
              <w:left w:val="single" w:sz="4" w:space="0" w:color="auto"/>
              <w:bottom w:val="single" w:sz="4" w:space="0" w:color="auto"/>
              <w:right w:val="single" w:sz="4" w:space="0" w:color="auto"/>
            </w:tcBorders>
          </w:tcPr>
          <w:p w14:paraId="686EE63C" w14:textId="7A16B13C" w:rsidR="00B334CA" w:rsidRPr="00684853" w:rsidRDefault="00B334CA" w:rsidP="00B571EB">
            <w:pPr>
              <w:jc w:val="both"/>
              <w:rPr>
                <w:rFonts w:ascii="Times New Roman" w:hAnsi="Times New Roman" w:cs="Times New Roman"/>
                <w:color w:val="000000" w:themeColor="text1"/>
                <w:sz w:val="20"/>
                <w:szCs w:val="20"/>
                <w:lang w:val="ro-RO"/>
              </w:rPr>
            </w:pPr>
          </w:p>
          <w:p w14:paraId="55B7B29C" w14:textId="0AD354F5" w:rsidR="00395381" w:rsidRPr="00684853" w:rsidRDefault="00B334CA"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05E42B5A" w14:textId="5E33F3AA" w:rsidR="00395381" w:rsidRPr="00684853" w:rsidRDefault="00395381" w:rsidP="00A53416">
            <w:pPr>
              <w:rPr>
                <w:rFonts w:ascii="Times New Roman" w:hAnsi="Times New Roman" w:cs="Times New Roman"/>
                <w:b/>
                <w:color w:val="000000" w:themeColor="text1"/>
                <w:sz w:val="20"/>
                <w:szCs w:val="20"/>
                <w:lang w:val="ro-RO"/>
              </w:rPr>
            </w:pPr>
          </w:p>
          <w:p w14:paraId="1020178F" w14:textId="6C618603" w:rsidR="00B334CA" w:rsidRPr="00684853" w:rsidRDefault="00B334CA" w:rsidP="00B334CA">
            <w:pPr>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Instrucțiunea nr.117/2018 cu privire la prezentarea  de către bănci a rapoartelor COREP în scopuri de supraveghere </w:t>
            </w:r>
            <w:r w:rsidRPr="00684853">
              <w:rPr>
                <w:rFonts w:ascii="Times New Roman" w:hAnsi="Times New Roman" w:cs="Times New Roman"/>
                <w:bCs/>
                <w:color w:val="000000" w:themeColor="text1"/>
                <w:sz w:val="20"/>
                <w:szCs w:val="20"/>
                <w:lang w:val="ro-RO"/>
              </w:rPr>
              <w:t>(Formularul C 07.00 – Riscul de credit)</w:t>
            </w:r>
          </w:p>
        </w:tc>
      </w:tr>
      <w:tr w:rsidR="00EA59FA" w:rsidRPr="00684853" w14:paraId="7490713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5694C481" w14:textId="77777777" w:rsidR="00395381" w:rsidRPr="00684853" w:rsidRDefault="00395381" w:rsidP="00B571EB">
            <w:pPr>
              <w:pStyle w:val="CM4"/>
              <w:spacing w:after="120"/>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57. </w:t>
            </w:r>
            <w:r w:rsidRPr="00684853">
              <w:rPr>
                <w:rFonts w:ascii="Times New Roman" w:hAnsi="Times New Roman"/>
                <w:color w:val="000000" w:themeColor="text1"/>
                <w:sz w:val="20"/>
                <w:szCs w:val="20"/>
                <w:lang w:val="ro-RO"/>
              </w:rPr>
              <w:t>„diminuare a riscului de credit”</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tehnica </w:t>
            </w:r>
            <w:r w:rsidRPr="00684853">
              <w:rPr>
                <w:rFonts w:ascii="Times New Roman" w:hAnsi="Times New Roman"/>
                <w:color w:val="000000" w:themeColor="text1"/>
                <w:sz w:val="20"/>
                <w:szCs w:val="20"/>
                <w:lang w:val="ro-RO" w:eastAsia="ru-RU"/>
              </w:rPr>
              <w:t>folosită</w:t>
            </w:r>
            <w:r w:rsidRPr="00684853">
              <w:rPr>
                <w:rFonts w:ascii="Times New Roman" w:hAnsi="Times New Roman"/>
                <w:color w:val="000000" w:themeColor="text1"/>
                <w:sz w:val="20"/>
                <w:szCs w:val="20"/>
                <w:lang w:val="ro-RO"/>
              </w:rPr>
              <w:t xml:space="preserve"> de o instituție pentru a reduce riscul de credit asociat unei expuneri sau unor expuneri pe care instituția respectivă continuă să le dețină;</w:t>
            </w:r>
          </w:p>
        </w:tc>
        <w:tc>
          <w:tcPr>
            <w:tcW w:w="1636" w:type="pct"/>
          </w:tcPr>
          <w:p w14:paraId="244363D4" w14:textId="097C3831" w:rsidR="00395381" w:rsidRPr="00684853" w:rsidRDefault="0079260C"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diminuare a riscului de credit –</w:t>
            </w:r>
            <w:r w:rsidRPr="00684853">
              <w:rPr>
                <w:rFonts w:ascii="Times New Roman" w:hAnsi="Times New Roman" w:cs="Times New Roman"/>
                <w:bCs/>
                <w:color w:val="000000" w:themeColor="text1"/>
                <w:sz w:val="20"/>
                <w:szCs w:val="20"/>
                <w:lang w:val="ro-RO"/>
              </w:rPr>
              <w:t xml:space="preserve"> tehnica folosită de o bancă pentru a reduce riscul de credit asociat unei expuneri sau unor expuneri pe care banca respectivă continuă să le </w:t>
            </w:r>
            <w:proofErr w:type="spellStart"/>
            <w:r w:rsidRPr="00684853">
              <w:rPr>
                <w:rFonts w:ascii="Times New Roman" w:hAnsi="Times New Roman" w:cs="Times New Roman"/>
                <w:bCs/>
                <w:color w:val="000000" w:themeColor="text1"/>
                <w:sz w:val="20"/>
                <w:szCs w:val="20"/>
                <w:lang w:val="ro-RO"/>
              </w:rPr>
              <w:t>deţină</w:t>
            </w:r>
            <w:proofErr w:type="spellEnd"/>
            <w:r w:rsidRPr="00684853">
              <w:rPr>
                <w:rFonts w:ascii="Times New Roman" w:hAnsi="Times New Roman" w:cs="Times New Roman"/>
                <w:bCs/>
                <w:color w:val="000000" w:themeColor="text1"/>
                <w:sz w:val="20"/>
                <w:szCs w:val="20"/>
                <w:lang w:val="ro-RO"/>
              </w:rPr>
              <w:t>;</w:t>
            </w:r>
          </w:p>
        </w:tc>
        <w:tc>
          <w:tcPr>
            <w:tcW w:w="562" w:type="pct"/>
            <w:tcBorders>
              <w:top w:val="single" w:sz="4" w:space="0" w:color="auto"/>
              <w:left w:val="single" w:sz="4" w:space="0" w:color="auto"/>
              <w:bottom w:val="single" w:sz="4" w:space="0" w:color="auto"/>
              <w:right w:val="single" w:sz="4" w:space="0" w:color="auto"/>
            </w:tcBorders>
          </w:tcPr>
          <w:p w14:paraId="4859831F"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2D082490" w14:textId="28D61441" w:rsidR="00395381" w:rsidRPr="00684853" w:rsidRDefault="00395381" w:rsidP="00E54F1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nr.112/2018 </w:t>
            </w:r>
            <w:r w:rsidRPr="00684853">
              <w:rPr>
                <w:rFonts w:ascii="Times New Roman" w:hAnsi="Times New Roman" w:cs="Times New Roman"/>
                <w:b/>
                <w:color w:val="000000" w:themeColor="text1"/>
                <w:sz w:val="20"/>
                <w:szCs w:val="20"/>
                <w:lang w:val="ro-RO"/>
              </w:rPr>
              <w:t>cu privire la tehnicile de diminuare a riscului de credit utilizate de bănci,</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lastRenderedPageBreak/>
              <w:t>prin noțiunea „diminuarea riscului de credit”.</w:t>
            </w:r>
          </w:p>
        </w:tc>
      </w:tr>
      <w:tr w:rsidR="00EA59FA" w:rsidRPr="00684853" w14:paraId="451523B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0E69A187" w14:textId="77777777" w:rsidR="00F6762E" w:rsidRPr="00684853" w:rsidRDefault="00F6762E" w:rsidP="00F6762E">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lastRenderedPageBreak/>
              <w:t>M17</w:t>
            </w:r>
          </w:p>
          <w:p w14:paraId="64552E23" w14:textId="5C88311D" w:rsidR="00395381" w:rsidRPr="00684853" w:rsidRDefault="00395381" w:rsidP="00B571EB">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58. </w:t>
            </w:r>
            <w:r w:rsidRPr="00684853">
              <w:rPr>
                <w:rFonts w:ascii="Times New Roman" w:hAnsi="Times New Roman"/>
                <w:color w:val="000000" w:themeColor="text1"/>
                <w:sz w:val="20"/>
                <w:szCs w:val="20"/>
                <w:lang w:val="ro-RO"/>
              </w:rPr>
              <w:t>„protecție finanțată a creditului”</w:t>
            </w:r>
            <w:r w:rsidRPr="00684853">
              <w:rPr>
                <w:rFonts w:ascii="Times New Roman" w:hAnsi="Times New Roman"/>
                <w:b/>
                <w:color w:val="000000" w:themeColor="text1"/>
                <w:sz w:val="20"/>
                <w:szCs w:val="20"/>
                <w:lang w:val="ro-RO"/>
              </w:rPr>
              <w:t xml:space="preserve"> </w:t>
            </w:r>
            <w:r w:rsidR="00F6762E" w:rsidRPr="00684853">
              <w:rPr>
                <w:rFonts w:ascii="Times New Roman" w:hAnsi="Times New Roman"/>
                <w:b/>
                <w:color w:val="000000" w:themeColor="text1"/>
                <w:sz w:val="20"/>
                <w:szCs w:val="20"/>
                <w:lang w:val="ro-RO"/>
              </w:rPr>
              <w:t xml:space="preserve">sau «FCP»  </w:t>
            </w:r>
            <w:r w:rsidRPr="00684853">
              <w:rPr>
                <w:rFonts w:ascii="Times New Roman" w:hAnsi="Times New Roman"/>
                <w:color w:val="000000" w:themeColor="text1"/>
                <w:sz w:val="20"/>
                <w:szCs w:val="20"/>
                <w:lang w:val="ro-RO"/>
              </w:rPr>
              <w:t xml:space="preserve">înseamnă o tehnică de diminuare a riscului de credit prin care reducerea riscului de credit asociat expunerii unei instituții </w:t>
            </w:r>
            <w:r w:rsidR="00F6762E" w:rsidRPr="00684853">
              <w:rPr>
                <w:rFonts w:ascii="Times New Roman" w:hAnsi="Times New Roman"/>
                <w:color w:val="000000" w:themeColor="text1"/>
                <w:sz w:val="20"/>
                <w:szCs w:val="20"/>
                <w:lang w:val="ro-RO"/>
              </w:rPr>
              <w:t xml:space="preserve">este </w:t>
            </w:r>
            <w:r w:rsidRPr="00684853">
              <w:rPr>
                <w:rFonts w:ascii="Times New Roman" w:hAnsi="Times New Roman"/>
                <w:color w:val="000000" w:themeColor="text1"/>
                <w:sz w:val="20"/>
                <w:szCs w:val="20"/>
                <w:lang w:val="ro-RO"/>
              </w:rPr>
              <w:t>deriv</w:t>
            </w:r>
            <w:r w:rsidR="00F6762E" w:rsidRPr="00684853">
              <w:rPr>
                <w:rFonts w:ascii="Times New Roman" w:hAnsi="Times New Roman"/>
                <w:color w:val="000000" w:themeColor="text1"/>
                <w:sz w:val="20"/>
                <w:szCs w:val="20"/>
                <w:lang w:val="ro-RO"/>
              </w:rPr>
              <w:t>at</w:t>
            </w:r>
            <w:r w:rsidRPr="00684853">
              <w:rPr>
                <w:rFonts w:ascii="Times New Roman" w:hAnsi="Times New Roman"/>
                <w:color w:val="000000" w:themeColor="text1"/>
                <w:sz w:val="20"/>
                <w:szCs w:val="20"/>
                <w:lang w:val="ro-RO"/>
              </w:rPr>
              <w:t xml:space="preserve">ă din dreptul respectivei instituții, în cazul </w:t>
            </w:r>
            <w:r w:rsidR="00F6762E" w:rsidRPr="00684853">
              <w:rPr>
                <w:rFonts w:ascii="Times New Roman" w:hAnsi="Times New Roman"/>
                <w:color w:val="000000" w:themeColor="text1"/>
                <w:sz w:val="20"/>
                <w:szCs w:val="20"/>
                <w:lang w:val="ro-RO"/>
              </w:rPr>
              <w:t xml:space="preserve">intrării în stare de nerambursare a debitorului sau a facilității de credit ori </w:t>
            </w:r>
            <w:r w:rsidRPr="00684853">
              <w:rPr>
                <w:rFonts w:ascii="Times New Roman" w:hAnsi="Times New Roman"/>
                <w:color w:val="000000" w:themeColor="text1"/>
                <w:sz w:val="20"/>
                <w:szCs w:val="20"/>
                <w:lang w:val="ro-RO"/>
              </w:rPr>
              <w:t xml:space="preserve"> al unor alte evenimente de credit specificate legate de </w:t>
            </w:r>
            <w:r w:rsidR="00F6762E" w:rsidRPr="00684853">
              <w:rPr>
                <w:rFonts w:ascii="Times New Roman" w:hAnsi="Times New Roman"/>
                <w:color w:val="000000" w:themeColor="text1"/>
                <w:sz w:val="20"/>
                <w:szCs w:val="20"/>
                <w:lang w:val="ro-RO"/>
              </w:rPr>
              <w:t>debitor</w:t>
            </w:r>
            <w:r w:rsidRPr="00684853">
              <w:rPr>
                <w:rFonts w:ascii="Times New Roman" w:hAnsi="Times New Roman"/>
                <w:color w:val="000000" w:themeColor="text1"/>
                <w:sz w:val="20"/>
                <w:szCs w:val="20"/>
                <w:lang w:val="ro-RO"/>
              </w:rPr>
              <w:t>, de a lichida</w:t>
            </w:r>
            <w:r w:rsidR="00F6762E" w:rsidRPr="00684853">
              <w:rPr>
                <w:color w:val="000000" w:themeColor="text1"/>
              </w:rPr>
              <w:t xml:space="preserve"> </w:t>
            </w:r>
            <w:r w:rsidR="00BF0D02" w:rsidRPr="00684853">
              <w:rPr>
                <w:rFonts w:ascii="Times New Roman" w:hAnsi="Times New Roman"/>
                <w:color w:val="000000" w:themeColor="text1"/>
                <w:sz w:val="20"/>
                <w:szCs w:val="20"/>
                <w:lang w:val="ro-RO"/>
              </w:rPr>
              <w:t>an</w:t>
            </w:r>
            <w:r w:rsidR="00F6762E" w:rsidRPr="00684853">
              <w:rPr>
                <w:rFonts w:ascii="Times New Roman" w:hAnsi="Times New Roman"/>
                <w:color w:val="000000" w:themeColor="text1"/>
                <w:sz w:val="20"/>
                <w:szCs w:val="20"/>
                <w:lang w:val="ro-RO"/>
              </w:rPr>
              <w:t xml:space="preserve">umite active sau sume, </w:t>
            </w:r>
            <w:r w:rsidRPr="00684853">
              <w:rPr>
                <w:rFonts w:ascii="Times New Roman" w:hAnsi="Times New Roman"/>
                <w:color w:val="000000" w:themeColor="text1"/>
                <w:sz w:val="20"/>
                <w:szCs w:val="20"/>
                <w:lang w:val="ro-RO"/>
              </w:rPr>
              <w:t xml:space="preserve"> de a obține transferul</w:t>
            </w:r>
            <w:r w:rsidR="00F6762E" w:rsidRPr="00684853">
              <w:rPr>
                <w:rFonts w:ascii="Times New Roman" w:hAnsi="Times New Roman"/>
                <w:color w:val="000000" w:themeColor="text1"/>
                <w:sz w:val="20"/>
                <w:szCs w:val="20"/>
                <w:lang w:val="ro-RO"/>
              </w:rPr>
              <w:t xml:space="preserve"> lor</w:t>
            </w:r>
            <w:r w:rsidRPr="00684853">
              <w:rPr>
                <w:rFonts w:ascii="Times New Roman" w:hAnsi="Times New Roman"/>
                <w:color w:val="000000" w:themeColor="text1"/>
                <w:sz w:val="20"/>
                <w:szCs w:val="20"/>
                <w:lang w:val="ro-RO"/>
              </w:rPr>
              <w:t xml:space="preserve">, </w:t>
            </w:r>
            <w:r w:rsidR="00F6762E" w:rsidRPr="00684853">
              <w:rPr>
                <w:rFonts w:ascii="Times New Roman" w:hAnsi="Times New Roman"/>
                <w:color w:val="000000" w:themeColor="text1"/>
                <w:sz w:val="20"/>
                <w:szCs w:val="20"/>
                <w:lang w:val="ro-RO"/>
              </w:rPr>
              <w:t xml:space="preserve">de a și le </w:t>
            </w:r>
            <w:r w:rsidRPr="00684853">
              <w:rPr>
                <w:rFonts w:ascii="Times New Roman" w:hAnsi="Times New Roman"/>
                <w:color w:val="000000" w:themeColor="text1"/>
                <w:sz w:val="20"/>
                <w:szCs w:val="20"/>
                <w:lang w:val="ro-RO"/>
              </w:rPr>
              <w:t xml:space="preserve">atribui sau </w:t>
            </w:r>
            <w:r w:rsidR="00F6762E" w:rsidRPr="00684853">
              <w:rPr>
                <w:rFonts w:ascii="Times New Roman" w:hAnsi="Times New Roman"/>
                <w:color w:val="000000" w:themeColor="text1"/>
                <w:sz w:val="20"/>
                <w:szCs w:val="20"/>
                <w:lang w:val="ro-RO"/>
              </w:rPr>
              <w:t>de a le reține</w:t>
            </w:r>
            <w:r w:rsidRPr="00684853">
              <w:rPr>
                <w:rFonts w:ascii="Times New Roman" w:hAnsi="Times New Roman"/>
                <w:color w:val="000000" w:themeColor="text1"/>
                <w:sz w:val="20"/>
                <w:szCs w:val="20"/>
                <w:lang w:val="ro-RO"/>
              </w:rPr>
              <w:t xml:space="preserve"> sau de a reduce cuantumul expunerii la diferența dintre cuantumul expunerii și cuantumul unei creanțe asupra instituției</w:t>
            </w:r>
            <w:r w:rsidR="00F6762E" w:rsidRPr="00684853">
              <w:rPr>
                <w:color w:val="000000" w:themeColor="text1"/>
              </w:rPr>
              <w:t xml:space="preserve"> </w:t>
            </w:r>
            <w:r w:rsidR="00F6762E" w:rsidRPr="00684853">
              <w:rPr>
                <w:rFonts w:ascii="Times New Roman" w:hAnsi="Times New Roman"/>
                <w:color w:val="000000" w:themeColor="text1"/>
                <w:sz w:val="20"/>
                <w:szCs w:val="20"/>
                <w:lang w:val="ro-RO"/>
              </w:rPr>
              <w:t>sau de a-l înlocui cu această diferență</w:t>
            </w:r>
            <w:r w:rsidRPr="00684853">
              <w:rPr>
                <w:rFonts w:ascii="Times New Roman" w:hAnsi="Times New Roman"/>
                <w:color w:val="000000" w:themeColor="text1"/>
                <w:sz w:val="20"/>
                <w:szCs w:val="20"/>
                <w:lang w:val="ro-RO"/>
              </w:rPr>
              <w:t>;</w:t>
            </w:r>
          </w:p>
        </w:tc>
        <w:tc>
          <w:tcPr>
            <w:tcW w:w="1636" w:type="pct"/>
          </w:tcPr>
          <w:p w14:paraId="32D7F405" w14:textId="03D26685" w:rsidR="00395381" w:rsidRPr="00684853" w:rsidRDefault="00DC78F0"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protecţie</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finanţată</w:t>
            </w:r>
            <w:proofErr w:type="spellEnd"/>
            <w:r w:rsidRPr="00684853">
              <w:rPr>
                <w:rFonts w:ascii="Times New Roman" w:hAnsi="Times New Roman" w:cs="Times New Roman"/>
                <w:b/>
                <w:color w:val="000000" w:themeColor="text1"/>
                <w:sz w:val="20"/>
                <w:szCs w:val="20"/>
                <w:lang w:val="ro-RO"/>
              </w:rPr>
              <w:t xml:space="preserve"> a creditului </w:t>
            </w:r>
            <w:r w:rsidRPr="00684853">
              <w:rPr>
                <w:rFonts w:ascii="Times New Roman" w:hAnsi="Times New Roman" w:cs="Times New Roman"/>
                <w:bCs/>
                <w:color w:val="000000" w:themeColor="text1"/>
                <w:sz w:val="20"/>
                <w:szCs w:val="20"/>
                <w:lang w:val="ro-RO"/>
              </w:rPr>
              <w:t xml:space="preserve">– o tehnică de diminuare a riscului de credit prin care reducerea riscului de credit asociat expunerii unei bănci derivă din dreptul respectivei bănci, în cazul intrării în stare de nerambursare a </w:t>
            </w:r>
            <w:proofErr w:type="spellStart"/>
            <w:r w:rsidRPr="00684853">
              <w:rPr>
                <w:rFonts w:ascii="Times New Roman" w:hAnsi="Times New Roman" w:cs="Times New Roman"/>
                <w:bCs/>
                <w:color w:val="000000" w:themeColor="text1"/>
                <w:sz w:val="20"/>
                <w:szCs w:val="20"/>
                <w:lang w:val="ro-RO"/>
              </w:rPr>
              <w:t>contrapărţii</w:t>
            </w:r>
            <w:proofErr w:type="spellEnd"/>
            <w:r w:rsidRPr="00684853">
              <w:rPr>
                <w:rFonts w:ascii="Times New Roman" w:hAnsi="Times New Roman" w:cs="Times New Roman"/>
                <w:bCs/>
                <w:color w:val="000000" w:themeColor="text1"/>
                <w:sz w:val="20"/>
                <w:szCs w:val="20"/>
                <w:lang w:val="ro-RO"/>
              </w:rPr>
              <w:t xml:space="preserve"> sau producerii unor alte evenimente de credit specificate legate de </w:t>
            </w:r>
            <w:proofErr w:type="spellStart"/>
            <w:r w:rsidRPr="00684853">
              <w:rPr>
                <w:rFonts w:ascii="Times New Roman" w:hAnsi="Times New Roman" w:cs="Times New Roman"/>
                <w:bCs/>
                <w:color w:val="000000" w:themeColor="text1"/>
                <w:sz w:val="20"/>
                <w:szCs w:val="20"/>
                <w:lang w:val="ro-RO"/>
              </w:rPr>
              <w:t>contraparte</w:t>
            </w:r>
            <w:proofErr w:type="spellEnd"/>
            <w:r w:rsidRPr="00684853">
              <w:rPr>
                <w:rFonts w:ascii="Times New Roman" w:hAnsi="Times New Roman" w:cs="Times New Roman"/>
                <w:bCs/>
                <w:color w:val="000000" w:themeColor="text1"/>
                <w:sz w:val="20"/>
                <w:szCs w:val="20"/>
                <w:lang w:val="ro-RO"/>
              </w:rPr>
              <w:t xml:space="preserve">, de a lichida sau de a </w:t>
            </w:r>
            <w:proofErr w:type="spellStart"/>
            <w:r w:rsidRPr="00684853">
              <w:rPr>
                <w:rFonts w:ascii="Times New Roman" w:hAnsi="Times New Roman" w:cs="Times New Roman"/>
                <w:bCs/>
                <w:color w:val="000000" w:themeColor="text1"/>
                <w:sz w:val="20"/>
                <w:szCs w:val="20"/>
                <w:lang w:val="ro-RO"/>
              </w:rPr>
              <w:t>reţine</w:t>
            </w:r>
            <w:proofErr w:type="spellEnd"/>
            <w:r w:rsidRPr="00684853">
              <w:rPr>
                <w:rFonts w:ascii="Times New Roman" w:hAnsi="Times New Roman" w:cs="Times New Roman"/>
                <w:bCs/>
                <w:color w:val="000000" w:themeColor="text1"/>
                <w:sz w:val="20"/>
                <w:szCs w:val="20"/>
                <w:lang w:val="ro-RO"/>
              </w:rPr>
              <w:t xml:space="preserve"> unele active sau sume sau de a </w:t>
            </w:r>
            <w:proofErr w:type="spellStart"/>
            <w:r w:rsidRPr="00684853">
              <w:rPr>
                <w:rFonts w:ascii="Times New Roman" w:hAnsi="Times New Roman" w:cs="Times New Roman"/>
                <w:bCs/>
                <w:color w:val="000000" w:themeColor="text1"/>
                <w:sz w:val="20"/>
                <w:szCs w:val="20"/>
                <w:lang w:val="ro-RO"/>
              </w:rPr>
              <w:t>obţine</w:t>
            </w:r>
            <w:proofErr w:type="spellEnd"/>
            <w:r w:rsidRPr="00684853">
              <w:rPr>
                <w:rFonts w:ascii="Times New Roman" w:hAnsi="Times New Roman" w:cs="Times New Roman"/>
                <w:bCs/>
                <w:color w:val="000000" w:themeColor="text1"/>
                <w:sz w:val="20"/>
                <w:szCs w:val="20"/>
                <w:lang w:val="ro-RO"/>
              </w:rPr>
              <w:t xml:space="preserve"> transferul sau dreptul de proprietate asupra unor active sau sume sau de a reduce valoarea expunerii la, sau de a o înlocui cu, </w:t>
            </w:r>
            <w:proofErr w:type="spellStart"/>
            <w:r w:rsidRPr="00684853">
              <w:rPr>
                <w:rFonts w:ascii="Times New Roman" w:hAnsi="Times New Roman" w:cs="Times New Roman"/>
                <w:bCs/>
                <w:color w:val="000000" w:themeColor="text1"/>
                <w:sz w:val="20"/>
                <w:szCs w:val="20"/>
                <w:lang w:val="ro-RO"/>
              </w:rPr>
              <w:t>diferenţa</w:t>
            </w:r>
            <w:proofErr w:type="spellEnd"/>
            <w:r w:rsidRPr="00684853">
              <w:rPr>
                <w:rFonts w:ascii="Times New Roman" w:hAnsi="Times New Roman" w:cs="Times New Roman"/>
                <w:bCs/>
                <w:color w:val="000000" w:themeColor="text1"/>
                <w:sz w:val="20"/>
                <w:szCs w:val="20"/>
                <w:lang w:val="ro-RO"/>
              </w:rPr>
              <w:t xml:space="preserve"> dintre valoarea expunerii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valoarea unei </w:t>
            </w:r>
            <w:proofErr w:type="spellStart"/>
            <w:r w:rsidRPr="00684853">
              <w:rPr>
                <w:rFonts w:ascii="Times New Roman" w:hAnsi="Times New Roman" w:cs="Times New Roman"/>
                <w:bCs/>
                <w:color w:val="000000" w:themeColor="text1"/>
                <w:sz w:val="20"/>
                <w:szCs w:val="20"/>
                <w:lang w:val="ro-RO"/>
              </w:rPr>
              <w:t>creanţe</w:t>
            </w:r>
            <w:proofErr w:type="spellEnd"/>
            <w:r w:rsidRPr="00684853">
              <w:rPr>
                <w:rFonts w:ascii="Times New Roman" w:hAnsi="Times New Roman" w:cs="Times New Roman"/>
                <w:bCs/>
                <w:color w:val="000000" w:themeColor="text1"/>
                <w:sz w:val="20"/>
                <w:szCs w:val="20"/>
                <w:lang w:val="ro-RO"/>
              </w:rPr>
              <w:t xml:space="preserve"> asupra băncii;</w:t>
            </w:r>
          </w:p>
        </w:tc>
        <w:tc>
          <w:tcPr>
            <w:tcW w:w="562" w:type="pct"/>
            <w:tcBorders>
              <w:top w:val="single" w:sz="4" w:space="0" w:color="auto"/>
              <w:left w:val="single" w:sz="4" w:space="0" w:color="auto"/>
              <w:bottom w:val="single" w:sz="4" w:space="0" w:color="auto"/>
              <w:right w:val="single" w:sz="4" w:space="0" w:color="auto"/>
            </w:tcBorders>
          </w:tcPr>
          <w:p w14:paraId="21B92E99"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583D61B2" w14:textId="5107B751" w:rsidR="00395381" w:rsidRPr="00684853" w:rsidRDefault="00395381" w:rsidP="00E54F1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nr.112/2018 </w:t>
            </w:r>
            <w:r w:rsidRPr="00684853">
              <w:rPr>
                <w:rFonts w:ascii="Times New Roman" w:hAnsi="Times New Roman" w:cs="Times New Roman"/>
                <w:b/>
                <w:color w:val="000000" w:themeColor="text1"/>
                <w:sz w:val="20"/>
                <w:szCs w:val="20"/>
                <w:lang w:val="ro-RO"/>
              </w:rPr>
              <w:t xml:space="preserve">cu privire la tehnicile de diminuare a riscului de credit utilizate de bănci, </w:t>
            </w:r>
            <w:r w:rsidRPr="00684853">
              <w:rPr>
                <w:rFonts w:ascii="Times New Roman" w:hAnsi="Times New Roman" w:cs="Times New Roman"/>
                <w:color w:val="000000" w:themeColor="text1"/>
                <w:sz w:val="20"/>
                <w:szCs w:val="20"/>
                <w:lang w:val="ro-RO"/>
              </w:rPr>
              <w:t>prin noțiunea „protecție finanțată a creditului”</w:t>
            </w:r>
          </w:p>
        </w:tc>
      </w:tr>
      <w:tr w:rsidR="00EA59FA" w:rsidRPr="00684853" w14:paraId="6FD29BD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056677D0" w14:textId="77777777" w:rsidR="00F6762E" w:rsidRPr="00684853" w:rsidRDefault="00F6762E" w:rsidP="00F6762E">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5706E157" w14:textId="6FD0FAA7" w:rsidR="00395381" w:rsidRPr="00684853" w:rsidRDefault="00395381" w:rsidP="00B571EB">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59. </w:t>
            </w:r>
            <w:r w:rsidRPr="00684853">
              <w:rPr>
                <w:rFonts w:ascii="Times New Roman" w:hAnsi="Times New Roman"/>
                <w:color w:val="000000" w:themeColor="text1"/>
                <w:sz w:val="20"/>
                <w:szCs w:val="20"/>
                <w:lang w:val="ro-RO"/>
              </w:rPr>
              <w:t>„protecție nefinanțată a creditului”</w:t>
            </w:r>
            <w:r w:rsidRPr="00684853">
              <w:rPr>
                <w:rFonts w:ascii="Times New Roman" w:hAnsi="Times New Roman"/>
                <w:b/>
                <w:color w:val="000000" w:themeColor="text1"/>
                <w:sz w:val="20"/>
                <w:szCs w:val="20"/>
                <w:lang w:val="ro-RO"/>
              </w:rPr>
              <w:t xml:space="preserve"> </w:t>
            </w:r>
            <w:r w:rsidR="005A07CC" w:rsidRPr="00684853">
              <w:rPr>
                <w:rFonts w:ascii="Times New Roman" w:hAnsi="Times New Roman"/>
                <w:b/>
                <w:color w:val="000000" w:themeColor="text1"/>
                <w:sz w:val="20"/>
                <w:szCs w:val="20"/>
                <w:lang w:val="ro-RO"/>
              </w:rPr>
              <w:t xml:space="preserve">sau «UFCP» </w:t>
            </w:r>
            <w:r w:rsidRPr="00684853">
              <w:rPr>
                <w:rFonts w:ascii="Times New Roman" w:hAnsi="Times New Roman"/>
                <w:color w:val="000000" w:themeColor="text1"/>
                <w:sz w:val="20"/>
                <w:szCs w:val="20"/>
                <w:lang w:val="ro-RO"/>
              </w:rPr>
              <w:t xml:space="preserve">înseamnă o tehnică de diminuare a riscului de credit prin care reducerea riscului de credit asociat expunerii unei instituții </w:t>
            </w:r>
            <w:r w:rsidR="005A07CC" w:rsidRPr="00684853">
              <w:rPr>
                <w:rFonts w:ascii="Times New Roman" w:hAnsi="Times New Roman"/>
                <w:color w:val="000000" w:themeColor="text1"/>
                <w:sz w:val="20"/>
                <w:szCs w:val="20"/>
                <w:lang w:val="ro-RO"/>
              </w:rPr>
              <w:t xml:space="preserve">este </w:t>
            </w:r>
            <w:r w:rsidRPr="00684853">
              <w:rPr>
                <w:rFonts w:ascii="Times New Roman" w:hAnsi="Times New Roman"/>
                <w:color w:val="000000" w:themeColor="text1"/>
                <w:sz w:val="20"/>
                <w:szCs w:val="20"/>
                <w:lang w:val="ro-RO"/>
              </w:rPr>
              <w:t>deriv</w:t>
            </w:r>
            <w:r w:rsidR="005A07CC" w:rsidRPr="00684853">
              <w:rPr>
                <w:rFonts w:ascii="Times New Roman" w:hAnsi="Times New Roman"/>
                <w:color w:val="000000" w:themeColor="text1"/>
                <w:sz w:val="20"/>
                <w:szCs w:val="20"/>
                <w:lang w:val="ro-RO"/>
              </w:rPr>
              <w:t>at</w:t>
            </w:r>
            <w:r w:rsidRPr="00684853">
              <w:rPr>
                <w:rFonts w:ascii="Times New Roman" w:hAnsi="Times New Roman"/>
                <w:color w:val="000000" w:themeColor="text1"/>
                <w:sz w:val="20"/>
                <w:szCs w:val="20"/>
                <w:lang w:val="ro-RO"/>
              </w:rPr>
              <w:t xml:space="preserve">ă din obligația unei părți terțe de a plăti o sumă în cazul </w:t>
            </w:r>
            <w:r w:rsidR="005A07CC" w:rsidRPr="00684853">
              <w:rPr>
                <w:rFonts w:ascii="Times New Roman" w:hAnsi="Times New Roman"/>
                <w:color w:val="000000" w:themeColor="text1"/>
                <w:sz w:val="20"/>
                <w:szCs w:val="20"/>
                <w:lang w:val="ro-RO"/>
              </w:rPr>
              <w:t>intrării în stare de nerambursare a</w:t>
            </w:r>
            <w:r w:rsidRPr="00684853">
              <w:rPr>
                <w:rFonts w:ascii="Times New Roman" w:hAnsi="Times New Roman"/>
                <w:color w:val="000000" w:themeColor="text1"/>
                <w:sz w:val="20"/>
                <w:szCs w:val="20"/>
                <w:lang w:val="ro-RO"/>
              </w:rPr>
              <w:t xml:space="preserve"> debitor</w:t>
            </w:r>
            <w:r w:rsidR="005A07CC" w:rsidRPr="00684853">
              <w:rPr>
                <w:rFonts w:ascii="Times New Roman" w:hAnsi="Times New Roman"/>
                <w:color w:val="000000" w:themeColor="text1"/>
                <w:sz w:val="20"/>
                <w:szCs w:val="20"/>
                <w:lang w:val="ro-RO"/>
              </w:rPr>
              <w:t>ului</w:t>
            </w:r>
            <w:r w:rsidRPr="00684853">
              <w:rPr>
                <w:rFonts w:ascii="Times New Roman" w:hAnsi="Times New Roman"/>
                <w:color w:val="000000" w:themeColor="text1"/>
                <w:sz w:val="20"/>
                <w:szCs w:val="20"/>
                <w:lang w:val="ro-RO"/>
              </w:rPr>
              <w:t xml:space="preserve"> </w:t>
            </w:r>
            <w:r w:rsidR="005A07CC" w:rsidRPr="00684853">
              <w:rPr>
                <w:rFonts w:ascii="Times New Roman" w:hAnsi="Times New Roman"/>
                <w:color w:val="000000" w:themeColor="text1"/>
                <w:sz w:val="20"/>
                <w:szCs w:val="20"/>
                <w:lang w:val="ro-RO"/>
              </w:rPr>
              <w:t xml:space="preserve">sau a facilității de credit </w:t>
            </w:r>
            <w:r w:rsidRPr="00684853">
              <w:rPr>
                <w:rFonts w:ascii="Times New Roman" w:hAnsi="Times New Roman"/>
                <w:color w:val="000000" w:themeColor="text1"/>
                <w:sz w:val="20"/>
                <w:szCs w:val="20"/>
                <w:lang w:val="ro-RO"/>
              </w:rPr>
              <w:t>sau al unor alte evenimente de credit specificate;</w:t>
            </w:r>
          </w:p>
        </w:tc>
        <w:tc>
          <w:tcPr>
            <w:tcW w:w="1636" w:type="pct"/>
          </w:tcPr>
          <w:p w14:paraId="3DFFAE9B" w14:textId="0FA7558F" w:rsidR="00395381" w:rsidRPr="00684853" w:rsidRDefault="00DC78F0" w:rsidP="00B571EB">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protecţie</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nefinanţată</w:t>
            </w:r>
            <w:proofErr w:type="spellEnd"/>
            <w:r w:rsidRPr="00684853">
              <w:rPr>
                <w:rFonts w:ascii="Times New Roman" w:hAnsi="Times New Roman" w:cs="Times New Roman"/>
                <w:b/>
                <w:color w:val="000000" w:themeColor="text1"/>
                <w:sz w:val="20"/>
                <w:szCs w:val="20"/>
                <w:lang w:val="ro-RO"/>
              </w:rPr>
              <w:t xml:space="preserve"> a creditului </w:t>
            </w:r>
            <w:r w:rsidRPr="00684853">
              <w:rPr>
                <w:rFonts w:ascii="Times New Roman" w:hAnsi="Times New Roman" w:cs="Times New Roman"/>
                <w:bCs/>
                <w:color w:val="000000" w:themeColor="text1"/>
                <w:sz w:val="20"/>
                <w:szCs w:val="20"/>
                <w:lang w:val="ro-RO"/>
              </w:rPr>
              <w:t xml:space="preserve">– o tehnică de diminuare a riscului de credit prin care reducerea riscului de credit asociat expunerii unei bănci derivă din </w:t>
            </w:r>
            <w:proofErr w:type="spellStart"/>
            <w:r w:rsidRPr="00684853">
              <w:rPr>
                <w:rFonts w:ascii="Times New Roman" w:hAnsi="Times New Roman" w:cs="Times New Roman"/>
                <w:bCs/>
                <w:color w:val="000000" w:themeColor="text1"/>
                <w:sz w:val="20"/>
                <w:szCs w:val="20"/>
                <w:lang w:val="ro-RO"/>
              </w:rPr>
              <w:t>obligaţia</w:t>
            </w:r>
            <w:proofErr w:type="spellEnd"/>
            <w:r w:rsidRPr="00684853">
              <w:rPr>
                <w:rFonts w:ascii="Times New Roman" w:hAnsi="Times New Roman" w:cs="Times New Roman"/>
                <w:bCs/>
                <w:color w:val="000000" w:themeColor="text1"/>
                <w:sz w:val="20"/>
                <w:szCs w:val="20"/>
                <w:lang w:val="ro-RO"/>
              </w:rPr>
              <w:t xml:space="preserve"> unei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terţe</w:t>
            </w:r>
            <w:proofErr w:type="spellEnd"/>
            <w:r w:rsidRPr="00684853">
              <w:rPr>
                <w:rFonts w:ascii="Times New Roman" w:hAnsi="Times New Roman" w:cs="Times New Roman"/>
                <w:bCs/>
                <w:color w:val="000000" w:themeColor="text1"/>
                <w:sz w:val="20"/>
                <w:szCs w:val="20"/>
                <w:lang w:val="ro-RO"/>
              </w:rPr>
              <w:t xml:space="preserve"> de a plăti o sumă în cazul intrării în stare de nerambursare a debitorului sau producerii unor alte evenimente de credit specificate;</w:t>
            </w:r>
          </w:p>
        </w:tc>
        <w:tc>
          <w:tcPr>
            <w:tcW w:w="562" w:type="pct"/>
            <w:tcBorders>
              <w:top w:val="single" w:sz="4" w:space="0" w:color="auto"/>
              <w:left w:val="single" w:sz="4" w:space="0" w:color="auto"/>
              <w:bottom w:val="single" w:sz="4" w:space="0" w:color="auto"/>
              <w:right w:val="single" w:sz="4" w:space="0" w:color="auto"/>
            </w:tcBorders>
          </w:tcPr>
          <w:p w14:paraId="14DA4EA5"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1607DDB8" w14:textId="0657F28C" w:rsidR="00395381" w:rsidRPr="00684853" w:rsidRDefault="00395381" w:rsidP="00E54F1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nr.112/2018 </w:t>
            </w:r>
            <w:r w:rsidRPr="00684853">
              <w:rPr>
                <w:rFonts w:ascii="Times New Roman" w:hAnsi="Times New Roman" w:cs="Times New Roman"/>
                <w:b/>
                <w:color w:val="000000" w:themeColor="text1"/>
                <w:sz w:val="20"/>
                <w:szCs w:val="20"/>
                <w:lang w:val="ro-RO"/>
              </w:rPr>
              <w:t>cu privire la tehnicile de diminuare a riscului de credit utilizate de bănci,</w:t>
            </w:r>
            <w:r w:rsidRPr="00684853">
              <w:rPr>
                <w:rFonts w:ascii="Times New Roman" w:hAnsi="Times New Roman" w:cs="Times New Roman"/>
                <w:color w:val="000000" w:themeColor="text1"/>
                <w:sz w:val="20"/>
                <w:szCs w:val="20"/>
                <w:lang w:val="ro-RO"/>
              </w:rPr>
              <w:t xml:space="preserve"> prin noțiunea „protecție nefinanțată a creditului”</w:t>
            </w:r>
          </w:p>
        </w:tc>
      </w:tr>
      <w:tr w:rsidR="00EA59FA" w:rsidRPr="00684853" w14:paraId="525BE64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470F09C7" w14:textId="77777777" w:rsidR="00F6762E" w:rsidRPr="00684853" w:rsidRDefault="00F6762E" w:rsidP="00F6762E">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7DB230A4" w14:textId="3E4301BF" w:rsidR="00395381" w:rsidRPr="00684853" w:rsidRDefault="00395381" w:rsidP="00B571EB">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60. </w:t>
            </w:r>
            <w:r w:rsidRPr="00684853">
              <w:rPr>
                <w:rFonts w:ascii="Times New Roman" w:hAnsi="Times New Roman"/>
                <w:color w:val="000000" w:themeColor="text1"/>
                <w:sz w:val="20"/>
                <w:szCs w:val="20"/>
                <w:lang w:val="ro-RO"/>
              </w:rPr>
              <w:t>„instrument asimilat numerarului” înseamnă un certificat de depozit, o obligațiune, inclusiv o obligațiune garantată, sau orice alt instrument nesubordonat, care a fost emis de o instituție</w:t>
            </w:r>
            <w:r w:rsidR="00853619" w:rsidRPr="00684853">
              <w:rPr>
                <w:rFonts w:ascii="Times New Roman" w:hAnsi="Times New Roman"/>
                <w:color w:val="000000" w:themeColor="text1"/>
                <w:sz w:val="20"/>
                <w:szCs w:val="20"/>
                <w:lang w:val="ro-RO"/>
              </w:rPr>
              <w:t xml:space="preserve"> </w:t>
            </w:r>
            <w:r w:rsidR="00D607D4" w:rsidRPr="00684853">
              <w:rPr>
                <w:rFonts w:ascii="Times New Roman" w:hAnsi="Times New Roman"/>
                <w:color w:val="000000" w:themeColor="text1"/>
                <w:sz w:val="20"/>
                <w:szCs w:val="20"/>
                <w:lang w:val="ro-RO"/>
              </w:rPr>
              <w:t>creditoare</w:t>
            </w:r>
            <w:r w:rsidRPr="00684853">
              <w:rPr>
                <w:rFonts w:ascii="Times New Roman" w:hAnsi="Times New Roman"/>
                <w:color w:val="000000" w:themeColor="text1"/>
                <w:sz w:val="20"/>
                <w:szCs w:val="20"/>
                <w:lang w:val="ro-RO"/>
              </w:rPr>
              <w:t xml:space="preserve">, pentru care instituția </w:t>
            </w:r>
            <w:r w:rsidR="00D607D4" w:rsidRPr="00684853">
              <w:rPr>
                <w:rFonts w:ascii="Times New Roman" w:hAnsi="Times New Roman"/>
                <w:color w:val="000000" w:themeColor="text1"/>
                <w:sz w:val="20"/>
                <w:szCs w:val="20"/>
                <w:lang w:val="ro-RO"/>
              </w:rPr>
              <w:t xml:space="preserve">creditoare </w:t>
            </w:r>
            <w:r w:rsidRPr="00684853">
              <w:rPr>
                <w:rFonts w:ascii="Times New Roman" w:hAnsi="Times New Roman"/>
                <w:color w:val="000000" w:themeColor="text1"/>
                <w:sz w:val="20"/>
                <w:szCs w:val="20"/>
                <w:lang w:val="ro-RO"/>
              </w:rPr>
              <w:t xml:space="preserve">a primit deja plata completă și care </w:t>
            </w:r>
            <w:r w:rsidR="00853619" w:rsidRPr="00684853">
              <w:rPr>
                <w:rFonts w:ascii="Times New Roman" w:hAnsi="Times New Roman"/>
                <w:color w:val="000000" w:themeColor="text1"/>
                <w:sz w:val="20"/>
                <w:szCs w:val="20"/>
                <w:lang w:val="ro-RO"/>
              </w:rPr>
              <w:t xml:space="preserve">urmează să fie </w:t>
            </w:r>
            <w:r w:rsidRPr="00684853">
              <w:rPr>
                <w:rFonts w:ascii="Times New Roman" w:hAnsi="Times New Roman"/>
                <w:color w:val="000000" w:themeColor="text1"/>
                <w:sz w:val="20"/>
                <w:szCs w:val="20"/>
                <w:lang w:val="ro-RO"/>
              </w:rPr>
              <w:t>rambursat necondiționat de către instituție la valoarea sa nominală;</w:t>
            </w:r>
          </w:p>
        </w:tc>
        <w:tc>
          <w:tcPr>
            <w:tcW w:w="1636" w:type="pct"/>
          </w:tcPr>
          <w:p w14:paraId="38010F2C" w14:textId="5CF5943A" w:rsidR="00395381" w:rsidRPr="00684853" w:rsidRDefault="00DC78F0" w:rsidP="00B571EB">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instrument asimilat mijloacelor </w:t>
            </w:r>
            <w:proofErr w:type="spellStart"/>
            <w:r w:rsidRPr="00684853">
              <w:rPr>
                <w:rFonts w:ascii="Times New Roman" w:hAnsi="Times New Roman" w:cs="Times New Roman"/>
                <w:b/>
                <w:color w:val="000000" w:themeColor="text1"/>
                <w:sz w:val="20"/>
                <w:szCs w:val="20"/>
                <w:lang w:val="ro-RO"/>
              </w:rPr>
              <w:t>băneşti</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un certificat de depozit, o </w:t>
            </w:r>
            <w:proofErr w:type="spellStart"/>
            <w:r w:rsidRPr="00684853">
              <w:rPr>
                <w:rFonts w:ascii="Times New Roman" w:hAnsi="Times New Roman" w:cs="Times New Roman"/>
                <w:bCs/>
                <w:color w:val="000000" w:themeColor="text1"/>
                <w:sz w:val="20"/>
                <w:szCs w:val="20"/>
                <w:lang w:val="ro-RO"/>
              </w:rPr>
              <w:t>obligaţiune</w:t>
            </w:r>
            <w:proofErr w:type="spellEnd"/>
            <w:r w:rsidRPr="00684853">
              <w:rPr>
                <w:rFonts w:ascii="Times New Roman" w:hAnsi="Times New Roman" w:cs="Times New Roman"/>
                <w:bCs/>
                <w:color w:val="000000" w:themeColor="text1"/>
                <w:sz w:val="20"/>
                <w:szCs w:val="20"/>
                <w:lang w:val="ro-RO"/>
              </w:rPr>
              <w:t xml:space="preserve">, inclusiv o </w:t>
            </w:r>
            <w:proofErr w:type="spellStart"/>
            <w:r w:rsidRPr="00684853">
              <w:rPr>
                <w:rFonts w:ascii="Times New Roman" w:hAnsi="Times New Roman" w:cs="Times New Roman"/>
                <w:bCs/>
                <w:color w:val="000000" w:themeColor="text1"/>
                <w:sz w:val="20"/>
                <w:szCs w:val="20"/>
                <w:lang w:val="ro-RO"/>
              </w:rPr>
              <w:t>obligaţiune</w:t>
            </w:r>
            <w:proofErr w:type="spellEnd"/>
            <w:r w:rsidRPr="00684853">
              <w:rPr>
                <w:rFonts w:ascii="Times New Roman" w:hAnsi="Times New Roman" w:cs="Times New Roman"/>
                <w:bCs/>
                <w:color w:val="000000" w:themeColor="text1"/>
                <w:sz w:val="20"/>
                <w:szCs w:val="20"/>
                <w:lang w:val="ro-RO"/>
              </w:rPr>
              <w:t xml:space="preserve"> garantată, sau orice alt instrument nesubordonat, care a fost emis de o bancă, pentru care banca a primit deja plata completă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trebuie rambursat </w:t>
            </w:r>
            <w:proofErr w:type="spellStart"/>
            <w:r w:rsidRPr="00684853">
              <w:rPr>
                <w:rFonts w:ascii="Times New Roman" w:hAnsi="Times New Roman" w:cs="Times New Roman"/>
                <w:bCs/>
                <w:color w:val="000000" w:themeColor="text1"/>
                <w:sz w:val="20"/>
                <w:szCs w:val="20"/>
                <w:lang w:val="ro-RO"/>
              </w:rPr>
              <w:t>necondiţionat</w:t>
            </w:r>
            <w:proofErr w:type="spellEnd"/>
            <w:r w:rsidRPr="00684853">
              <w:rPr>
                <w:rFonts w:ascii="Times New Roman" w:hAnsi="Times New Roman" w:cs="Times New Roman"/>
                <w:bCs/>
                <w:color w:val="000000" w:themeColor="text1"/>
                <w:sz w:val="20"/>
                <w:szCs w:val="20"/>
                <w:lang w:val="ro-RO"/>
              </w:rPr>
              <w:t xml:space="preserve"> de către bancă la valoarea sa nominală;</w:t>
            </w:r>
          </w:p>
        </w:tc>
        <w:tc>
          <w:tcPr>
            <w:tcW w:w="562" w:type="pct"/>
            <w:tcBorders>
              <w:top w:val="single" w:sz="4" w:space="0" w:color="auto"/>
              <w:left w:val="single" w:sz="4" w:space="0" w:color="auto"/>
              <w:bottom w:val="single" w:sz="4" w:space="0" w:color="auto"/>
              <w:right w:val="single" w:sz="4" w:space="0" w:color="auto"/>
            </w:tcBorders>
          </w:tcPr>
          <w:p w14:paraId="1BAFCDBF" w14:textId="77777777" w:rsidR="00395381" w:rsidRPr="00684853" w:rsidRDefault="00395381" w:rsidP="00B571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4274EC28" w14:textId="6C513361" w:rsidR="00395381" w:rsidRPr="00684853" w:rsidRDefault="00395381" w:rsidP="00E54F1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EUAlbertina-Italic-Identity-H" w:hAnsi="Times New Roman" w:cs="Times New Roman"/>
                <w:b/>
                <w:bCs/>
                <w:iCs/>
                <w:color w:val="000000" w:themeColor="text1"/>
                <w:sz w:val="20"/>
                <w:szCs w:val="20"/>
                <w:lang w:val="ro-RO" w:eastAsia="ru-RU" w:bidi="or-IN"/>
              </w:rPr>
              <w:t xml:space="preserve">nr.112/2018 </w:t>
            </w:r>
            <w:r w:rsidRPr="00684853">
              <w:rPr>
                <w:rFonts w:ascii="Times New Roman" w:hAnsi="Times New Roman" w:cs="Times New Roman"/>
                <w:b/>
                <w:color w:val="000000" w:themeColor="text1"/>
                <w:sz w:val="20"/>
                <w:szCs w:val="20"/>
                <w:lang w:val="ro-RO"/>
              </w:rPr>
              <w:t>cu privire la tehnicile de diminuare a riscului de credit utilizate de bănci,</w:t>
            </w:r>
            <w:r w:rsidRPr="00684853">
              <w:rPr>
                <w:rFonts w:ascii="Times New Roman" w:hAnsi="Times New Roman" w:cs="Times New Roman"/>
                <w:color w:val="000000" w:themeColor="text1"/>
                <w:sz w:val="20"/>
                <w:szCs w:val="20"/>
                <w:lang w:val="ro-RO"/>
              </w:rPr>
              <w:t xml:space="preserve"> prin noțiunea „instrument asimilat mijloacelor bănești”</w:t>
            </w:r>
          </w:p>
        </w:tc>
      </w:tr>
      <w:tr w:rsidR="00EA59FA" w:rsidRPr="00684853" w14:paraId="4AB9AE4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5433E8E0" w14:textId="77777777" w:rsidR="00D607D4" w:rsidRPr="00684853" w:rsidRDefault="00D607D4" w:rsidP="00F6762E">
            <w:pPr>
              <w:pStyle w:val="CM1"/>
              <w:spacing w:before="200" w:after="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lastRenderedPageBreak/>
              <w:t>M17</w:t>
            </w:r>
          </w:p>
          <w:p w14:paraId="175DA961" w14:textId="16B79921" w:rsidR="00D607D4" w:rsidRPr="00684853" w:rsidRDefault="00D607D4" w:rsidP="00D607D4">
            <w:pPr>
              <w:rPr>
                <w:color w:val="000000" w:themeColor="text1"/>
                <w:lang w:val="ro-RO"/>
              </w:rPr>
            </w:pPr>
            <w:r w:rsidRPr="00684853">
              <w:rPr>
                <w:rFonts w:ascii="Times New Roman" w:eastAsia="Times New Roman" w:hAnsi="Times New Roman" w:cs="Times New Roman"/>
                <w:b/>
                <w:bCs/>
                <w:color w:val="000000" w:themeColor="text1"/>
                <w:sz w:val="20"/>
                <w:szCs w:val="20"/>
                <w:lang w:val="ro-RO"/>
              </w:rPr>
              <w:t>60a.</w:t>
            </w:r>
            <w:r w:rsidRPr="00684853">
              <w:rPr>
                <w:rFonts w:ascii="Times New Roman" w:eastAsia="Times New Roman" w:hAnsi="Times New Roman" w:cs="Times New Roman"/>
                <w:color w:val="000000" w:themeColor="text1"/>
                <w:sz w:val="20"/>
                <w:szCs w:val="20"/>
                <w:lang w:val="ro-RO"/>
              </w:rPr>
              <w:tab/>
              <w:t>«aur fizic» înseamnă aur ca produs de bază, inclusiv bare, lingouri și monede de aur, general acceptate în mod normal de piața metalelor prețioase, acolo unde există piețe lichide de metale prețioase, și a căror valoare este determinată de valoarea conținutului de aur, definit de puritate și masă, și nu de interesul numismatic;</w:t>
            </w:r>
          </w:p>
        </w:tc>
        <w:tc>
          <w:tcPr>
            <w:tcW w:w="1636" w:type="pct"/>
          </w:tcPr>
          <w:p w14:paraId="2D4D7C2A" w14:textId="77777777" w:rsidR="00D607D4" w:rsidRDefault="00E4665A" w:rsidP="00B571EB">
            <w:pPr>
              <w:spacing w:after="0" w:line="276" w:lineRule="auto"/>
              <w:jc w:val="both"/>
              <w:rPr>
                <w:rFonts w:ascii="Times New Roman" w:eastAsia="Times New Roman" w:hAnsi="Times New Roman" w:cs="Times New Roman"/>
                <w:color w:val="000000" w:themeColor="text1"/>
                <w:sz w:val="20"/>
                <w:szCs w:val="20"/>
                <w:lang w:val="ro-RO" w:eastAsia="ro-MD"/>
              </w:rPr>
            </w:pPr>
            <w:r w:rsidRPr="00E4665A">
              <w:rPr>
                <w:rFonts w:ascii="Times New Roman" w:eastAsia="Times New Roman" w:hAnsi="Times New Roman" w:cs="Times New Roman"/>
                <w:b/>
                <w:bCs/>
                <w:color w:val="000000" w:themeColor="text1"/>
                <w:sz w:val="20"/>
                <w:szCs w:val="20"/>
                <w:lang w:val="ro-RO" w:eastAsia="ro-MD"/>
              </w:rPr>
              <w:t>aur fizic</w:t>
            </w:r>
            <w:r w:rsidRPr="00E4665A">
              <w:rPr>
                <w:rFonts w:ascii="Times New Roman" w:eastAsia="Times New Roman" w:hAnsi="Times New Roman" w:cs="Times New Roman"/>
                <w:i/>
                <w:iCs/>
                <w:color w:val="000000" w:themeColor="text1"/>
                <w:sz w:val="20"/>
                <w:szCs w:val="20"/>
                <w:lang w:val="ro-RO" w:eastAsia="ro-MD"/>
              </w:rPr>
              <w:t xml:space="preserve"> - </w:t>
            </w:r>
            <w:r w:rsidRPr="00E4665A">
              <w:rPr>
                <w:rFonts w:ascii="Times New Roman" w:eastAsia="Times New Roman" w:hAnsi="Times New Roman" w:cs="Times New Roman"/>
                <w:color w:val="000000" w:themeColor="text1"/>
                <w:sz w:val="20"/>
                <w:szCs w:val="20"/>
                <w:lang w:val="ro-RO" w:eastAsia="ro-MD"/>
              </w:rPr>
              <w:t>aur ca produs de bază, inclusiv bare, lingouri și monede de aur, general acceptate în mod normal de piața metalelor prețioase, acolo unde există piețe lichide de metale prețioase, și a căror valoare este determinată de valoarea conținutului de aur, definit de puritate și masă, și nu de interesul numismatic;</w:t>
            </w:r>
          </w:p>
          <w:p w14:paraId="10A134C6" w14:textId="77777777" w:rsidR="00E4665A" w:rsidRDefault="00E4665A" w:rsidP="00E4665A">
            <w:pPr>
              <w:spacing w:before="120" w:after="0" w:line="240" w:lineRule="auto"/>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p w14:paraId="7F37A289" w14:textId="37CBFF65" w:rsidR="00E4665A" w:rsidRPr="00E4665A" w:rsidRDefault="00E4665A" w:rsidP="00B571EB">
            <w:pPr>
              <w:spacing w:after="0" w:line="276" w:lineRule="auto"/>
              <w:jc w:val="both"/>
              <w:rPr>
                <w:rFonts w:ascii="Times New Roman" w:hAnsi="Times New Roman" w:cs="Times New Roman"/>
                <w:b/>
                <w:color w:val="000000" w:themeColor="text1"/>
                <w:sz w:val="20"/>
                <w:szCs w:val="20"/>
              </w:rPr>
            </w:pPr>
          </w:p>
        </w:tc>
        <w:tc>
          <w:tcPr>
            <w:tcW w:w="562" w:type="pct"/>
            <w:tcBorders>
              <w:top w:val="single" w:sz="4" w:space="0" w:color="auto"/>
              <w:left w:val="single" w:sz="4" w:space="0" w:color="auto"/>
              <w:bottom w:val="single" w:sz="4" w:space="0" w:color="auto"/>
              <w:right w:val="single" w:sz="4" w:space="0" w:color="auto"/>
            </w:tcBorders>
          </w:tcPr>
          <w:p w14:paraId="146359BC" w14:textId="4127CB50" w:rsidR="00D607D4" w:rsidRPr="00684853" w:rsidRDefault="00E4665A" w:rsidP="00B571EB">
            <w:pPr>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42762D6E" w14:textId="2EAFA45D" w:rsidR="00D607D4" w:rsidRPr="00684853" w:rsidRDefault="00D607D4" w:rsidP="00E54F1A">
            <w:pPr>
              <w:jc w:val="both"/>
              <w:rPr>
                <w:rFonts w:ascii="Times New Roman" w:hAnsi="Times New Roman" w:cs="Times New Roman"/>
                <w:color w:val="000000" w:themeColor="text1"/>
                <w:sz w:val="20"/>
                <w:szCs w:val="20"/>
                <w:lang w:val="ro-RO"/>
              </w:rPr>
            </w:pPr>
          </w:p>
        </w:tc>
      </w:tr>
      <w:tr w:rsidR="00EA59FA" w:rsidRPr="00684853" w14:paraId="46C929E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6AEA306" w14:textId="77777777" w:rsidR="00E36065" w:rsidRPr="00684853" w:rsidRDefault="00E36065" w:rsidP="00EF007A">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M5</w:t>
            </w:r>
          </w:p>
          <w:p w14:paraId="4C9F0366" w14:textId="7E881C32" w:rsidR="00395381" w:rsidRPr="00684853" w:rsidRDefault="00395381" w:rsidP="00EF007A">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61. </w:t>
            </w:r>
            <w:r w:rsidRPr="00684853">
              <w:rPr>
                <w:rFonts w:ascii="Times New Roman" w:hAnsi="Times New Roman"/>
                <w:color w:val="000000" w:themeColor="text1"/>
                <w:sz w:val="20"/>
                <w:szCs w:val="20"/>
                <w:lang w:val="ro-RO"/>
              </w:rPr>
              <w:t xml:space="preserve">„securitizare” înseamnă o </w:t>
            </w:r>
            <w:r w:rsidR="00EF007A" w:rsidRPr="00684853">
              <w:rPr>
                <w:rFonts w:ascii="Times New Roman" w:hAnsi="Times New Roman"/>
                <w:color w:val="000000" w:themeColor="text1"/>
                <w:sz w:val="20"/>
                <w:szCs w:val="20"/>
                <w:lang w:val="ro-RO"/>
              </w:rPr>
              <w:t>securitizare astfel cum este definită la articolul 2 punctul 1 din Regulamentul (UE) 2017/2402</w:t>
            </w:r>
            <w:r w:rsidRPr="00684853">
              <w:rPr>
                <w:rFonts w:ascii="Times New Roman" w:hAnsi="Times New Roman"/>
                <w:color w:val="000000" w:themeColor="text1"/>
                <w:sz w:val="20"/>
                <w:szCs w:val="20"/>
                <w:lang w:val="ro-RO"/>
              </w:rPr>
              <w:t>;</w:t>
            </w:r>
          </w:p>
        </w:tc>
        <w:tc>
          <w:tcPr>
            <w:tcW w:w="1636" w:type="pct"/>
          </w:tcPr>
          <w:p w14:paraId="4CF290CF" w14:textId="77777777" w:rsidR="00853619" w:rsidRPr="00684853" w:rsidRDefault="00853619" w:rsidP="00853619">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securitizare – </w:t>
            </w:r>
            <w:r w:rsidRPr="00684853">
              <w:rPr>
                <w:rFonts w:ascii="Times New Roman" w:hAnsi="Times New Roman" w:cs="Times New Roman"/>
                <w:bCs/>
                <w:color w:val="000000" w:themeColor="text1"/>
                <w:sz w:val="20"/>
                <w:szCs w:val="20"/>
                <w:lang w:val="ro-RO"/>
              </w:rPr>
              <w:t xml:space="preserve">o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sau o schemă prin care riscul de credit asociat unei expuneri sau unui portofoliu de expuneri este segmentat pe </w:t>
            </w:r>
            <w:proofErr w:type="spellStart"/>
            <w:r w:rsidRPr="00684853">
              <w:rPr>
                <w:rFonts w:ascii="Times New Roman" w:hAnsi="Times New Roman" w:cs="Times New Roman"/>
                <w:bCs/>
                <w:color w:val="000000" w:themeColor="text1"/>
                <w:sz w:val="20"/>
                <w:szCs w:val="20"/>
                <w:lang w:val="ro-RO"/>
              </w:rPr>
              <w:t>tranşe</w:t>
            </w:r>
            <w:proofErr w:type="spellEnd"/>
            <w:r w:rsidRPr="00684853">
              <w:rPr>
                <w:rFonts w:ascii="Times New Roman" w:hAnsi="Times New Roman" w:cs="Times New Roman"/>
                <w:bCs/>
                <w:color w:val="000000" w:themeColor="text1"/>
                <w:sz w:val="20"/>
                <w:szCs w:val="20"/>
                <w:lang w:val="ro-RO"/>
              </w:rPr>
              <w:t>, având următoarele caracteristici:</w:t>
            </w:r>
          </w:p>
          <w:p w14:paraId="10AA20A8" w14:textId="77777777" w:rsidR="00853619" w:rsidRPr="00684853" w:rsidRDefault="00853619" w:rsidP="00853619">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w:t>
            </w:r>
            <w:proofErr w:type="spellStart"/>
            <w:r w:rsidRPr="00684853">
              <w:rPr>
                <w:rFonts w:ascii="Times New Roman" w:hAnsi="Times New Roman" w:cs="Times New Roman"/>
                <w:bCs/>
                <w:color w:val="000000" w:themeColor="text1"/>
                <w:sz w:val="20"/>
                <w:szCs w:val="20"/>
                <w:lang w:val="ro-RO"/>
              </w:rPr>
              <w:t>Plăţile</w:t>
            </w:r>
            <w:proofErr w:type="spellEnd"/>
            <w:r w:rsidRPr="00684853">
              <w:rPr>
                <w:rFonts w:ascii="Times New Roman" w:hAnsi="Times New Roman" w:cs="Times New Roman"/>
                <w:bCs/>
                <w:color w:val="000000" w:themeColor="text1"/>
                <w:sz w:val="20"/>
                <w:szCs w:val="20"/>
                <w:lang w:val="ro-RO"/>
              </w:rPr>
              <w:t xml:space="preserve"> în cadrul </w:t>
            </w:r>
            <w:proofErr w:type="spellStart"/>
            <w:r w:rsidRPr="00684853">
              <w:rPr>
                <w:rFonts w:ascii="Times New Roman" w:hAnsi="Times New Roman" w:cs="Times New Roman"/>
                <w:bCs/>
                <w:color w:val="000000" w:themeColor="text1"/>
                <w:sz w:val="20"/>
                <w:szCs w:val="20"/>
                <w:lang w:val="ro-RO"/>
              </w:rPr>
              <w:t>tranzacţiei</w:t>
            </w:r>
            <w:proofErr w:type="spellEnd"/>
            <w:r w:rsidRPr="00684853">
              <w:rPr>
                <w:rFonts w:ascii="Times New Roman" w:hAnsi="Times New Roman" w:cs="Times New Roman"/>
                <w:bCs/>
                <w:color w:val="000000" w:themeColor="text1"/>
                <w:sz w:val="20"/>
                <w:szCs w:val="20"/>
                <w:lang w:val="ro-RO"/>
              </w:rPr>
              <w:t xml:space="preserve"> sau schemei sunt dependente de </w:t>
            </w:r>
            <w:proofErr w:type="spellStart"/>
            <w:r w:rsidRPr="00684853">
              <w:rPr>
                <w:rFonts w:ascii="Times New Roman" w:hAnsi="Times New Roman" w:cs="Times New Roman"/>
                <w:bCs/>
                <w:color w:val="000000" w:themeColor="text1"/>
                <w:sz w:val="20"/>
                <w:szCs w:val="20"/>
                <w:lang w:val="ro-RO"/>
              </w:rPr>
              <w:t>performanţa</w:t>
            </w:r>
            <w:proofErr w:type="spellEnd"/>
            <w:r w:rsidRPr="00684853">
              <w:rPr>
                <w:rFonts w:ascii="Times New Roman" w:hAnsi="Times New Roman" w:cs="Times New Roman"/>
                <w:bCs/>
                <w:color w:val="000000" w:themeColor="text1"/>
                <w:sz w:val="20"/>
                <w:szCs w:val="20"/>
                <w:lang w:val="ro-RO"/>
              </w:rPr>
              <w:t xml:space="preserve"> expunerii sau a portofoliului de expuneri;</w:t>
            </w:r>
          </w:p>
          <w:p w14:paraId="0B523B65" w14:textId="69B37D22" w:rsidR="00395381" w:rsidRPr="00684853" w:rsidRDefault="00853619" w:rsidP="0085361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Subordonarea </w:t>
            </w:r>
            <w:proofErr w:type="spellStart"/>
            <w:r w:rsidRPr="00684853">
              <w:rPr>
                <w:rFonts w:ascii="Times New Roman" w:hAnsi="Times New Roman" w:cs="Times New Roman"/>
                <w:bCs/>
                <w:color w:val="000000" w:themeColor="text1"/>
                <w:sz w:val="20"/>
                <w:szCs w:val="20"/>
                <w:lang w:val="ro-RO"/>
              </w:rPr>
              <w:t>tranşelor</w:t>
            </w:r>
            <w:proofErr w:type="spellEnd"/>
            <w:r w:rsidRPr="00684853">
              <w:rPr>
                <w:rFonts w:ascii="Times New Roman" w:hAnsi="Times New Roman" w:cs="Times New Roman"/>
                <w:bCs/>
                <w:color w:val="000000" w:themeColor="text1"/>
                <w:sz w:val="20"/>
                <w:szCs w:val="20"/>
                <w:lang w:val="ro-RO"/>
              </w:rPr>
              <w:t xml:space="preserve"> determină modul de distribuire a pierderilor pe parcursul duratei de </w:t>
            </w:r>
            <w:proofErr w:type="spellStart"/>
            <w:r w:rsidRPr="00684853">
              <w:rPr>
                <w:rFonts w:ascii="Times New Roman" w:hAnsi="Times New Roman" w:cs="Times New Roman"/>
                <w:bCs/>
                <w:color w:val="000000" w:themeColor="text1"/>
                <w:sz w:val="20"/>
                <w:szCs w:val="20"/>
                <w:lang w:val="ro-RO"/>
              </w:rPr>
              <w:t>viaţă</w:t>
            </w:r>
            <w:proofErr w:type="spellEnd"/>
            <w:r w:rsidRPr="00684853">
              <w:rPr>
                <w:rFonts w:ascii="Times New Roman" w:hAnsi="Times New Roman" w:cs="Times New Roman"/>
                <w:bCs/>
                <w:color w:val="000000" w:themeColor="text1"/>
                <w:sz w:val="20"/>
                <w:szCs w:val="20"/>
                <w:lang w:val="ro-RO"/>
              </w:rPr>
              <w:t xml:space="preserve"> a </w:t>
            </w:r>
            <w:proofErr w:type="spellStart"/>
            <w:r w:rsidRPr="00684853">
              <w:rPr>
                <w:rFonts w:ascii="Times New Roman" w:hAnsi="Times New Roman" w:cs="Times New Roman"/>
                <w:bCs/>
                <w:color w:val="000000" w:themeColor="text1"/>
                <w:sz w:val="20"/>
                <w:szCs w:val="20"/>
                <w:lang w:val="ro-RO"/>
              </w:rPr>
              <w:t>tranzacţiei</w:t>
            </w:r>
            <w:proofErr w:type="spellEnd"/>
            <w:r w:rsidRPr="00684853">
              <w:rPr>
                <w:rFonts w:ascii="Times New Roman" w:hAnsi="Times New Roman" w:cs="Times New Roman"/>
                <w:bCs/>
                <w:color w:val="000000" w:themeColor="text1"/>
                <w:sz w:val="20"/>
                <w:szCs w:val="20"/>
                <w:lang w:val="ro-RO"/>
              </w:rPr>
              <w:t xml:space="preserve"> sau a schemei;</w:t>
            </w:r>
          </w:p>
        </w:tc>
        <w:tc>
          <w:tcPr>
            <w:tcW w:w="562" w:type="pct"/>
          </w:tcPr>
          <w:p w14:paraId="6CBD5546" w14:textId="7F651E85" w:rsidR="00395381" w:rsidRPr="00684853" w:rsidRDefault="005942C0"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885" w:type="pct"/>
          </w:tcPr>
          <w:p w14:paraId="01B88935" w14:textId="07491A4F" w:rsidR="005942C0" w:rsidRPr="00684853" w:rsidRDefault="00395381" w:rsidP="00A53416">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„securitizare”</w:t>
            </w:r>
            <w:r w:rsidRPr="00684853">
              <w:rPr>
                <w:rFonts w:ascii="Times New Roman" w:hAnsi="Times New Roman" w:cs="Times New Roman"/>
                <w:b/>
                <w:color w:val="000000" w:themeColor="text1"/>
                <w:sz w:val="20"/>
                <w:szCs w:val="20"/>
                <w:lang w:val="ro-RO"/>
              </w:rPr>
              <w:t>.</w:t>
            </w:r>
          </w:p>
        </w:tc>
      </w:tr>
      <w:tr w:rsidR="00EA59FA" w:rsidRPr="00684853" w14:paraId="1C60932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E596A52" w14:textId="7FD8F9E5" w:rsidR="00395381" w:rsidRPr="00684853" w:rsidRDefault="00395381" w:rsidP="00C95C61">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62. </w:t>
            </w:r>
            <w:r w:rsidRPr="00684853">
              <w:rPr>
                <w:rFonts w:ascii="Times New Roman" w:hAnsi="Times New Roman"/>
                <w:color w:val="000000" w:themeColor="text1"/>
                <w:sz w:val="20"/>
                <w:szCs w:val="20"/>
                <w:lang w:val="ro-RO"/>
              </w:rPr>
              <w:t>„poziție din securitizare”</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o </w:t>
            </w:r>
            <w:r w:rsidR="00257CFD" w:rsidRPr="00684853">
              <w:rPr>
                <w:rFonts w:ascii="Times New Roman" w:hAnsi="Times New Roman"/>
                <w:color w:val="000000" w:themeColor="text1"/>
                <w:sz w:val="20"/>
                <w:szCs w:val="20"/>
                <w:lang w:val="ro-RO"/>
              </w:rPr>
              <w:t>înseamnă o poziție din securitizare astfel cum este definită la articolul 2 punctul 19 din Regulamentul (UE) 2017/2402</w:t>
            </w:r>
            <w:r w:rsidRPr="00684853">
              <w:rPr>
                <w:rFonts w:ascii="Times New Roman" w:hAnsi="Times New Roman"/>
                <w:color w:val="000000" w:themeColor="text1"/>
                <w:sz w:val="20"/>
                <w:szCs w:val="20"/>
                <w:lang w:val="ro-RO"/>
              </w:rPr>
              <w:t>;</w:t>
            </w:r>
          </w:p>
        </w:tc>
        <w:tc>
          <w:tcPr>
            <w:tcW w:w="1636" w:type="pct"/>
          </w:tcPr>
          <w:p w14:paraId="375098BE" w14:textId="38F36EE1" w:rsidR="00395381" w:rsidRPr="00684853" w:rsidRDefault="00AC5CF3" w:rsidP="00C95C61">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poziţie</w:t>
            </w:r>
            <w:proofErr w:type="spellEnd"/>
            <w:r w:rsidRPr="00684853">
              <w:rPr>
                <w:rFonts w:ascii="Times New Roman" w:hAnsi="Times New Roman" w:cs="Times New Roman"/>
                <w:b/>
                <w:color w:val="000000" w:themeColor="text1"/>
                <w:sz w:val="20"/>
                <w:szCs w:val="20"/>
                <w:lang w:val="ro-RO"/>
              </w:rPr>
              <w:t xml:space="preserve"> din securitizare </w:t>
            </w:r>
            <w:r w:rsidRPr="00684853">
              <w:rPr>
                <w:rFonts w:ascii="Times New Roman" w:hAnsi="Times New Roman" w:cs="Times New Roman"/>
                <w:bCs/>
                <w:color w:val="000000" w:themeColor="text1"/>
                <w:sz w:val="20"/>
                <w:szCs w:val="20"/>
                <w:lang w:val="ro-RO"/>
              </w:rPr>
              <w:t xml:space="preserve">– o expunere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o securitizare;</w:t>
            </w:r>
          </w:p>
        </w:tc>
        <w:tc>
          <w:tcPr>
            <w:tcW w:w="562" w:type="pct"/>
          </w:tcPr>
          <w:p w14:paraId="2A007968"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6F3E5016" w14:textId="23899432" w:rsidR="00395381" w:rsidRPr="00684853" w:rsidRDefault="00395381" w:rsidP="00C95C61">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„poziție din securitizare”</w:t>
            </w:r>
            <w:r w:rsidRPr="00684853">
              <w:rPr>
                <w:rFonts w:ascii="Times New Roman" w:hAnsi="Times New Roman" w:cs="Times New Roman"/>
                <w:b/>
                <w:color w:val="000000" w:themeColor="text1"/>
                <w:sz w:val="20"/>
                <w:szCs w:val="20"/>
                <w:lang w:val="ro-RO"/>
              </w:rPr>
              <w:t>.</w:t>
            </w:r>
          </w:p>
        </w:tc>
      </w:tr>
      <w:tr w:rsidR="00EA59FA" w:rsidRPr="00684853" w14:paraId="1AC2F37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FF9EA67" w14:textId="41F7B130"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63. </w:t>
            </w:r>
            <w:r w:rsidRPr="00684853">
              <w:rPr>
                <w:rFonts w:ascii="Times New Roman" w:eastAsia="Calibri" w:hAnsi="Times New Roman"/>
                <w:color w:val="000000" w:themeColor="text1"/>
                <w:sz w:val="20"/>
                <w:szCs w:val="20"/>
                <w:lang w:val="ro-RO"/>
              </w:rPr>
              <w:t>„</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 xml:space="preserve">” înseamnă o </w:t>
            </w:r>
            <w:proofErr w:type="spellStart"/>
            <w:r w:rsidR="005E1044" w:rsidRPr="00684853">
              <w:rPr>
                <w:rFonts w:ascii="Times New Roman" w:eastAsia="Calibri" w:hAnsi="Times New Roman"/>
                <w:color w:val="000000" w:themeColor="text1"/>
                <w:sz w:val="20"/>
                <w:szCs w:val="20"/>
                <w:lang w:val="ro-RO"/>
              </w:rPr>
              <w:t>re</w:t>
            </w:r>
            <w:r w:rsidRPr="00684853">
              <w:rPr>
                <w:rFonts w:ascii="Times New Roman" w:eastAsia="Calibri" w:hAnsi="Times New Roman"/>
                <w:color w:val="000000" w:themeColor="text1"/>
                <w:sz w:val="20"/>
                <w:szCs w:val="20"/>
                <w:lang w:val="ro-RO"/>
              </w:rPr>
              <w:t>securitizare</w:t>
            </w:r>
            <w:proofErr w:type="spellEnd"/>
            <w:r w:rsidR="005E1044" w:rsidRPr="00684853">
              <w:rPr>
                <w:rFonts w:ascii="Times New Roman" w:eastAsia="Calibri" w:hAnsi="Times New Roman"/>
                <w:color w:val="000000" w:themeColor="text1"/>
                <w:sz w:val="20"/>
                <w:szCs w:val="20"/>
                <w:lang w:val="ro-RO"/>
              </w:rPr>
              <w:t xml:space="preserve"> astfel cum</w:t>
            </w:r>
            <w:r w:rsidR="005E1044" w:rsidRPr="00684853">
              <w:rPr>
                <w:color w:val="000000" w:themeColor="text1"/>
                <w:lang w:val="ro-RO"/>
              </w:rPr>
              <w:t xml:space="preserve"> </w:t>
            </w:r>
            <w:r w:rsidR="005E1044" w:rsidRPr="00684853">
              <w:rPr>
                <w:rFonts w:ascii="Times New Roman" w:eastAsia="Calibri" w:hAnsi="Times New Roman"/>
                <w:color w:val="000000" w:themeColor="text1"/>
                <w:sz w:val="20"/>
                <w:szCs w:val="20"/>
                <w:lang w:val="ro-RO"/>
              </w:rPr>
              <w:t>este definită la articolul 2 punctul 4 din Regulamentul (UE) 2017/2402</w:t>
            </w:r>
            <w:r w:rsidRPr="00684853">
              <w:rPr>
                <w:rFonts w:ascii="Times New Roman" w:eastAsia="Calibri" w:hAnsi="Times New Roman"/>
                <w:color w:val="000000" w:themeColor="text1"/>
                <w:sz w:val="20"/>
                <w:szCs w:val="20"/>
                <w:lang w:val="ro-RO"/>
              </w:rPr>
              <w:t>;</w:t>
            </w:r>
          </w:p>
        </w:tc>
        <w:tc>
          <w:tcPr>
            <w:tcW w:w="1636" w:type="pct"/>
          </w:tcPr>
          <w:p w14:paraId="71A243D6"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62" w:type="pct"/>
          </w:tcPr>
          <w:p w14:paraId="79116173" w14:textId="565566F6" w:rsidR="00395381" w:rsidRPr="00684853" w:rsidRDefault="005E1044"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2AD46A98" w14:textId="5901441B"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 xml:space="preserve">Regulamentul cu privire la </w:t>
            </w:r>
            <w:r w:rsidRPr="00684853">
              <w:rPr>
                <w:rFonts w:ascii="Times New Roman" w:hAnsi="Times New Roman" w:cs="Times New Roman"/>
                <w:b/>
                <w:color w:val="000000" w:themeColor="text1"/>
                <w:sz w:val="20"/>
                <w:szCs w:val="20"/>
                <w:lang w:val="ro-RO"/>
              </w:rPr>
              <w:lastRenderedPageBreak/>
              <w:t>riscul de credit aferent securitizării.</w:t>
            </w:r>
          </w:p>
        </w:tc>
      </w:tr>
      <w:tr w:rsidR="00EA59FA" w:rsidRPr="00684853" w14:paraId="1C00361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402D9F9"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64. </w:t>
            </w:r>
            <w:r w:rsidRPr="00684853">
              <w:rPr>
                <w:rFonts w:ascii="Times New Roman" w:eastAsia="Calibri" w:hAnsi="Times New Roman"/>
                <w:color w:val="000000" w:themeColor="text1"/>
                <w:sz w:val="20"/>
                <w:szCs w:val="20"/>
                <w:lang w:val="ro-RO"/>
              </w:rPr>
              <w:t xml:space="preserve">„poziție din </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 xml:space="preserve">” înseamnă o expunere față de o </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w:t>
            </w:r>
          </w:p>
        </w:tc>
        <w:tc>
          <w:tcPr>
            <w:tcW w:w="1636" w:type="pct"/>
          </w:tcPr>
          <w:p w14:paraId="3C70F2B5"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62" w:type="pct"/>
          </w:tcPr>
          <w:p w14:paraId="541BEE02" w14:textId="255BD41E" w:rsidR="00395381" w:rsidRPr="00684853" w:rsidRDefault="005E1044"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E869DEA" w14:textId="031C9D14"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riscul de credit aferent securitizării.</w:t>
            </w:r>
          </w:p>
        </w:tc>
      </w:tr>
      <w:tr w:rsidR="00EA59FA" w:rsidRPr="00684853" w14:paraId="372B676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F279CB8"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65. </w:t>
            </w:r>
            <w:r w:rsidRPr="00684853">
              <w:rPr>
                <w:rFonts w:ascii="Times New Roman" w:eastAsia="Calibri" w:hAnsi="Times New Roman"/>
                <w:color w:val="000000" w:themeColor="text1"/>
                <w:sz w:val="20"/>
                <w:szCs w:val="20"/>
                <w:lang w:val="ro-RO"/>
              </w:rPr>
              <w:t>„îmbunătățire a calității creditului” înseamnă un aranjament contractual prin care calitatea creditului aferentă unei poziții dintr-o securitizare se ameliorează față de cum ar fi fost aceasta dacă nu s-ar fi oferit îmbunătățirea, și care include îmbunătățirea furnizată de tranșele de rang inferior din securitizare sau de alte tipuri de protecție a creditului;</w:t>
            </w:r>
          </w:p>
        </w:tc>
        <w:tc>
          <w:tcPr>
            <w:tcW w:w="1636" w:type="pct"/>
          </w:tcPr>
          <w:p w14:paraId="3DB4178F"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62" w:type="pct"/>
          </w:tcPr>
          <w:p w14:paraId="40F8A530" w14:textId="4EE55A30" w:rsidR="00395381" w:rsidRPr="00684853" w:rsidRDefault="005E1044"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1DE5ECEB" w14:textId="79B76D8A"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riscul de credit aferent securitizării.</w:t>
            </w:r>
          </w:p>
        </w:tc>
      </w:tr>
      <w:tr w:rsidR="00EA59FA" w:rsidRPr="00684853" w14:paraId="1578E2B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0792F64" w14:textId="2D4B8E1D" w:rsidR="00E36065" w:rsidRPr="00684853" w:rsidRDefault="00E36065"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M5</w:t>
            </w:r>
          </w:p>
          <w:p w14:paraId="172B5F05" w14:textId="38F1D4B0"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66. </w:t>
            </w:r>
            <w:r w:rsidRPr="00684853">
              <w:rPr>
                <w:rFonts w:ascii="Times New Roman" w:eastAsia="Calibri" w:hAnsi="Times New Roman"/>
                <w:color w:val="000000" w:themeColor="text1"/>
                <w:sz w:val="20"/>
                <w:szCs w:val="20"/>
                <w:lang w:val="ro-RO"/>
              </w:rPr>
              <w:t xml:space="preserve">„entitate special constituită în scopul securitizării” sau „SSPE” înseamnă </w:t>
            </w:r>
            <w:r w:rsidR="005E1044" w:rsidRPr="00684853">
              <w:rPr>
                <w:rFonts w:ascii="Times New Roman" w:eastAsia="Calibri" w:hAnsi="Times New Roman"/>
                <w:color w:val="000000" w:themeColor="text1"/>
                <w:sz w:val="20"/>
                <w:szCs w:val="20"/>
                <w:lang w:val="ro-RO"/>
              </w:rPr>
              <w:t>o special constituită în scopul securitizării sau o  sau SSPE</w:t>
            </w:r>
            <w:r w:rsidR="005E1044" w:rsidRPr="00684853">
              <w:rPr>
                <w:color w:val="000000" w:themeColor="text1"/>
                <w:lang w:val="ro-RO"/>
              </w:rPr>
              <w:t xml:space="preserve"> </w:t>
            </w:r>
            <w:proofErr w:type="spellStart"/>
            <w:r w:rsidR="005E1044" w:rsidRPr="00684853">
              <w:rPr>
                <w:rFonts w:ascii="Times New Roman" w:eastAsia="Calibri" w:hAnsi="Times New Roman"/>
                <w:color w:val="000000" w:themeColor="text1"/>
                <w:sz w:val="20"/>
                <w:szCs w:val="20"/>
                <w:lang w:val="ro-RO"/>
              </w:rPr>
              <w:t>stfel</w:t>
            </w:r>
            <w:proofErr w:type="spellEnd"/>
            <w:r w:rsidR="005E1044" w:rsidRPr="00684853">
              <w:rPr>
                <w:rFonts w:ascii="Times New Roman" w:eastAsia="Calibri" w:hAnsi="Times New Roman"/>
                <w:color w:val="000000" w:themeColor="text1"/>
                <w:sz w:val="20"/>
                <w:szCs w:val="20"/>
                <w:lang w:val="ro-RO"/>
              </w:rPr>
              <w:t xml:space="preserve"> cum este definită la articolul 2 punctul 2 din Regulamentul (UE) 2017/2402</w:t>
            </w:r>
            <w:r w:rsidRPr="00684853">
              <w:rPr>
                <w:rFonts w:ascii="Times New Roman" w:eastAsia="Calibri" w:hAnsi="Times New Roman"/>
                <w:color w:val="000000" w:themeColor="text1"/>
                <w:sz w:val="20"/>
                <w:szCs w:val="20"/>
                <w:lang w:val="ro-RO"/>
              </w:rPr>
              <w:t>;</w:t>
            </w:r>
          </w:p>
        </w:tc>
        <w:tc>
          <w:tcPr>
            <w:tcW w:w="1636" w:type="pct"/>
          </w:tcPr>
          <w:p w14:paraId="75E912E9"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62" w:type="pct"/>
          </w:tcPr>
          <w:p w14:paraId="09877B85" w14:textId="1EA87575" w:rsidR="00395381" w:rsidRPr="00684853" w:rsidRDefault="005B7D99"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2D9A4EFF" w14:textId="42BC219D"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
                <w:color w:val="000000" w:themeColor="text1"/>
                <w:sz w:val="20"/>
                <w:szCs w:val="20"/>
                <w:lang w:val="ro-RO"/>
              </w:rPr>
              <w:t>Regulamentul cu privire la riscul de credit aferent securitizării.</w:t>
            </w:r>
          </w:p>
        </w:tc>
      </w:tr>
      <w:tr w:rsidR="00EA59FA" w:rsidRPr="00684853" w14:paraId="401B422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99DC092" w14:textId="34108E6A" w:rsidR="00395381" w:rsidRPr="00684853" w:rsidRDefault="00395381" w:rsidP="00C95C61">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67. </w:t>
            </w:r>
            <w:r w:rsidRPr="00684853">
              <w:rPr>
                <w:rFonts w:ascii="Times New Roman" w:hAnsi="Times New Roman"/>
                <w:color w:val="000000" w:themeColor="text1"/>
                <w:sz w:val="20"/>
                <w:szCs w:val="20"/>
                <w:lang w:val="ro-RO"/>
              </w:rPr>
              <w:t>„tranșă”</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w:t>
            </w:r>
            <w:r w:rsidR="005B7D99" w:rsidRPr="00684853">
              <w:rPr>
                <w:rFonts w:ascii="Times New Roman" w:hAnsi="Times New Roman"/>
                <w:color w:val="000000" w:themeColor="text1"/>
                <w:sz w:val="20"/>
                <w:szCs w:val="20"/>
                <w:lang w:val="ro-RO"/>
              </w:rPr>
              <w:t>o tranșă astfel cum este definită la articolul 2 punctul 6 din Regulamentul (UE) 2017/2402</w:t>
            </w:r>
            <w:r w:rsidRPr="00684853">
              <w:rPr>
                <w:rFonts w:ascii="Times New Roman" w:hAnsi="Times New Roman"/>
                <w:color w:val="000000" w:themeColor="text1"/>
                <w:sz w:val="20"/>
                <w:szCs w:val="20"/>
                <w:lang w:val="ro-RO"/>
              </w:rPr>
              <w:t>;</w:t>
            </w:r>
          </w:p>
        </w:tc>
        <w:tc>
          <w:tcPr>
            <w:tcW w:w="1636" w:type="pct"/>
          </w:tcPr>
          <w:p w14:paraId="13F18F30" w14:textId="306E75EC" w:rsidR="00395381" w:rsidRPr="00684853" w:rsidRDefault="005B7D99" w:rsidP="00C95C61">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tranşă</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 sensul securitizării, un segment de risc de credit, stabilit contractual, asociat unei expuneri sau unui număr de expuneri, în care o </w:t>
            </w:r>
            <w:proofErr w:type="spellStart"/>
            <w:r w:rsidRPr="00684853">
              <w:rPr>
                <w:rFonts w:ascii="Times New Roman" w:hAnsi="Times New Roman" w:cs="Times New Roman"/>
                <w:bCs/>
                <w:color w:val="000000" w:themeColor="text1"/>
                <w:sz w:val="20"/>
                <w:szCs w:val="20"/>
                <w:lang w:val="ro-RO"/>
              </w:rPr>
              <w:t>poziţie</w:t>
            </w:r>
            <w:proofErr w:type="spellEnd"/>
            <w:r w:rsidRPr="00684853">
              <w:rPr>
                <w:rFonts w:ascii="Times New Roman" w:hAnsi="Times New Roman" w:cs="Times New Roman"/>
                <w:bCs/>
                <w:color w:val="000000" w:themeColor="text1"/>
                <w:sz w:val="20"/>
                <w:szCs w:val="20"/>
                <w:lang w:val="ro-RO"/>
              </w:rPr>
              <w:t xml:space="preserve"> din segment implică un risc de pierdere din credit mai mare sau mai mic decât o </w:t>
            </w:r>
            <w:proofErr w:type="spellStart"/>
            <w:r w:rsidRPr="00684853">
              <w:rPr>
                <w:rFonts w:ascii="Times New Roman" w:hAnsi="Times New Roman" w:cs="Times New Roman"/>
                <w:bCs/>
                <w:color w:val="000000" w:themeColor="text1"/>
                <w:sz w:val="20"/>
                <w:szCs w:val="20"/>
                <w:lang w:val="ro-RO"/>
              </w:rPr>
              <w:t>poziţie</w:t>
            </w:r>
            <w:proofErr w:type="spellEnd"/>
            <w:r w:rsidRPr="00684853">
              <w:rPr>
                <w:rFonts w:ascii="Times New Roman" w:hAnsi="Times New Roman" w:cs="Times New Roman"/>
                <w:bCs/>
                <w:color w:val="000000" w:themeColor="text1"/>
                <w:sz w:val="20"/>
                <w:szCs w:val="20"/>
                <w:lang w:val="ro-RO"/>
              </w:rPr>
              <w:t xml:space="preserve"> în cuantum egal din orice alt asemenea segment, fără a se </w:t>
            </w:r>
            <w:proofErr w:type="spellStart"/>
            <w:r w:rsidRPr="00684853">
              <w:rPr>
                <w:rFonts w:ascii="Times New Roman" w:hAnsi="Times New Roman" w:cs="Times New Roman"/>
                <w:bCs/>
                <w:color w:val="000000" w:themeColor="text1"/>
                <w:sz w:val="20"/>
                <w:szCs w:val="20"/>
                <w:lang w:val="ro-RO"/>
              </w:rPr>
              <w:t>ţine</w:t>
            </w:r>
            <w:proofErr w:type="spellEnd"/>
            <w:r w:rsidRPr="00684853">
              <w:rPr>
                <w:rFonts w:ascii="Times New Roman" w:hAnsi="Times New Roman" w:cs="Times New Roman"/>
                <w:bCs/>
                <w:color w:val="000000" w:themeColor="text1"/>
                <w:sz w:val="20"/>
                <w:szCs w:val="20"/>
                <w:lang w:val="ro-RO"/>
              </w:rPr>
              <w:t xml:space="preserve"> seama de </w:t>
            </w:r>
            <w:proofErr w:type="spellStart"/>
            <w:r w:rsidRPr="00684853">
              <w:rPr>
                <w:rFonts w:ascii="Times New Roman" w:hAnsi="Times New Roman" w:cs="Times New Roman"/>
                <w:bCs/>
                <w:color w:val="000000" w:themeColor="text1"/>
                <w:sz w:val="20"/>
                <w:szCs w:val="20"/>
                <w:lang w:val="ro-RO"/>
              </w:rPr>
              <w:t>protecţia</w:t>
            </w:r>
            <w:proofErr w:type="spellEnd"/>
            <w:r w:rsidRPr="00684853">
              <w:rPr>
                <w:rFonts w:ascii="Times New Roman" w:hAnsi="Times New Roman" w:cs="Times New Roman"/>
                <w:bCs/>
                <w:color w:val="000000" w:themeColor="text1"/>
                <w:sz w:val="20"/>
                <w:szCs w:val="20"/>
                <w:lang w:val="ro-RO"/>
              </w:rPr>
              <w:t xml:space="preserve"> creditului furnizată de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terţe</w:t>
            </w:r>
            <w:proofErr w:type="spellEnd"/>
            <w:r w:rsidRPr="00684853">
              <w:rPr>
                <w:rFonts w:ascii="Times New Roman" w:hAnsi="Times New Roman" w:cs="Times New Roman"/>
                <w:bCs/>
                <w:color w:val="000000" w:themeColor="text1"/>
                <w:sz w:val="20"/>
                <w:szCs w:val="20"/>
                <w:lang w:val="ro-RO"/>
              </w:rPr>
              <w:t xml:space="preserve"> în mod direct </w:t>
            </w:r>
            <w:proofErr w:type="spellStart"/>
            <w:r w:rsidRPr="00684853">
              <w:rPr>
                <w:rFonts w:ascii="Times New Roman" w:hAnsi="Times New Roman" w:cs="Times New Roman"/>
                <w:bCs/>
                <w:color w:val="000000" w:themeColor="text1"/>
                <w:sz w:val="20"/>
                <w:szCs w:val="20"/>
                <w:lang w:val="ro-RO"/>
              </w:rPr>
              <w:t>deţinătorilor</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poziţiilor</w:t>
            </w:r>
            <w:proofErr w:type="spellEnd"/>
            <w:r w:rsidRPr="00684853">
              <w:rPr>
                <w:rFonts w:ascii="Times New Roman" w:hAnsi="Times New Roman" w:cs="Times New Roman"/>
                <w:bCs/>
                <w:color w:val="000000" w:themeColor="text1"/>
                <w:sz w:val="20"/>
                <w:szCs w:val="20"/>
                <w:lang w:val="ro-RO"/>
              </w:rPr>
              <w:t xml:space="preserve"> din segment sau din alte segmente;</w:t>
            </w:r>
          </w:p>
        </w:tc>
        <w:tc>
          <w:tcPr>
            <w:tcW w:w="562" w:type="pct"/>
          </w:tcPr>
          <w:p w14:paraId="350ED85D"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58F3CE8"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885" w:type="pct"/>
          </w:tcPr>
          <w:p w14:paraId="332050F2" w14:textId="474AC573"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„tranșă”</w:t>
            </w:r>
            <w:r w:rsidRPr="00684853">
              <w:rPr>
                <w:rFonts w:ascii="Times New Roman" w:hAnsi="Times New Roman" w:cs="Times New Roman"/>
                <w:b/>
                <w:color w:val="000000" w:themeColor="text1"/>
                <w:sz w:val="20"/>
                <w:szCs w:val="20"/>
                <w:lang w:val="ro-RO"/>
              </w:rPr>
              <w:t>.</w:t>
            </w:r>
          </w:p>
        </w:tc>
      </w:tr>
      <w:tr w:rsidR="00EA59FA" w:rsidRPr="00684853" w14:paraId="1F0B70D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916" w:type="pct"/>
            <w:tcBorders>
              <w:top w:val="single" w:sz="4" w:space="0" w:color="auto"/>
              <w:left w:val="single" w:sz="4" w:space="0" w:color="auto"/>
              <w:bottom w:val="single" w:sz="4" w:space="0" w:color="auto"/>
              <w:right w:val="single" w:sz="4" w:space="0" w:color="auto"/>
            </w:tcBorders>
          </w:tcPr>
          <w:p w14:paraId="70C59EF8"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68.</w:t>
            </w:r>
            <w:r w:rsidRPr="00684853">
              <w:rPr>
                <w:rFonts w:ascii="Times New Roman" w:hAnsi="Times New Roman"/>
                <w:color w:val="000000" w:themeColor="text1"/>
                <w:sz w:val="20"/>
                <w:szCs w:val="20"/>
                <w:lang w:val="ro-RO"/>
              </w:rPr>
              <w:t xml:space="preserve"> „marcarea la piață” înseamnă evaluarea pozițiilor la prețuri de închidere direct disponibile, care provin din surse independente, inclusiv cotații bursiere, cotații electronice sau cotații provenite de la mai mulți brokeri independenți de renume;</w:t>
            </w:r>
          </w:p>
        </w:tc>
        <w:tc>
          <w:tcPr>
            <w:tcW w:w="1636" w:type="pct"/>
          </w:tcPr>
          <w:p w14:paraId="687070E6" w14:textId="7E09BA4C" w:rsidR="00395381" w:rsidRPr="00684853" w:rsidRDefault="00405604"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8)</w:t>
            </w:r>
            <w:r w:rsidRPr="00684853">
              <w:rPr>
                <w:rFonts w:ascii="Times New Roman" w:hAnsi="Times New Roman" w:cs="Times New Roman"/>
                <w:b/>
                <w:color w:val="000000" w:themeColor="text1"/>
                <w:sz w:val="20"/>
                <w:szCs w:val="20"/>
                <w:lang w:val="ro-RO"/>
              </w:rPr>
              <w:t xml:space="preserve"> marcare la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evaluarea </w:t>
            </w:r>
            <w:proofErr w:type="spellStart"/>
            <w:r w:rsidRPr="00684853">
              <w:rPr>
                <w:rFonts w:ascii="Times New Roman" w:hAnsi="Times New Roman" w:cs="Times New Roman"/>
                <w:bCs/>
                <w:color w:val="000000" w:themeColor="text1"/>
                <w:sz w:val="20"/>
                <w:szCs w:val="20"/>
                <w:lang w:val="ro-RO"/>
              </w:rPr>
              <w:t>poziţiilor</w:t>
            </w:r>
            <w:proofErr w:type="spellEnd"/>
            <w:r w:rsidRPr="00684853">
              <w:rPr>
                <w:rFonts w:ascii="Times New Roman" w:hAnsi="Times New Roman" w:cs="Times New Roman"/>
                <w:bCs/>
                <w:color w:val="000000" w:themeColor="text1"/>
                <w:sz w:val="20"/>
                <w:szCs w:val="20"/>
                <w:lang w:val="ro-RO"/>
              </w:rPr>
              <w:t xml:space="preserve"> la </w:t>
            </w:r>
            <w:proofErr w:type="spellStart"/>
            <w:r w:rsidRPr="00684853">
              <w:rPr>
                <w:rFonts w:ascii="Times New Roman" w:hAnsi="Times New Roman" w:cs="Times New Roman"/>
                <w:bCs/>
                <w:color w:val="000000" w:themeColor="text1"/>
                <w:sz w:val="20"/>
                <w:szCs w:val="20"/>
                <w:lang w:val="ro-RO"/>
              </w:rPr>
              <w:t>preţuri</w:t>
            </w:r>
            <w:proofErr w:type="spellEnd"/>
            <w:r w:rsidRPr="00684853">
              <w:rPr>
                <w:rFonts w:ascii="Times New Roman" w:hAnsi="Times New Roman" w:cs="Times New Roman"/>
                <w:bCs/>
                <w:color w:val="000000" w:themeColor="text1"/>
                <w:sz w:val="20"/>
                <w:szCs w:val="20"/>
                <w:lang w:val="ro-RO"/>
              </w:rPr>
              <w:t xml:space="preserve"> de închidere direct disponibile, care provin din surse independente, inclusiv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bursiere,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electronice sau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provenite de la mai </w:t>
            </w:r>
            <w:proofErr w:type="spellStart"/>
            <w:r w:rsidRPr="00684853">
              <w:rPr>
                <w:rFonts w:ascii="Times New Roman" w:hAnsi="Times New Roman" w:cs="Times New Roman"/>
                <w:bCs/>
                <w:color w:val="000000" w:themeColor="text1"/>
                <w:sz w:val="20"/>
                <w:szCs w:val="20"/>
                <w:lang w:val="ro-RO"/>
              </w:rPr>
              <w:t>mulţi</w:t>
            </w:r>
            <w:proofErr w:type="spellEnd"/>
            <w:r w:rsidRPr="00684853">
              <w:rPr>
                <w:rFonts w:ascii="Times New Roman" w:hAnsi="Times New Roman" w:cs="Times New Roman"/>
                <w:bCs/>
                <w:color w:val="000000" w:themeColor="text1"/>
                <w:sz w:val="20"/>
                <w:szCs w:val="20"/>
                <w:lang w:val="ro-RO"/>
              </w:rPr>
              <w:t xml:space="preserve"> brokeri </w:t>
            </w:r>
            <w:proofErr w:type="spellStart"/>
            <w:r w:rsidRPr="00684853">
              <w:rPr>
                <w:rFonts w:ascii="Times New Roman" w:hAnsi="Times New Roman" w:cs="Times New Roman"/>
                <w:bCs/>
                <w:color w:val="000000" w:themeColor="text1"/>
                <w:sz w:val="20"/>
                <w:szCs w:val="20"/>
                <w:lang w:val="ro-RO"/>
              </w:rPr>
              <w:t>independenţi</w:t>
            </w:r>
            <w:proofErr w:type="spellEnd"/>
            <w:r w:rsidRPr="00684853">
              <w:rPr>
                <w:rFonts w:ascii="Times New Roman" w:hAnsi="Times New Roman" w:cs="Times New Roman"/>
                <w:bCs/>
                <w:color w:val="000000" w:themeColor="text1"/>
                <w:sz w:val="20"/>
                <w:szCs w:val="20"/>
                <w:lang w:val="ro-RO"/>
              </w:rPr>
              <w:t xml:space="preserve"> de renume;</w:t>
            </w:r>
          </w:p>
        </w:tc>
        <w:tc>
          <w:tcPr>
            <w:tcW w:w="562" w:type="pct"/>
            <w:tcBorders>
              <w:top w:val="single" w:sz="4" w:space="0" w:color="auto"/>
              <w:left w:val="single" w:sz="4" w:space="0" w:color="auto"/>
              <w:bottom w:val="single" w:sz="4" w:space="0" w:color="auto"/>
              <w:right w:val="single" w:sz="4" w:space="0" w:color="auto"/>
            </w:tcBorders>
          </w:tcPr>
          <w:p w14:paraId="1832A45C" w14:textId="5A3B3F2B" w:rsidR="00395381" w:rsidRPr="00684853" w:rsidRDefault="00395381" w:rsidP="000572C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24883123" w14:textId="17440B52"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p.8subp.8)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29E995B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4F586EF"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69.</w:t>
            </w:r>
            <w:r w:rsidRPr="00684853">
              <w:rPr>
                <w:rFonts w:ascii="Times New Roman" w:hAnsi="Times New Roman"/>
                <w:color w:val="000000" w:themeColor="text1"/>
                <w:sz w:val="20"/>
                <w:szCs w:val="20"/>
                <w:lang w:val="ro-RO"/>
              </w:rPr>
              <w:t xml:space="preserve"> „marcarea la model” înseamnă orice evaluare care trebuie raportată la un nivel de referință, extrapolată sau calculată în alt mod pornind de la una sau mai multe date de intrare de pe piață;</w:t>
            </w:r>
          </w:p>
          <w:p w14:paraId="2A463E97"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p>
        </w:tc>
        <w:tc>
          <w:tcPr>
            <w:tcW w:w="1636" w:type="pct"/>
          </w:tcPr>
          <w:p w14:paraId="63DBF06F" w14:textId="4D5AD027" w:rsidR="00395381" w:rsidRPr="00684853" w:rsidRDefault="005A4742"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7)</w:t>
            </w:r>
            <w:r w:rsidRPr="00684853">
              <w:rPr>
                <w:rFonts w:ascii="Times New Roman" w:hAnsi="Times New Roman" w:cs="Times New Roman"/>
                <w:b/>
                <w:color w:val="000000" w:themeColor="text1"/>
                <w:sz w:val="20"/>
                <w:szCs w:val="20"/>
                <w:lang w:val="ro-RO"/>
              </w:rPr>
              <w:t xml:space="preserve"> marcarea la model – </w:t>
            </w:r>
            <w:r w:rsidRPr="00684853">
              <w:rPr>
                <w:rFonts w:ascii="Times New Roman" w:hAnsi="Times New Roman" w:cs="Times New Roman"/>
                <w:bCs/>
                <w:color w:val="000000" w:themeColor="text1"/>
                <w:sz w:val="20"/>
                <w:szCs w:val="20"/>
                <w:lang w:val="ro-RO"/>
              </w:rPr>
              <w:t xml:space="preserve">reprezintă orice evaluare care trebuie raportată la un nivel de </w:t>
            </w:r>
            <w:proofErr w:type="spellStart"/>
            <w:r w:rsidRPr="00684853">
              <w:rPr>
                <w:rFonts w:ascii="Times New Roman" w:hAnsi="Times New Roman" w:cs="Times New Roman"/>
                <w:bCs/>
                <w:color w:val="000000" w:themeColor="text1"/>
                <w:sz w:val="20"/>
                <w:szCs w:val="20"/>
                <w:lang w:val="ro-RO"/>
              </w:rPr>
              <w:t>referinţă</w:t>
            </w:r>
            <w:proofErr w:type="spellEnd"/>
            <w:r w:rsidRPr="00684853">
              <w:rPr>
                <w:rFonts w:ascii="Times New Roman" w:hAnsi="Times New Roman" w:cs="Times New Roman"/>
                <w:bCs/>
                <w:color w:val="000000" w:themeColor="text1"/>
                <w:sz w:val="20"/>
                <w:szCs w:val="20"/>
                <w:lang w:val="ro-RO"/>
              </w:rPr>
              <w:t xml:space="preserve">, extrapolată sau calculată în alt mod pornind de la una sau mai multe date de intrare de pe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w:t>
            </w:r>
          </w:p>
        </w:tc>
        <w:tc>
          <w:tcPr>
            <w:tcW w:w="562" w:type="pct"/>
            <w:tcBorders>
              <w:top w:val="single" w:sz="4" w:space="0" w:color="auto"/>
              <w:left w:val="single" w:sz="4" w:space="0" w:color="auto"/>
              <w:bottom w:val="single" w:sz="4" w:space="0" w:color="auto"/>
              <w:right w:val="single" w:sz="4" w:space="0" w:color="auto"/>
            </w:tcBorders>
          </w:tcPr>
          <w:p w14:paraId="07A3BA67"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F32C05C"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2C21EEF3" w14:textId="5DFCB19B"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subp.7)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78A50F0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01209A3F"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70.</w:t>
            </w:r>
            <w:r w:rsidRPr="00684853">
              <w:rPr>
                <w:rFonts w:ascii="Times New Roman" w:hAnsi="Times New Roman"/>
                <w:color w:val="000000" w:themeColor="text1"/>
                <w:sz w:val="20"/>
                <w:szCs w:val="20"/>
                <w:lang w:val="ro-RO"/>
              </w:rPr>
              <w:t xml:space="preserve"> „verificare independentă a prețurilor” înseamnă un proces de verificare regulată a preciziei și independenței prețurilor de piață sau a datelor de intrare utilizate pentru marcarea la model;</w:t>
            </w:r>
          </w:p>
        </w:tc>
        <w:tc>
          <w:tcPr>
            <w:tcW w:w="1636" w:type="pct"/>
          </w:tcPr>
          <w:p w14:paraId="5ACA086D" w14:textId="23F6DA9D" w:rsidR="00395381" w:rsidRPr="00684853" w:rsidRDefault="002E317D"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15)</w:t>
            </w:r>
            <w:r w:rsidRPr="00684853">
              <w:rPr>
                <w:rFonts w:ascii="Times New Roman" w:hAnsi="Times New Roman" w:cs="Times New Roman"/>
                <w:b/>
                <w:color w:val="000000" w:themeColor="text1"/>
                <w:sz w:val="20"/>
                <w:szCs w:val="20"/>
                <w:lang w:val="ro-RO"/>
              </w:rPr>
              <w:t xml:space="preserve"> verificare independentă a </w:t>
            </w:r>
            <w:proofErr w:type="spellStart"/>
            <w:r w:rsidRPr="00684853">
              <w:rPr>
                <w:rFonts w:ascii="Times New Roman" w:hAnsi="Times New Roman" w:cs="Times New Roman"/>
                <w:b/>
                <w:color w:val="000000" w:themeColor="text1"/>
                <w:sz w:val="20"/>
                <w:szCs w:val="20"/>
                <w:lang w:val="ro-RO"/>
              </w:rPr>
              <w:t>preţurilor</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un proces de verificare regulată a preciziei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independenţei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preţurilor</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sau a datelor de intrare utilizate pentru marcarea la model;</w:t>
            </w:r>
          </w:p>
        </w:tc>
        <w:tc>
          <w:tcPr>
            <w:tcW w:w="562" w:type="pct"/>
            <w:tcBorders>
              <w:top w:val="single" w:sz="4" w:space="0" w:color="auto"/>
              <w:left w:val="single" w:sz="4" w:space="0" w:color="auto"/>
              <w:bottom w:val="single" w:sz="4" w:space="0" w:color="auto"/>
              <w:right w:val="single" w:sz="4" w:space="0" w:color="auto"/>
            </w:tcBorders>
          </w:tcPr>
          <w:p w14:paraId="13B21784"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23CE0B2"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57A8CA43" w14:textId="3F1973DC" w:rsidR="00395381" w:rsidRPr="00684853" w:rsidRDefault="00395381" w:rsidP="00C95C61">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subp.15)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7C209B5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413ACCED" w14:textId="75E74674" w:rsidR="00395381" w:rsidRPr="00684853" w:rsidRDefault="00395381" w:rsidP="00E01F53">
            <w:pPr>
              <w:pStyle w:val="CM1"/>
              <w:spacing w:before="200" w:after="200"/>
              <w:rPr>
                <w:rFonts w:ascii="Times New Roman" w:eastAsia="Calibri"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71. </w:t>
            </w:r>
            <w:r w:rsidRPr="00684853">
              <w:rPr>
                <w:rFonts w:ascii="Times New Roman" w:eastAsia="Calibri" w:hAnsi="Times New Roman"/>
                <w:color w:val="000000" w:themeColor="text1"/>
                <w:sz w:val="20"/>
                <w:szCs w:val="20"/>
                <w:lang w:val="ro-RO"/>
              </w:rPr>
              <w:t>„capital eligibil” înseamnă următoarele: (a) în sensul părții a doua titlul III înseamnă suma următoarelor elemente:</w:t>
            </w:r>
          </w:p>
          <w:p w14:paraId="07D466E9" w14:textId="77777777" w:rsidR="00395381" w:rsidRPr="00684853" w:rsidRDefault="00395381" w:rsidP="00C95C61">
            <w:pPr>
              <w:autoSpaceDE w:val="0"/>
              <w:autoSpaceDN w:val="0"/>
              <w:adjustRightInd w:val="0"/>
              <w:spacing w:before="60" w:after="60"/>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 xml:space="preserve">(i) fondurile proprii de nivel 1, astfel cum sunt menționate la articolul 25, fără aplicarea deducerii de la articolul 36 alineatul (1) litera (k) punctul (i); </w:t>
            </w:r>
          </w:p>
          <w:p w14:paraId="7A7C9EB4" w14:textId="77777777" w:rsidR="00395381" w:rsidRPr="00684853" w:rsidRDefault="00395381" w:rsidP="00C95C61">
            <w:pPr>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(ii) fondurile proprii de nivel 2, astfel cum sunt menționate la articolul 71, care sunt egale cu sau mai mici de o treime din fondurile proprii de nivel 1, calculate în conformitate cu punctul (i) de la prezentul punct;</w:t>
            </w:r>
          </w:p>
          <w:p w14:paraId="77AF89DB" w14:textId="457B842A" w:rsidR="00395381" w:rsidRPr="00684853" w:rsidRDefault="00395381" w:rsidP="00C95C61">
            <w:pPr>
              <w:autoSpaceDE w:val="0"/>
              <w:autoSpaceDN w:val="0"/>
              <w:adjustRightInd w:val="0"/>
              <w:spacing w:before="60" w:after="60"/>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 xml:space="preserve">(b) în sensul articolului 97 înseamnă suma următoarelor elemente: </w:t>
            </w:r>
          </w:p>
          <w:p w14:paraId="24489BC8" w14:textId="77777777" w:rsidR="00395381" w:rsidRPr="00684853" w:rsidRDefault="00395381" w:rsidP="00C95C61">
            <w:pPr>
              <w:autoSpaceDE w:val="0"/>
              <w:autoSpaceDN w:val="0"/>
              <w:adjustRightInd w:val="0"/>
              <w:spacing w:before="60" w:after="60"/>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lastRenderedPageBreak/>
              <w:t xml:space="preserve">(i) fondurile proprii de nivel 1, astfel cum sunt menționate la articolul 25; </w:t>
            </w:r>
          </w:p>
          <w:p w14:paraId="108D2000" w14:textId="77777777" w:rsidR="00395381" w:rsidRPr="00684853" w:rsidRDefault="00395381" w:rsidP="00C95C61">
            <w:pPr>
              <w:rPr>
                <w:rFonts w:ascii="Times New Roman"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(ii) fondurile proprii de nivel 2, astfel cum sunt menționate la articolul 71, care sunt egale cu sau mai mici de o treime din fondurile proprii de nivel 1;</w:t>
            </w:r>
          </w:p>
        </w:tc>
        <w:tc>
          <w:tcPr>
            <w:tcW w:w="1636" w:type="pct"/>
          </w:tcPr>
          <w:p w14:paraId="09FA0438" w14:textId="77777777" w:rsidR="00E01F53" w:rsidRPr="00684853" w:rsidRDefault="00E01F53" w:rsidP="00E01F53">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capital eligibil – </w:t>
            </w:r>
            <w:r w:rsidRPr="00684853">
              <w:rPr>
                <w:rFonts w:ascii="Times New Roman" w:hAnsi="Times New Roman" w:cs="Times New Roman"/>
                <w:bCs/>
                <w:color w:val="000000" w:themeColor="text1"/>
                <w:sz w:val="20"/>
                <w:szCs w:val="20"/>
                <w:lang w:val="ro-RO"/>
              </w:rPr>
              <w:t>suma următoarelor elemente:</w:t>
            </w:r>
          </w:p>
          <w:p w14:paraId="57809915" w14:textId="04B5282C" w:rsidR="00E01F53" w:rsidRPr="00684853" w:rsidRDefault="00E01F53" w:rsidP="00E01F53">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fondurile proprii de nivel 1, astfel cum sunt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Regulamentul cu privire la fondurile proprii ale băncilor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cerinţele</w:t>
            </w:r>
            <w:proofErr w:type="spellEnd"/>
            <w:r w:rsidRPr="00684853">
              <w:rPr>
                <w:rFonts w:ascii="Times New Roman" w:hAnsi="Times New Roman" w:cs="Times New Roman"/>
                <w:bCs/>
                <w:color w:val="000000" w:themeColor="text1"/>
                <w:sz w:val="20"/>
                <w:szCs w:val="20"/>
                <w:lang w:val="ro-RO"/>
              </w:rPr>
              <w:t xml:space="preserve"> de capital, aprobat prin Hotărârea Comitetului executiv al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 nr.109 din 24 mai 2018 (în continuare Regulamentul nr.109/2018);</w:t>
            </w:r>
          </w:p>
          <w:p w14:paraId="11115966" w14:textId="7B7D9211" w:rsidR="00395381" w:rsidRPr="00684853" w:rsidRDefault="00E01F53" w:rsidP="00E01F53">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fondurile proprii de nivel 2, astfel cum sunt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Regulamentul nr.109/2018, care nu vor </w:t>
            </w:r>
            <w:proofErr w:type="spellStart"/>
            <w:r w:rsidRPr="00684853">
              <w:rPr>
                <w:rFonts w:ascii="Times New Roman" w:hAnsi="Times New Roman" w:cs="Times New Roman"/>
                <w:bCs/>
                <w:color w:val="000000" w:themeColor="text1"/>
                <w:sz w:val="20"/>
                <w:szCs w:val="20"/>
                <w:lang w:val="ro-RO"/>
              </w:rPr>
              <w:t>depăşi</w:t>
            </w:r>
            <w:proofErr w:type="spellEnd"/>
            <w:r w:rsidRPr="00684853">
              <w:rPr>
                <w:rFonts w:ascii="Times New Roman" w:hAnsi="Times New Roman" w:cs="Times New Roman"/>
                <w:bCs/>
                <w:color w:val="000000" w:themeColor="text1"/>
                <w:sz w:val="20"/>
                <w:szCs w:val="20"/>
                <w:lang w:val="ro-RO"/>
              </w:rPr>
              <w:t xml:space="preserve"> o treime din fondurile proprii de nivel 1;</w:t>
            </w:r>
          </w:p>
        </w:tc>
        <w:tc>
          <w:tcPr>
            <w:tcW w:w="562" w:type="pct"/>
            <w:tcBorders>
              <w:top w:val="single" w:sz="4" w:space="0" w:color="auto"/>
              <w:left w:val="single" w:sz="4" w:space="0" w:color="auto"/>
              <w:bottom w:val="single" w:sz="4" w:space="0" w:color="auto"/>
              <w:right w:val="single" w:sz="4" w:space="0" w:color="auto"/>
            </w:tcBorders>
          </w:tcPr>
          <w:p w14:paraId="619F56C6"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3ED5ED00" w14:textId="694CE74B"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p.5 din</w:t>
            </w:r>
            <w:r w:rsidRPr="00684853">
              <w:rPr>
                <w:rFonts w:ascii="Times New Roman" w:hAnsi="Times New Roman" w:cs="Times New Roman"/>
                <w:b/>
                <w:color w:val="000000" w:themeColor="text1"/>
                <w:sz w:val="20"/>
                <w:szCs w:val="20"/>
                <w:lang w:val="ro-RO"/>
              </w:rPr>
              <w:t xml:space="preserve"> Regulamentul cu privire la expunerile mari, </w:t>
            </w:r>
            <w:r w:rsidRPr="00684853">
              <w:rPr>
                <w:rFonts w:ascii="Times New Roman" w:hAnsi="Times New Roman" w:cs="Times New Roman"/>
                <w:color w:val="000000" w:themeColor="text1"/>
                <w:sz w:val="20"/>
                <w:szCs w:val="20"/>
                <w:lang w:val="ro-RO"/>
              </w:rPr>
              <w:t>aprobat prin HCE al BNM nr.109/2019</w:t>
            </w:r>
            <w:r w:rsidRPr="00684853">
              <w:rPr>
                <w:rFonts w:ascii="Times New Roman" w:hAnsi="Times New Roman" w:cs="Times New Roman"/>
                <w:b/>
                <w:color w:val="000000" w:themeColor="text1"/>
                <w:sz w:val="20"/>
                <w:szCs w:val="20"/>
                <w:lang w:val="ro-RO"/>
              </w:rPr>
              <w:t>.</w:t>
            </w:r>
          </w:p>
        </w:tc>
      </w:tr>
      <w:tr w:rsidR="00EA59FA" w:rsidRPr="00684853" w14:paraId="051BFB0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09F50958"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72.</w:t>
            </w:r>
            <w:r w:rsidRPr="00684853">
              <w:rPr>
                <w:rFonts w:ascii="Times New Roman" w:hAnsi="Times New Roman"/>
                <w:color w:val="000000" w:themeColor="text1"/>
                <w:sz w:val="20"/>
                <w:szCs w:val="20"/>
                <w:lang w:val="ro-RO"/>
              </w:rPr>
              <w:t xml:space="preserve"> „bursă recunoscută” înseamnă o bursă care îndeplinește cumulativ următoarele condiții:</w:t>
            </w:r>
          </w:p>
          <w:p w14:paraId="17CD9106" w14:textId="2E8A2C21" w:rsidR="00395381" w:rsidRPr="00684853" w:rsidRDefault="00395381" w:rsidP="00F15579">
            <w:pPr>
              <w:pStyle w:val="CM4"/>
              <w:spacing w:after="120"/>
              <w:jc w:val="both"/>
              <w:rPr>
                <w:rFonts w:ascii="Times New Roman" w:hAnsi="Times New Roman"/>
                <w:color w:val="000000" w:themeColor="text1"/>
                <w:sz w:val="20"/>
                <w:szCs w:val="20"/>
                <w:lang w:val="ro-RO"/>
              </w:rPr>
            </w:pPr>
          </w:p>
          <w:p w14:paraId="59E19271" w14:textId="233A8A04" w:rsidR="00395381" w:rsidRPr="00684853" w:rsidRDefault="00395381" w:rsidP="00F1557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▼M9</w:t>
            </w:r>
          </w:p>
          <w:p w14:paraId="18741E42" w14:textId="3DBBE14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este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reglementată sau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dintr-o </w:t>
            </w:r>
            <w:proofErr w:type="spellStart"/>
            <w:r w:rsidRPr="00684853">
              <w:rPr>
                <w:rFonts w:ascii="Times New Roman" w:hAnsi="Times New Roman"/>
                <w:color w:val="000000" w:themeColor="text1"/>
                <w:sz w:val="20"/>
                <w:szCs w:val="20"/>
                <w:lang w:val="ro-RO"/>
              </w:rPr>
              <w:t>ţară</w:t>
            </w:r>
            <w:proofErr w:type="spellEnd"/>
            <w:r w:rsidRPr="00684853">
              <w:rPr>
                <w:rFonts w:ascii="Times New Roman" w:hAnsi="Times New Roman"/>
                <w:color w:val="000000" w:themeColor="text1"/>
                <w:sz w:val="20"/>
                <w:szCs w:val="20"/>
                <w:lang w:val="ro-RO"/>
              </w:rPr>
              <w:t xml:space="preserve"> </w:t>
            </w:r>
            <w:proofErr w:type="spellStart"/>
            <w:r w:rsidRPr="00684853">
              <w:rPr>
                <w:rFonts w:ascii="Times New Roman" w:hAnsi="Times New Roman"/>
                <w:color w:val="000000" w:themeColor="text1"/>
                <w:sz w:val="20"/>
                <w:szCs w:val="20"/>
                <w:lang w:val="ro-RO"/>
              </w:rPr>
              <w:t>terţă</w:t>
            </w:r>
            <w:proofErr w:type="spellEnd"/>
            <w:r w:rsidRPr="00684853">
              <w:rPr>
                <w:rFonts w:ascii="Times New Roman" w:hAnsi="Times New Roman"/>
                <w:color w:val="000000" w:themeColor="text1"/>
                <w:sz w:val="20"/>
                <w:szCs w:val="20"/>
                <w:lang w:val="ro-RO"/>
              </w:rPr>
              <w:t xml:space="preserve"> considerată a fi echivalentă cu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reglementată în conformitate cu procedura stabilită la articolul 25 alineatul (4) litera (a) din Directiva 2014/65/UE;</w:t>
            </w:r>
          </w:p>
          <w:p w14:paraId="39B980AD" w14:textId="77777777" w:rsidR="00395381" w:rsidRPr="00684853" w:rsidRDefault="00395381" w:rsidP="00C95C6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are un mecanism de compensare prin care contractele menționate în anexa II fac obiectul cerințelor de marjă zilnică care, în opinia autorităților competente, oferă o protecție corespunzătoare;</w:t>
            </w:r>
          </w:p>
        </w:tc>
        <w:tc>
          <w:tcPr>
            <w:tcW w:w="1636" w:type="pct"/>
          </w:tcPr>
          <w:p w14:paraId="599D65DC" w14:textId="77777777" w:rsidR="000A3EAF" w:rsidRPr="00684853" w:rsidRDefault="000A3EAF" w:rsidP="000A3EA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3)</w:t>
            </w:r>
            <w:r w:rsidRPr="00684853">
              <w:rPr>
                <w:rFonts w:ascii="Times New Roman" w:hAnsi="Times New Roman" w:cs="Times New Roman"/>
                <w:b/>
                <w:color w:val="000000" w:themeColor="text1"/>
                <w:sz w:val="20"/>
                <w:szCs w:val="20"/>
                <w:lang w:val="ro-RO"/>
              </w:rPr>
              <w:t xml:space="preserve"> bursă recunoscută </w:t>
            </w:r>
            <w:r w:rsidRPr="00684853">
              <w:rPr>
                <w:rFonts w:ascii="Times New Roman" w:hAnsi="Times New Roman" w:cs="Times New Roman"/>
                <w:bCs/>
                <w:color w:val="000000" w:themeColor="text1"/>
                <w:sz w:val="20"/>
                <w:szCs w:val="20"/>
                <w:lang w:val="ro-RO"/>
              </w:rPr>
              <w:t xml:space="preserve">– reprezintă o bursă care </w:t>
            </w:r>
            <w:proofErr w:type="spellStart"/>
            <w:r w:rsidRPr="00684853">
              <w:rPr>
                <w:rFonts w:ascii="Times New Roman" w:hAnsi="Times New Roman" w:cs="Times New Roman"/>
                <w:bCs/>
                <w:color w:val="000000" w:themeColor="text1"/>
                <w:sz w:val="20"/>
                <w:szCs w:val="20"/>
                <w:lang w:val="ro-RO"/>
              </w:rPr>
              <w:t>îndeplineşte</w:t>
            </w:r>
            <w:proofErr w:type="spellEnd"/>
            <w:r w:rsidRPr="00684853">
              <w:rPr>
                <w:rFonts w:ascii="Times New Roman" w:hAnsi="Times New Roman" w:cs="Times New Roman"/>
                <w:bCs/>
                <w:color w:val="000000" w:themeColor="text1"/>
                <w:sz w:val="20"/>
                <w:szCs w:val="20"/>
                <w:lang w:val="ro-RO"/>
              </w:rPr>
              <w:t xml:space="preserve"> cumulativ următoarele </w:t>
            </w:r>
            <w:proofErr w:type="spellStart"/>
            <w:r w:rsidRPr="00684853">
              <w:rPr>
                <w:rFonts w:ascii="Times New Roman" w:hAnsi="Times New Roman" w:cs="Times New Roman"/>
                <w:bCs/>
                <w:color w:val="000000" w:themeColor="text1"/>
                <w:sz w:val="20"/>
                <w:szCs w:val="20"/>
                <w:lang w:val="ro-RO"/>
              </w:rPr>
              <w:t>condiţii</w:t>
            </w:r>
            <w:proofErr w:type="spellEnd"/>
            <w:r w:rsidRPr="00684853">
              <w:rPr>
                <w:rFonts w:ascii="Times New Roman" w:hAnsi="Times New Roman" w:cs="Times New Roman"/>
                <w:bCs/>
                <w:color w:val="000000" w:themeColor="text1"/>
                <w:sz w:val="20"/>
                <w:szCs w:val="20"/>
                <w:lang w:val="ro-RO"/>
              </w:rPr>
              <w:t>:</w:t>
            </w:r>
          </w:p>
          <w:p w14:paraId="06599E30" w14:textId="77777777" w:rsidR="000A3EAF" w:rsidRPr="00684853" w:rsidRDefault="000A3EAF" w:rsidP="000A3EA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este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subpct.10) din prezentul punct;</w:t>
            </w:r>
          </w:p>
          <w:p w14:paraId="454F4805" w14:textId="77777777" w:rsidR="00395381" w:rsidRPr="00684853" w:rsidRDefault="000A3EAF" w:rsidP="000A3EA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are un mecanism de compensare prin care contractele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anexa nr.1 la prezentul regulament fac obiectul </w:t>
            </w:r>
            <w:proofErr w:type="spellStart"/>
            <w:r w:rsidRPr="00684853">
              <w:rPr>
                <w:rFonts w:ascii="Times New Roman" w:hAnsi="Times New Roman" w:cs="Times New Roman"/>
                <w:bCs/>
                <w:color w:val="000000" w:themeColor="text1"/>
                <w:sz w:val="20"/>
                <w:szCs w:val="20"/>
                <w:lang w:val="ro-RO"/>
              </w:rPr>
              <w:t>cerinţelor</w:t>
            </w:r>
            <w:proofErr w:type="spellEnd"/>
            <w:r w:rsidRPr="00684853">
              <w:rPr>
                <w:rFonts w:ascii="Times New Roman" w:hAnsi="Times New Roman" w:cs="Times New Roman"/>
                <w:bCs/>
                <w:color w:val="000000" w:themeColor="text1"/>
                <w:sz w:val="20"/>
                <w:szCs w:val="20"/>
                <w:lang w:val="ro-RO"/>
              </w:rPr>
              <w:t xml:space="preserve"> de marjă zilnică care, în opinia </w:t>
            </w:r>
            <w:proofErr w:type="spellStart"/>
            <w:r w:rsidRPr="00684853">
              <w:rPr>
                <w:rFonts w:ascii="Times New Roman" w:hAnsi="Times New Roman" w:cs="Times New Roman"/>
                <w:bCs/>
                <w:color w:val="000000" w:themeColor="text1"/>
                <w:sz w:val="20"/>
                <w:szCs w:val="20"/>
                <w:lang w:val="ro-RO"/>
              </w:rPr>
              <w:t>autorităţilor</w:t>
            </w:r>
            <w:proofErr w:type="spellEnd"/>
            <w:r w:rsidRPr="00684853">
              <w:rPr>
                <w:rFonts w:ascii="Times New Roman" w:hAnsi="Times New Roman" w:cs="Times New Roman"/>
                <w:bCs/>
                <w:color w:val="000000" w:themeColor="text1"/>
                <w:sz w:val="20"/>
                <w:szCs w:val="20"/>
                <w:lang w:val="ro-RO"/>
              </w:rPr>
              <w:t xml:space="preserve"> competente, oferă o </w:t>
            </w:r>
            <w:proofErr w:type="spellStart"/>
            <w:r w:rsidRPr="00684853">
              <w:rPr>
                <w:rFonts w:ascii="Times New Roman" w:hAnsi="Times New Roman" w:cs="Times New Roman"/>
                <w:bCs/>
                <w:color w:val="000000" w:themeColor="text1"/>
                <w:sz w:val="20"/>
                <w:szCs w:val="20"/>
                <w:lang w:val="ro-RO"/>
              </w:rPr>
              <w:t>protecţie</w:t>
            </w:r>
            <w:proofErr w:type="spellEnd"/>
            <w:r w:rsidRPr="00684853">
              <w:rPr>
                <w:rFonts w:ascii="Times New Roman" w:hAnsi="Times New Roman" w:cs="Times New Roman"/>
                <w:bCs/>
                <w:color w:val="000000" w:themeColor="text1"/>
                <w:sz w:val="20"/>
                <w:szCs w:val="20"/>
                <w:lang w:val="ro-RO"/>
              </w:rPr>
              <w:t xml:space="preserve"> corespunzătoare;</w:t>
            </w:r>
          </w:p>
          <w:p w14:paraId="1C8A3741" w14:textId="46BA8FE6" w:rsidR="000A3EAF" w:rsidRPr="00684853" w:rsidRDefault="000A3EAF" w:rsidP="000A3EAF">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10)</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reglementată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562" w:type="pct"/>
            <w:tcBorders>
              <w:top w:val="single" w:sz="4" w:space="0" w:color="auto"/>
              <w:left w:val="single" w:sz="4" w:space="0" w:color="auto"/>
              <w:bottom w:val="single" w:sz="4" w:space="0" w:color="auto"/>
              <w:right w:val="single" w:sz="4" w:space="0" w:color="auto"/>
            </w:tcBorders>
          </w:tcPr>
          <w:p w14:paraId="7D767A3F"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53CC796"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683E663E" w14:textId="58AFF7E8"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subp.3)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34C1485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D7B11AB"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73. </w:t>
            </w:r>
            <w:r w:rsidRPr="00684853">
              <w:rPr>
                <w:rFonts w:ascii="Times New Roman" w:eastAsia="Calibri" w:hAnsi="Times New Roman"/>
                <w:color w:val="000000" w:themeColor="text1"/>
                <w:sz w:val="20"/>
                <w:szCs w:val="20"/>
                <w:lang w:val="ro-RO"/>
              </w:rPr>
              <w:t>„beneficii discreționare de tipul pensiilor” înseamnă beneficii suplimentare de tipul pensiilor asigurate pe o bază discreționară de o instituție unui angajat ca parte a pachetului de remunerație variabilă al acestuia, care nu include beneficiile datorate garantate angajatului în conformitate cu termenii schemei de pensionare a societății;</w:t>
            </w:r>
          </w:p>
        </w:tc>
        <w:tc>
          <w:tcPr>
            <w:tcW w:w="1636" w:type="pct"/>
          </w:tcPr>
          <w:p w14:paraId="15618ED6" w14:textId="6AF0A87D" w:rsidR="00395381" w:rsidRPr="00684853" w:rsidRDefault="000A3EAF"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beneficii </w:t>
            </w:r>
            <w:proofErr w:type="spellStart"/>
            <w:r w:rsidRPr="00684853">
              <w:rPr>
                <w:rFonts w:ascii="Times New Roman" w:hAnsi="Times New Roman" w:cs="Times New Roman"/>
                <w:b/>
                <w:color w:val="000000" w:themeColor="text1"/>
                <w:sz w:val="20"/>
                <w:szCs w:val="20"/>
                <w:lang w:val="ro-RO"/>
              </w:rPr>
              <w:t>discreţionare</w:t>
            </w:r>
            <w:proofErr w:type="spellEnd"/>
            <w:r w:rsidRPr="00684853">
              <w:rPr>
                <w:rFonts w:ascii="Times New Roman" w:hAnsi="Times New Roman" w:cs="Times New Roman"/>
                <w:b/>
                <w:color w:val="000000" w:themeColor="text1"/>
                <w:sz w:val="20"/>
                <w:szCs w:val="20"/>
                <w:lang w:val="ro-RO"/>
              </w:rPr>
              <w:t xml:space="preserve"> de tipul pensiilor </w:t>
            </w:r>
            <w:r w:rsidRPr="00684853">
              <w:rPr>
                <w:rFonts w:ascii="Times New Roman" w:hAnsi="Times New Roman" w:cs="Times New Roman"/>
                <w:bCs/>
                <w:color w:val="000000" w:themeColor="text1"/>
                <w:sz w:val="20"/>
                <w:szCs w:val="20"/>
                <w:lang w:val="ro-RO"/>
              </w:rPr>
              <w:t xml:space="preserve">- beneficii suplimentare de tipul pensiilor asigurate pe o bază </w:t>
            </w:r>
            <w:proofErr w:type="spellStart"/>
            <w:r w:rsidRPr="00684853">
              <w:rPr>
                <w:rFonts w:ascii="Times New Roman" w:hAnsi="Times New Roman" w:cs="Times New Roman"/>
                <w:bCs/>
                <w:color w:val="000000" w:themeColor="text1"/>
                <w:sz w:val="20"/>
                <w:szCs w:val="20"/>
                <w:lang w:val="ro-RO"/>
              </w:rPr>
              <w:t>discreţionară</w:t>
            </w:r>
            <w:proofErr w:type="spellEnd"/>
            <w:r w:rsidRPr="00684853">
              <w:rPr>
                <w:rFonts w:ascii="Times New Roman" w:hAnsi="Times New Roman" w:cs="Times New Roman"/>
                <w:bCs/>
                <w:color w:val="000000" w:themeColor="text1"/>
                <w:sz w:val="20"/>
                <w:szCs w:val="20"/>
                <w:lang w:val="ro-RO"/>
              </w:rPr>
              <w:t xml:space="preserve"> de o bancă unui angajat ca parte a pachetului de </w:t>
            </w:r>
            <w:proofErr w:type="spellStart"/>
            <w:r w:rsidRPr="00684853">
              <w:rPr>
                <w:rFonts w:ascii="Times New Roman" w:hAnsi="Times New Roman" w:cs="Times New Roman"/>
                <w:bCs/>
                <w:color w:val="000000" w:themeColor="text1"/>
                <w:sz w:val="20"/>
                <w:szCs w:val="20"/>
                <w:lang w:val="ro-RO"/>
              </w:rPr>
              <w:t>remuneraţie</w:t>
            </w:r>
            <w:proofErr w:type="spellEnd"/>
            <w:r w:rsidRPr="00684853">
              <w:rPr>
                <w:rFonts w:ascii="Times New Roman" w:hAnsi="Times New Roman" w:cs="Times New Roman"/>
                <w:bCs/>
                <w:color w:val="000000" w:themeColor="text1"/>
                <w:sz w:val="20"/>
                <w:szCs w:val="20"/>
                <w:lang w:val="ro-RO"/>
              </w:rPr>
              <w:t xml:space="preserve"> variabilă al acestuia, care nu includ beneficiile datorate garantate angajatului în conformitate cu termenii schemei de pensionare a băncii.</w:t>
            </w:r>
          </w:p>
        </w:tc>
        <w:tc>
          <w:tcPr>
            <w:tcW w:w="562" w:type="pct"/>
            <w:tcBorders>
              <w:top w:val="single" w:sz="4" w:space="0" w:color="auto"/>
              <w:left w:val="single" w:sz="4" w:space="0" w:color="auto"/>
              <w:bottom w:val="single" w:sz="4" w:space="0" w:color="auto"/>
              <w:right w:val="single" w:sz="4" w:space="0" w:color="auto"/>
            </w:tcBorders>
          </w:tcPr>
          <w:p w14:paraId="5AB166AE"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2BD113A"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72ABB2B7" w14:textId="6180E9FE"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eastAsia="Arial Unicode MS" w:hAnsi="Times New Roman" w:cs="Times New Roman"/>
                <w:b/>
                <w:iCs/>
                <w:color w:val="000000" w:themeColor="text1"/>
                <w:sz w:val="20"/>
                <w:szCs w:val="20"/>
                <w:lang w:val="ro-RO"/>
              </w:rPr>
              <w:t>cu privire la amortizoarele de capital,</w:t>
            </w:r>
            <w:r w:rsidRPr="00684853">
              <w:rPr>
                <w:rFonts w:ascii="Times New Roman" w:hAnsi="Times New Roman" w:cs="Times New Roman"/>
                <w:color w:val="000000" w:themeColor="text1"/>
                <w:sz w:val="20"/>
                <w:szCs w:val="20"/>
                <w:lang w:val="ro-RO"/>
              </w:rPr>
              <w:t xml:space="preserve"> aprobat prin HCE al BNM nr.110/2018, prin noțiunea </w:t>
            </w:r>
            <w:r w:rsidRPr="00684853">
              <w:rPr>
                <w:rFonts w:ascii="Times New Roman" w:eastAsia="Calibri" w:hAnsi="Times New Roman" w:cs="Times New Roman"/>
                <w:color w:val="000000" w:themeColor="text1"/>
                <w:sz w:val="20"/>
                <w:szCs w:val="20"/>
                <w:lang w:val="ro-RO"/>
              </w:rPr>
              <w:t>„beneficii discreționare de tipul pensiilor”</w:t>
            </w:r>
            <w:r w:rsidRPr="00684853">
              <w:rPr>
                <w:rFonts w:ascii="Times New Roman" w:hAnsi="Times New Roman" w:cs="Times New Roman"/>
                <w:b/>
                <w:color w:val="000000" w:themeColor="text1"/>
                <w:sz w:val="20"/>
                <w:szCs w:val="20"/>
                <w:lang w:val="ro-RO"/>
              </w:rPr>
              <w:t>.</w:t>
            </w:r>
          </w:p>
        </w:tc>
      </w:tr>
      <w:tr w:rsidR="00EA59FA" w:rsidRPr="00684853" w14:paraId="2A18477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76014A3B"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74. </w:t>
            </w:r>
            <w:r w:rsidRPr="00684853">
              <w:rPr>
                <w:rFonts w:ascii="Times New Roman" w:eastAsia="Calibri" w:hAnsi="Times New Roman"/>
                <w:color w:val="000000" w:themeColor="text1"/>
                <w:sz w:val="20"/>
                <w:szCs w:val="20"/>
                <w:lang w:val="ro-RO"/>
              </w:rPr>
              <w:t>„valoare ipotecară” înseamnă valoarea bunurilor imobile stabilită printr-o evaluare prudentă a valorii de piață viitoare a bunurilor, ținând seama de aspectele sustenabile pe termen lung legate de bunuri, de condițiile de piață normale și locale, de utilizarea curentă și de eventualele utilizări alternative ale bunurilor;</w:t>
            </w:r>
          </w:p>
        </w:tc>
        <w:tc>
          <w:tcPr>
            <w:tcW w:w="1636" w:type="pct"/>
          </w:tcPr>
          <w:p w14:paraId="2A89B9B6"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00A653C3" w14:textId="05CBC4E9" w:rsidR="00395381" w:rsidRPr="00684853" w:rsidRDefault="00BD28A3"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Borders>
              <w:top w:val="single" w:sz="4" w:space="0" w:color="auto"/>
              <w:left w:val="single" w:sz="4" w:space="0" w:color="auto"/>
              <w:bottom w:val="single" w:sz="4" w:space="0" w:color="auto"/>
              <w:right w:val="single" w:sz="4" w:space="0" w:color="auto"/>
            </w:tcBorders>
          </w:tcPr>
          <w:p w14:paraId="6C8A83FC" w14:textId="4A618AFB" w:rsidR="00395381" w:rsidRPr="00684853" w:rsidRDefault="00A933CA"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Legislația RM nu prevede criterii riguroase pentru evaluarea valorii ipotecii.</w:t>
            </w:r>
          </w:p>
        </w:tc>
      </w:tr>
      <w:tr w:rsidR="00EA59FA" w:rsidRPr="00684853" w14:paraId="75F631A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277B153E" w14:textId="118BACFC" w:rsidR="00496B72" w:rsidRPr="00684853" w:rsidRDefault="00496B72"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043654CE" w14:textId="684021A3" w:rsidR="00496B72" w:rsidRPr="00684853" w:rsidRDefault="00496B72" w:rsidP="00496B72">
            <w:pPr>
              <w:rPr>
                <w:color w:val="000000" w:themeColor="text1"/>
                <w:lang w:val="ro-RO"/>
              </w:rPr>
            </w:pPr>
            <w:r w:rsidRPr="00684853">
              <w:rPr>
                <w:rFonts w:ascii="Times New Roman" w:eastAsia="Calibri" w:hAnsi="Times New Roman" w:cs="Times New Roman"/>
                <w:color w:val="000000" w:themeColor="text1"/>
                <w:sz w:val="20"/>
                <w:szCs w:val="20"/>
                <w:lang w:val="ro-RO"/>
              </w:rPr>
              <w:t>74a.</w:t>
            </w:r>
            <w:r w:rsidRPr="00684853">
              <w:rPr>
                <w:rFonts w:ascii="Times New Roman" w:eastAsia="Calibri" w:hAnsi="Times New Roman" w:cs="Times New Roman"/>
                <w:color w:val="000000" w:themeColor="text1"/>
                <w:sz w:val="20"/>
                <w:szCs w:val="20"/>
                <w:lang w:val="ro-RO"/>
              </w:rPr>
              <w:tab/>
              <w:t>«valoarea bunurilor imobile» înseamnă valoarea unui bun imobil locativ sau a unui bun imobil comercial determinată în conformitate cu articolul 229 alineatul (1);</w:t>
            </w:r>
          </w:p>
        </w:tc>
        <w:tc>
          <w:tcPr>
            <w:tcW w:w="1636" w:type="pct"/>
          </w:tcPr>
          <w:p w14:paraId="16DE94D0" w14:textId="77777777" w:rsidR="00496B72" w:rsidRDefault="00DF0AE3" w:rsidP="00C95C61">
            <w:pPr>
              <w:spacing w:after="0" w:line="276" w:lineRule="auto"/>
              <w:jc w:val="both"/>
              <w:rPr>
                <w:rFonts w:ascii="Times New Roman" w:hAnsi="Times New Roman" w:cs="Times New Roman"/>
                <w:bCs/>
                <w:color w:val="000000" w:themeColor="text1"/>
                <w:sz w:val="20"/>
                <w:szCs w:val="20"/>
                <w:lang w:val="ro-RO"/>
              </w:rPr>
            </w:pPr>
            <w:r w:rsidRPr="00DF0AE3">
              <w:rPr>
                <w:rFonts w:ascii="Times New Roman" w:hAnsi="Times New Roman" w:cs="Times New Roman"/>
                <w:b/>
                <w:color w:val="000000" w:themeColor="text1"/>
                <w:sz w:val="20"/>
                <w:szCs w:val="20"/>
                <w:lang w:val="ro-RO"/>
              </w:rPr>
              <w:t xml:space="preserve">valoarea bunurilor imobile - </w:t>
            </w:r>
            <w:r w:rsidRPr="00DF0AE3">
              <w:rPr>
                <w:rFonts w:ascii="Times New Roman" w:hAnsi="Times New Roman" w:cs="Times New Roman"/>
                <w:bCs/>
                <w:color w:val="000000" w:themeColor="text1"/>
                <w:sz w:val="20"/>
                <w:szCs w:val="20"/>
                <w:lang w:val="ro-RO"/>
              </w:rPr>
              <w:t>valoarea unui bun imobil locativ sau a unui bun imobil comercial determinată în conformitate cu punctele 107</w:t>
            </w:r>
            <w:r w:rsidRPr="00DF0AE3">
              <w:rPr>
                <w:rFonts w:ascii="Times New Roman" w:hAnsi="Times New Roman" w:cs="Times New Roman"/>
                <w:bCs/>
                <w:color w:val="000000" w:themeColor="text1"/>
                <w:sz w:val="20"/>
                <w:szCs w:val="20"/>
                <w:vertAlign w:val="superscript"/>
                <w:lang w:val="ro-RO"/>
              </w:rPr>
              <w:t>1</w:t>
            </w:r>
            <w:r w:rsidRPr="00DF0AE3">
              <w:rPr>
                <w:rFonts w:ascii="Times New Roman" w:hAnsi="Times New Roman" w:cs="Times New Roman"/>
                <w:bCs/>
                <w:color w:val="000000" w:themeColor="text1"/>
                <w:sz w:val="20"/>
                <w:szCs w:val="20"/>
                <w:lang w:val="ro-RO"/>
              </w:rPr>
              <w:t>-107</w:t>
            </w:r>
            <w:r w:rsidRPr="00DF0AE3">
              <w:rPr>
                <w:rFonts w:ascii="Times New Roman" w:hAnsi="Times New Roman" w:cs="Times New Roman"/>
                <w:bCs/>
                <w:color w:val="000000" w:themeColor="text1"/>
                <w:sz w:val="20"/>
                <w:szCs w:val="20"/>
                <w:vertAlign w:val="superscript"/>
                <w:lang w:val="ro-RO"/>
              </w:rPr>
              <w:t>3</w:t>
            </w:r>
            <w:r>
              <w:rPr>
                <w:rFonts w:ascii="Times New Roman" w:hAnsi="Times New Roman" w:cs="Times New Roman"/>
                <w:bCs/>
                <w:color w:val="000000" w:themeColor="text1"/>
                <w:sz w:val="20"/>
                <w:szCs w:val="20"/>
                <w:lang w:val="ro-RO"/>
              </w:rPr>
              <w:t>.</w:t>
            </w:r>
          </w:p>
          <w:p w14:paraId="73FFA6C8" w14:textId="4351E1FF" w:rsidR="00DF0AE3" w:rsidRDefault="00DF0AE3" w:rsidP="00DF0AE3">
            <w:pPr>
              <w:spacing w:before="120" w:after="0" w:line="240" w:lineRule="auto"/>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p w14:paraId="336018B6" w14:textId="03A8CE30" w:rsidR="00DF0AE3" w:rsidRPr="00DF0AE3" w:rsidRDefault="00DF0AE3" w:rsidP="00C95C61">
            <w:pPr>
              <w:spacing w:after="0" w:line="276" w:lineRule="auto"/>
              <w:jc w:val="both"/>
              <w:rPr>
                <w:rFonts w:ascii="Times New Roman" w:hAnsi="Times New Roman" w:cs="Times New Roman"/>
                <w:b/>
                <w:color w:val="000000" w:themeColor="text1"/>
                <w:sz w:val="20"/>
                <w:szCs w:val="20"/>
              </w:rPr>
            </w:pPr>
          </w:p>
        </w:tc>
        <w:tc>
          <w:tcPr>
            <w:tcW w:w="562" w:type="pct"/>
            <w:tcBorders>
              <w:top w:val="single" w:sz="4" w:space="0" w:color="auto"/>
              <w:left w:val="single" w:sz="4" w:space="0" w:color="auto"/>
              <w:bottom w:val="single" w:sz="4" w:space="0" w:color="auto"/>
              <w:right w:val="single" w:sz="4" w:space="0" w:color="auto"/>
            </w:tcBorders>
          </w:tcPr>
          <w:p w14:paraId="08A0C89A" w14:textId="10F6704D" w:rsidR="00496B72" w:rsidRPr="00684853" w:rsidDel="00BD28A3" w:rsidRDefault="00DF0AE3" w:rsidP="00C95C61">
            <w:pPr>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1B3C5E31" w14:textId="593EEF9F" w:rsidR="00496B72" w:rsidRPr="00684853" w:rsidRDefault="00496B72" w:rsidP="00A53416">
            <w:pPr>
              <w:rPr>
                <w:rFonts w:ascii="Times New Roman" w:hAnsi="Times New Roman" w:cs="Times New Roman"/>
                <w:color w:val="000000" w:themeColor="text1"/>
                <w:sz w:val="20"/>
                <w:szCs w:val="20"/>
                <w:lang w:val="ro-RO"/>
              </w:rPr>
            </w:pPr>
          </w:p>
        </w:tc>
      </w:tr>
      <w:tr w:rsidR="00EA59FA" w:rsidRPr="00684853" w14:paraId="30A09CB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CD0C19F" w14:textId="24C26578" w:rsidR="003A6608" w:rsidRPr="00684853" w:rsidRDefault="003A6608" w:rsidP="003E2A40">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C5DC9EA" w14:textId="1B1DAF21" w:rsidR="003A6608" w:rsidRPr="00684853" w:rsidRDefault="00395381" w:rsidP="003E2A40">
            <w:pPr>
              <w:pStyle w:val="CM4"/>
              <w:jc w:val="both"/>
              <w:rPr>
                <w:color w:val="000000" w:themeColor="text1"/>
              </w:rPr>
            </w:pPr>
            <w:r w:rsidRPr="00684853">
              <w:rPr>
                <w:rFonts w:ascii="Times New Roman" w:hAnsi="Times New Roman"/>
                <w:b/>
                <w:color w:val="000000" w:themeColor="text1"/>
                <w:sz w:val="20"/>
                <w:szCs w:val="20"/>
                <w:lang w:val="ro-RO"/>
              </w:rPr>
              <w:t xml:space="preserve">75. </w:t>
            </w:r>
            <w:r w:rsidRPr="00684853">
              <w:rPr>
                <w:rFonts w:ascii="Times New Roman" w:hAnsi="Times New Roman"/>
                <w:color w:val="000000" w:themeColor="text1"/>
                <w:sz w:val="20"/>
                <w:szCs w:val="20"/>
                <w:lang w:val="ro-RO"/>
              </w:rPr>
              <w:t>„bun imobil locativ”</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w:t>
            </w:r>
            <w:r w:rsidR="003A6608" w:rsidRPr="00684853">
              <w:rPr>
                <w:rFonts w:ascii="Times New Roman" w:hAnsi="Times New Roman"/>
                <w:color w:val="000000" w:themeColor="text1"/>
                <w:sz w:val="20"/>
                <w:szCs w:val="20"/>
                <w:lang w:val="ro-RO"/>
              </w:rPr>
              <w:t xml:space="preserve">oricare dintre următoarele: </w:t>
            </w:r>
            <w:r w:rsidR="003A6608" w:rsidRPr="00684853">
              <w:rPr>
                <w:color w:val="000000" w:themeColor="text1"/>
              </w:rPr>
              <w:t xml:space="preserve"> </w:t>
            </w:r>
          </w:p>
          <w:p w14:paraId="66040172" w14:textId="20C3B89F" w:rsidR="003A6608" w:rsidRPr="00684853" w:rsidRDefault="003A6608" w:rsidP="003E2A40">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w:t>
            </w:r>
            <w:bookmarkStart w:id="1" w:name="_Hlk193375486"/>
            <w:r w:rsidRPr="00684853">
              <w:rPr>
                <w:rFonts w:ascii="Times New Roman" w:hAnsi="Times New Roman"/>
                <w:color w:val="000000" w:themeColor="text1"/>
                <w:sz w:val="20"/>
                <w:szCs w:val="20"/>
                <w:lang w:val="ro-RO"/>
              </w:rPr>
              <w:t>un bun imobil care are natura unei locuințe și care respectă toate legile și reglementările aplicabile care permit ca bunul să fie ocupat în scop de locuire;</w:t>
            </w:r>
          </w:p>
          <w:bookmarkEnd w:id="1"/>
          <w:p w14:paraId="42B85FF6" w14:textId="2B8A475D" w:rsidR="003A6608" w:rsidRPr="00684853" w:rsidRDefault="003A6608" w:rsidP="003E2A40">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bun imobil care are natura unei locuințe și se află încă în construcție, cu condiția să se preconizeze că acesta va respecta toate legile și reglementările aplicabile care permit ca bunul să fie ocupat în scopuri de locuire;</w:t>
            </w:r>
          </w:p>
          <w:p w14:paraId="36462946" w14:textId="06464743" w:rsidR="003A6608" w:rsidRPr="00684853" w:rsidRDefault="003A6608" w:rsidP="003E2A40">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dreptul de a locui într-un apartament din societățile cooperative de locuințe situate în Suedia;</w:t>
            </w:r>
          </w:p>
          <w:p w14:paraId="007AADC6" w14:textId="5EE6DF79" w:rsidR="00395381" w:rsidRPr="00684853" w:rsidRDefault="003A6608" w:rsidP="003E2A40">
            <w:pPr>
              <w:pStyle w:val="CM4"/>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(d) terenul accesoriu unui bun menționat la litera (a), (b) sau (c);</w:t>
            </w:r>
          </w:p>
        </w:tc>
        <w:tc>
          <w:tcPr>
            <w:tcW w:w="1636" w:type="pct"/>
          </w:tcPr>
          <w:p w14:paraId="60A14EF3" w14:textId="7B134765" w:rsidR="009A664F" w:rsidRPr="00684853" w:rsidRDefault="00BD28A3" w:rsidP="009A664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bun imobil locativ </w:t>
            </w:r>
            <w:r w:rsidRPr="00684853">
              <w:rPr>
                <w:rFonts w:ascii="Times New Roman" w:hAnsi="Times New Roman" w:cs="Times New Roman"/>
                <w:bCs/>
                <w:color w:val="000000" w:themeColor="text1"/>
                <w:sz w:val="20"/>
                <w:szCs w:val="20"/>
                <w:lang w:val="ro-RO"/>
              </w:rPr>
              <w:t>–</w:t>
            </w:r>
            <w:r w:rsidR="009A664F" w:rsidRPr="00684853">
              <w:rPr>
                <w:rFonts w:ascii="Times New Roman" w:hAnsi="Times New Roman" w:cs="Times New Roman"/>
                <w:bCs/>
                <w:color w:val="000000" w:themeColor="text1"/>
                <w:sz w:val="20"/>
                <w:szCs w:val="20"/>
                <w:lang w:val="ro-RO"/>
              </w:rPr>
              <w:t>bun imobil cu destinație locativă – oricare dintre următoarele:</w:t>
            </w:r>
          </w:p>
          <w:p w14:paraId="275EBCF6" w14:textId="6F863D9D" w:rsidR="009A664F" w:rsidRPr="00684853" w:rsidRDefault="009A664F" w:rsidP="009A664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1) un bun imobil care are natura unei locuințe și care respectă toate legile și reglementările aplicabile care permit ca bunul să fie ocupat în scop de locuire;</w:t>
            </w:r>
          </w:p>
          <w:p w14:paraId="7883E66E" w14:textId="0D281BB6" w:rsidR="009A664F" w:rsidRPr="00684853" w:rsidRDefault="009A664F" w:rsidP="009A664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2) un bun imobil care are natura unei locuințe și se află încă în construcție, cu condiția să se preconizeze că acesta va respecta toate legile și reglementările aplicabile care permit ca bunul să fie ocupat în scopuri de locuire;</w:t>
            </w:r>
          </w:p>
          <w:p w14:paraId="772C0B95" w14:textId="7C396A54" w:rsidR="009A664F" w:rsidRPr="00684853" w:rsidRDefault="009A664F" w:rsidP="009A664F">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3) dreptul de a locui într-un apartament din societățile cooperative de locuințe situate în Suedia;</w:t>
            </w:r>
          </w:p>
          <w:p w14:paraId="7D693CF9" w14:textId="411407C4" w:rsidR="00395381" w:rsidRPr="00684853" w:rsidRDefault="009A664F" w:rsidP="009A664F">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4) terenul accesoriu unui bun menționat la punctele 1) - 3);</w:t>
            </w:r>
          </w:p>
        </w:tc>
        <w:tc>
          <w:tcPr>
            <w:tcW w:w="562" w:type="pct"/>
          </w:tcPr>
          <w:p w14:paraId="49551791" w14:textId="7B609840"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075E579"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885" w:type="pct"/>
          </w:tcPr>
          <w:p w14:paraId="32E2A22B" w14:textId="4465859B"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nr.111/2018</w:t>
            </w:r>
            <w:r w:rsidRPr="00684853">
              <w:rPr>
                <w:rFonts w:ascii="Times New Roman" w:hAnsi="Times New Roman" w:cs="Times New Roman"/>
                <w:b/>
                <w:color w:val="000000" w:themeColor="text1"/>
                <w:sz w:val="20"/>
                <w:szCs w:val="20"/>
                <w:lang w:val="ro-RO"/>
              </w:rPr>
              <w:t>.</w:t>
            </w:r>
          </w:p>
        </w:tc>
      </w:tr>
      <w:tr w:rsidR="00EA59FA" w:rsidRPr="00684853" w14:paraId="170B2A3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8A20706" w14:textId="77777777" w:rsidR="003E2A40" w:rsidRPr="00F96EE7" w:rsidRDefault="003E2A40" w:rsidP="003A6608">
            <w:pPr>
              <w:pStyle w:val="CM4"/>
              <w:spacing w:after="120"/>
              <w:jc w:val="both"/>
              <w:rPr>
                <w:rFonts w:ascii="Times New Roman" w:hAnsi="Times New Roman"/>
                <w:b/>
                <w:color w:val="000000" w:themeColor="text1"/>
                <w:sz w:val="20"/>
                <w:szCs w:val="20"/>
                <w:lang w:val="ro-RO"/>
              </w:rPr>
            </w:pPr>
            <w:r w:rsidRPr="00F96EE7">
              <w:rPr>
                <w:rFonts w:ascii="Times New Roman" w:hAnsi="Times New Roman"/>
                <w:b/>
                <w:color w:val="000000" w:themeColor="text1"/>
                <w:sz w:val="20"/>
                <w:szCs w:val="20"/>
                <w:lang w:val="ro-RO"/>
              </w:rPr>
              <w:t>M17</w:t>
            </w:r>
          </w:p>
          <w:p w14:paraId="05835A8A" w14:textId="1CE12A3A" w:rsidR="003E2A40" w:rsidRPr="00684853" w:rsidRDefault="003E2A40" w:rsidP="003E2A40">
            <w:pPr>
              <w:rPr>
                <w:color w:val="000000" w:themeColor="text1"/>
                <w:lang w:val="ro-RO"/>
              </w:rPr>
            </w:pPr>
            <w:r w:rsidRPr="00684853">
              <w:rPr>
                <w:rFonts w:ascii="Times New Roman" w:eastAsia="Times New Roman" w:hAnsi="Times New Roman" w:cs="Times New Roman"/>
                <w:color w:val="000000" w:themeColor="text1"/>
                <w:sz w:val="20"/>
                <w:szCs w:val="20"/>
                <w:lang w:val="ro-RO"/>
              </w:rPr>
              <w:t>75a.</w:t>
            </w:r>
            <w:r w:rsidRPr="00684853">
              <w:rPr>
                <w:rFonts w:ascii="Times New Roman" w:eastAsia="Times New Roman" w:hAnsi="Times New Roman" w:cs="Times New Roman"/>
                <w:color w:val="000000" w:themeColor="text1"/>
                <w:sz w:val="20"/>
                <w:szCs w:val="20"/>
                <w:lang w:val="ro-RO"/>
              </w:rPr>
              <w:tab/>
              <w:t xml:space="preserve">«bun imobil comercial» înseamnă </w:t>
            </w:r>
            <w:bookmarkStart w:id="2" w:name="_Hlk193375693"/>
            <w:r w:rsidRPr="00684853">
              <w:rPr>
                <w:rFonts w:ascii="Times New Roman" w:eastAsia="Times New Roman" w:hAnsi="Times New Roman" w:cs="Times New Roman"/>
                <w:color w:val="000000" w:themeColor="text1"/>
                <w:sz w:val="20"/>
                <w:szCs w:val="20"/>
                <w:lang w:val="ro-RO"/>
              </w:rPr>
              <w:t>orice bun imobil care nu este bun imobil locativ</w:t>
            </w:r>
            <w:bookmarkEnd w:id="2"/>
            <w:r w:rsidRPr="00684853">
              <w:rPr>
                <w:rFonts w:ascii="Times New Roman" w:eastAsia="Times New Roman" w:hAnsi="Times New Roman" w:cs="Times New Roman"/>
                <w:color w:val="000000" w:themeColor="text1"/>
                <w:sz w:val="20"/>
                <w:szCs w:val="20"/>
                <w:lang w:val="ro-RO"/>
              </w:rPr>
              <w:t>;</w:t>
            </w:r>
          </w:p>
        </w:tc>
        <w:tc>
          <w:tcPr>
            <w:tcW w:w="1636" w:type="pct"/>
          </w:tcPr>
          <w:p w14:paraId="1B351256" w14:textId="1977190D" w:rsidR="003E2A40" w:rsidRPr="00684853" w:rsidRDefault="009A664F"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bun imobil cu destinație comercială </w:t>
            </w:r>
            <w:r w:rsidRPr="00684853">
              <w:rPr>
                <w:rFonts w:ascii="Times New Roman" w:hAnsi="Times New Roman" w:cs="Times New Roman"/>
                <w:bCs/>
                <w:color w:val="000000" w:themeColor="text1"/>
                <w:sz w:val="20"/>
                <w:szCs w:val="20"/>
                <w:lang w:val="ro-RO"/>
              </w:rPr>
              <w:t>– orice bun imobil care nu este bun imobil locativ</w:t>
            </w:r>
          </w:p>
        </w:tc>
        <w:tc>
          <w:tcPr>
            <w:tcW w:w="562" w:type="pct"/>
          </w:tcPr>
          <w:p w14:paraId="5E0D3B8A" w14:textId="18CC28B9" w:rsidR="003E2A40" w:rsidRPr="00684853" w:rsidRDefault="00AE7DE9"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3CB21638" w14:textId="2A0E10B1" w:rsidR="003E2A40" w:rsidRPr="00684853" w:rsidRDefault="00AE7DE9"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Regulamentul nr.111/2018</w:t>
            </w:r>
          </w:p>
        </w:tc>
      </w:tr>
      <w:tr w:rsidR="00EA59FA" w:rsidRPr="00684853" w14:paraId="13728DC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B8AAD5B" w14:textId="77777777" w:rsidR="003E2A40" w:rsidRPr="00684853" w:rsidRDefault="003E2A40" w:rsidP="003E2A40">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068349F" w14:textId="470C6F9E" w:rsidR="003E2A40" w:rsidRPr="00684853" w:rsidRDefault="003E2A40" w:rsidP="003E2A40">
            <w:pPr>
              <w:jc w:val="both"/>
              <w:rPr>
                <w:color w:val="000000" w:themeColor="text1"/>
                <w:lang w:val="ro-RO"/>
              </w:rPr>
            </w:pPr>
            <w:r w:rsidRPr="00684853">
              <w:rPr>
                <w:rFonts w:ascii="Times New Roman" w:eastAsia="Times New Roman" w:hAnsi="Times New Roman" w:cs="Times New Roman"/>
                <w:b/>
                <w:bCs/>
                <w:color w:val="000000" w:themeColor="text1"/>
                <w:sz w:val="20"/>
                <w:szCs w:val="20"/>
                <w:lang w:val="ro-RO"/>
              </w:rPr>
              <w:t>75b.</w:t>
            </w:r>
            <w:r w:rsidRPr="00684853">
              <w:rPr>
                <w:rFonts w:ascii="Times New Roman" w:eastAsia="Times New Roman" w:hAnsi="Times New Roman" w:cs="Times New Roman"/>
                <w:color w:val="000000" w:themeColor="text1"/>
                <w:sz w:val="20"/>
                <w:szCs w:val="20"/>
                <w:lang w:val="ro-RO"/>
              </w:rPr>
              <w:tab/>
              <w:t>«</w:t>
            </w:r>
            <w:bookmarkStart w:id="3" w:name="_Hlk193376142"/>
            <w:r w:rsidRPr="00684853">
              <w:rPr>
                <w:rFonts w:ascii="Times New Roman" w:eastAsia="Times New Roman" w:hAnsi="Times New Roman" w:cs="Times New Roman"/>
                <w:color w:val="000000" w:themeColor="text1"/>
                <w:sz w:val="20"/>
                <w:szCs w:val="20"/>
                <w:lang w:val="ro-RO"/>
              </w:rPr>
              <w:t xml:space="preserve">expunere aferentă bunurilor imobile generatoare de venituri» sau «expunere IPRE» înseamnă o expunere garantată cu unul sau mai multe bunuri imobile locative sau bunuri imobile comerciale, în cazul căreia îndeplinirea obligațiilor din credite legate de expunere depinde în mod semnificativ de fluxurile de numerar generate de respectivele bunuri imobile cu care este garantată </w:t>
            </w:r>
            <w:r w:rsidRPr="00684853">
              <w:rPr>
                <w:rFonts w:ascii="Times New Roman" w:eastAsia="Times New Roman" w:hAnsi="Times New Roman" w:cs="Times New Roman"/>
                <w:color w:val="000000" w:themeColor="text1"/>
                <w:sz w:val="20"/>
                <w:szCs w:val="20"/>
                <w:lang w:val="ro-RO"/>
              </w:rPr>
              <w:lastRenderedPageBreak/>
              <w:t>expunerea în cauză, și nu de capacitatea debitorului de a-și îndeplini din alte surse obligațiile din credite, sursa principală a unor astfel de fluxuri de numerar fiind plățile din leasing sau din chirii ori încasările din vânzarea bunului imobil locativ sau a bunului imobil comercial;</w:t>
            </w:r>
            <w:bookmarkEnd w:id="3"/>
          </w:p>
        </w:tc>
        <w:tc>
          <w:tcPr>
            <w:tcW w:w="1636" w:type="pct"/>
          </w:tcPr>
          <w:p w14:paraId="48B7A130" w14:textId="408696CD" w:rsidR="003E2A40" w:rsidRPr="00684853" w:rsidRDefault="003E2A40" w:rsidP="003E2A40">
            <w:pPr>
              <w:spacing w:after="0" w:line="276" w:lineRule="auto"/>
              <w:jc w:val="both"/>
              <w:rPr>
                <w:rFonts w:ascii="Times New Roman" w:hAnsi="Times New Roman" w:cs="Times New Roman"/>
                <w:b/>
                <w:color w:val="000000" w:themeColor="text1"/>
                <w:sz w:val="20"/>
                <w:szCs w:val="20"/>
                <w:lang w:val="ro-RO"/>
              </w:rPr>
            </w:pPr>
          </w:p>
        </w:tc>
        <w:tc>
          <w:tcPr>
            <w:tcW w:w="562" w:type="pct"/>
          </w:tcPr>
          <w:p w14:paraId="47AF77B8" w14:textId="35EB78DB" w:rsidR="003E2A40" w:rsidRPr="00684853" w:rsidRDefault="00AE7DE9" w:rsidP="003E2A4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7757A0D9"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31909A0C" w14:textId="49B31C75" w:rsidR="003E2A40" w:rsidRPr="00684853" w:rsidRDefault="003E2A40" w:rsidP="003E2A40">
            <w:pPr>
              <w:rPr>
                <w:rFonts w:ascii="Times New Roman" w:hAnsi="Times New Roman" w:cs="Times New Roman"/>
                <w:color w:val="000000" w:themeColor="text1"/>
                <w:sz w:val="20"/>
                <w:szCs w:val="20"/>
              </w:rPr>
            </w:pPr>
          </w:p>
        </w:tc>
      </w:tr>
      <w:tr w:rsidR="00EA59FA" w:rsidRPr="00684853" w14:paraId="066971D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F80363A" w14:textId="77777777" w:rsidR="00AE7DE9" w:rsidRPr="00684853" w:rsidRDefault="00AE7DE9" w:rsidP="00AE7DE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44D34EA3" w14:textId="17EE1D84" w:rsidR="00AE7DE9" w:rsidRPr="00684853" w:rsidRDefault="00AE7DE9" w:rsidP="00AE7DE9">
            <w:pPr>
              <w:rPr>
                <w:color w:val="000000" w:themeColor="text1"/>
                <w:lang w:val="ro-RO"/>
              </w:rPr>
            </w:pPr>
            <w:r w:rsidRPr="00684853">
              <w:rPr>
                <w:b/>
                <w:bCs/>
                <w:color w:val="000000" w:themeColor="text1"/>
                <w:lang w:val="ro-RO"/>
              </w:rPr>
              <w:t>75c.</w:t>
            </w:r>
            <w:r w:rsidRPr="00684853">
              <w:rPr>
                <w:b/>
                <w:bCs/>
                <w:color w:val="000000" w:themeColor="text1"/>
                <w:lang w:val="ro-RO"/>
              </w:rPr>
              <w:tab/>
            </w:r>
            <w:r w:rsidRPr="00684853">
              <w:rPr>
                <w:rFonts w:ascii="Times New Roman" w:eastAsia="Times New Roman" w:hAnsi="Times New Roman" w:cs="Times New Roman"/>
                <w:color w:val="000000" w:themeColor="text1"/>
                <w:sz w:val="20"/>
                <w:szCs w:val="20"/>
                <w:lang w:val="ro-RO"/>
              </w:rPr>
              <w:t>«</w:t>
            </w:r>
            <w:bookmarkStart w:id="4" w:name="_Hlk193375821"/>
            <w:r w:rsidRPr="00684853">
              <w:rPr>
                <w:rFonts w:ascii="Times New Roman" w:eastAsia="Times New Roman" w:hAnsi="Times New Roman" w:cs="Times New Roman"/>
                <w:color w:val="000000" w:themeColor="text1"/>
                <w:sz w:val="20"/>
                <w:szCs w:val="20"/>
                <w:lang w:val="ro-RO"/>
              </w:rPr>
              <w:t>expunere aferentă bunurilor imobile care nu generează venituri» sau «expunere non-IPRE» înseamnă orice expunere garantată cu unul sau mai multe bunuri imobile locative sau bunuri imobile comerciale care nu este o expunere IPRE;</w:t>
            </w:r>
            <w:bookmarkEnd w:id="4"/>
          </w:p>
        </w:tc>
        <w:tc>
          <w:tcPr>
            <w:tcW w:w="1636" w:type="pct"/>
          </w:tcPr>
          <w:p w14:paraId="797CAAC3" w14:textId="28683359"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62" w:type="pct"/>
          </w:tcPr>
          <w:p w14:paraId="3EAFFC17" w14:textId="07F481B5" w:rsidR="00AE7DE9" w:rsidRPr="00684853"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A20BC38"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0066E4F0" w14:textId="77777777" w:rsidR="00AE7DE9" w:rsidRPr="00684853" w:rsidRDefault="00AE7DE9" w:rsidP="00AE7DE9">
            <w:pPr>
              <w:rPr>
                <w:rFonts w:ascii="Times New Roman" w:hAnsi="Times New Roman" w:cs="Times New Roman"/>
                <w:color w:val="000000" w:themeColor="text1"/>
                <w:sz w:val="20"/>
                <w:szCs w:val="20"/>
                <w:lang w:val="ro-RO"/>
              </w:rPr>
            </w:pPr>
          </w:p>
        </w:tc>
      </w:tr>
      <w:tr w:rsidR="00EA59FA" w:rsidRPr="00684853" w14:paraId="13C7D55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4926CE2" w14:textId="77777777" w:rsidR="00AE7DE9" w:rsidRPr="00684853" w:rsidRDefault="00AE7DE9" w:rsidP="00AE7DE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1F600609" w14:textId="495749F2" w:rsidR="00AE7DE9" w:rsidRPr="00684853" w:rsidRDefault="00AE7DE9" w:rsidP="00AE7DE9">
            <w:pPr>
              <w:rPr>
                <w:color w:val="000000" w:themeColor="text1"/>
                <w:lang w:val="ro-RO"/>
              </w:rPr>
            </w:pPr>
            <w:r w:rsidRPr="00684853">
              <w:rPr>
                <w:b/>
                <w:bCs/>
                <w:color w:val="000000" w:themeColor="text1"/>
                <w:lang w:val="ro-RO"/>
              </w:rPr>
              <w:t>75d.</w:t>
            </w:r>
            <w:r w:rsidRPr="00684853">
              <w:rPr>
                <w:color w:val="000000" w:themeColor="text1"/>
                <w:lang w:val="ro-RO"/>
              </w:rPr>
              <w:tab/>
            </w:r>
            <w:bookmarkStart w:id="5" w:name="_Hlk193379882"/>
            <w:r w:rsidRPr="00684853">
              <w:rPr>
                <w:rFonts w:ascii="Times New Roman" w:eastAsia="Times New Roman" w:hAnsi="Times New Roman" w:cs="Times New Roman"/>
                <w:color w:val="000000" w:themeColor="text1"/>
                <w:sz w:val="20"/>
                <w:szCs w:val="20"/>
                <w:lang w:val="ro-RO"/>
              </w:rPr>
              <w:t>«expunere garantată cu bunuri imobile locative» sau «expunere garantată cu ipoteci asupra bunurilor imobile locative» înseamnă o expunere garantată cu un bun imobil locativ sau o expunere considerată ca atare în conformitate cu articolul 108 alineatul (4);</w:t>
            </w:r>
            <w:bookmarkEnd w:id="5"/>
          </w:p>
        </w:tc>
        <w:tc>
          <w:tcPr>
            <w:tcW w:w="1636" w:type="pct"/>
          </w:tcPr>
          <w:p w14:paraId="41D44516" w14:textId="77777777"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62" w:type="pct"/>
          </w:tcPr>
          <w:p w14:paraId="076B3137" w14:textId="4BB0FCDC" w:rsidR="00AE7DE9" w:rsidRPr="00684853"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64BC4C0" w14:textId="65BB1FA5" w:rsidR="00AE7DE9" w:rsidRPr="00684853" w:rsidRDefault="00AE7DE9" w:rsidP="00AE7DE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Regulamentului nr.112/2018 cu privire la tehnicile de diminuare a riscului de credit utilizate de bănci.</w:t>
            </w:r>
          </w:p>
        </w:tc>
      </w:tr>
      <w:tr w:rsidR="00EA59FA" w:rsidRPr="00684853" w14:paraId="4629222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986586A" w14:textId="77777777" w:rsidR="00AE7DE9" w:rsidRPr="00684853" w:rsidRDefault="00AE7DE9" w:rsidP="00AE7DE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1AADAA48" w14:textId="061011C1" w:rsidR="00AE7DE9" w:rsidRPr="00684853" w:rsidRDefault="00AE7DE9" w:rsidP="00AE7DE9">
            <w:pPr>
              <w:rPr>
                <w:color w:val="000000" w:themeColor="text1"/>
                <w:lang w:val="ro-RO"/>
              </w:rPr>
            </w:pPr>
            <w:r w:rsidRPr="00684853">
              <w:rPr>
                <w:b/>
                <w:bCs/>
                <w:color w:val="000000" w:themeColor="text1"/>
                <w:lang w:val="ro-RO"/>
              </w:rPr>
              <w:t>75e.</w:t>
            </w:r>
            <w:r w:rsidRPr="00684853">
              <w:rPr>
                <w:color w:val="000000" w:themeColor="text1"/>
                <w:lang w:val="ro-RO"/>
              </w:rPr>
              <w:tab/>
            </w:r>
            <w:r w:rsidRPr="00684853">
              <w:rPr>
                <w:rFonts w:ascii="Times New Roman" w:eastAsia="Times New Roman" w:hAnsi="Times New Roman" w:cs="Times New Roman"/>
                <w:color w:val="000000" w:themeColor="text1"/>
                <w:sz w:val="20"/>
                <w:szCs w:val="20"/>
                <w:lang w:val="ro-RO"/>
              </w:rPr>
              <w:t>«expunere garantată cu bunuri imobile comerciale» sau «expunere garantată cu ipoteci asupra bunurilor imobile comerciale» înseamnă o expunere garantată cu un bun imobil comercial;</w:t>
            </w:r>
          </w:p>
        </w:tc>
        <w:tc>
          <w:tcPr>
            <w:tcW w:w="1636" w:type="pct"/>
          </w:tcPr>
          <w:p w14:paraId="136A3CCA" w14:textId="77777777"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62" w:type="pct"/>
          </w:tcPr>
          <w:p w14:paraId="6DAAC06F" w14:textId="5FE15511" w:rsidR="00AE7DE9" w:rsidRPr="00684853"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AA56539" w14:textId="56B9DBBA" w:rsidR="00AE7DE9" w:rsidRPr="00684853" w:rsidRDefault="00AE7DE9" w:rsidP="00AE7DE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Regulamentului nr.112/2018 cu privire la tehnicile de diminuare a riscului de credit utilizate de bănci.</w:t>
            </w:r>
          </w:p>
        </w:tc>
      </w:tr>
      <w:tr w:rsidR="00EA59FA" w:rsidRPr="00684853" w14:paraId="6CBB7D9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0511C22" w14:textId="77777777" w:rsidR="00AE7DE9" w:rsidRPr="00684853" w:rsidRDefault="00AE7DE9" w:rsidP="00AE7DE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01AEFD40" w14:textId="6621F566" w:rsidR="00AE7DE9" w:rsidRPr="00684853" w:rsidRDefault="00AE7DE9" w:rsidP="00AE7DE9">
            <w:pPr>
              <w:rPr>
                <w:color w:val="000000" w:themeColor="text1"/>
                <w:lang w:val="ro-RO"/>
              </w:rPr>
            </w:pPr>
            <w:r w:rsidRPr="00684853">
              <w:rPr>
                <w:b/>
                <w:bCs/>
                <w:color w:val="000000" w:themeColor="text1"/>
                <w:lang w:val="ro-RO"/>
              </w:rPr>
              <w:t>75f.</w:t>
            </w:r>
            <w:r w:rsidRPr="00684853">
              <w:rPr>
                <w:color w:val="000000" w:themeColor="text1"/>
                <w:lang w:val="ro-RO"/>
              </w:rPr>
              <w:tab/>
            </w:r>
            <w:r w:rsidRPr="00684853">
              <w:rPr>
                <w:rFonts w:ascii="Times New Roman" w:eastAsia="Times New Roman" w:hAnsi="Times New Roman" w:cs="Times New Roman"/>
                <w:color w:val="000000" w:themeColor="text1"/>
                <w:sz w:val="20"/>
                <w:szCs w:val="20"/>
                <w:lang w:val="ro-RO"/>
              </w:rPr>
              <w:t xml:space="preserve">«expunere garantată cu bunuri imobile» sau «expunere garantată cu ipoteci asupra bunurilor imobile» sau «expunere garantată cu garanții reale constând în bunuri imobile» înseamnă o </w:t>
            </w:r>
            <w:r w:rsidRPr="00684853">
              <w:rPr>
                <w:rFonts w:ascii="Times New Roman" w:eastAsia="Times New Roman" w:hAnsi="Times New Roman" w:cs="Times New Roman"/>
                <w:color w:val="000000" w:themeColor="text1"/>
                <w:sz w:val="20"/>
                <w:szCs w:val="20"/>
                <w:lang w:val="ro-RO"/>
              </w:rPr>
              <w:lastRenderedPageBreak/>
              <w:t>expunere garantată cu un bun imobil locativ sau un bun imobil comercial sau o expunere considerată ca atare în conformitate cu articolul 108 alineatul (4);</w:t>
            </w:r>
          </w:p>
        </w:tc>
        <w:tc>
          <w:tcPr>
            <w:tcW w:w="1636" w:type="pct"/>
          </w:tcPr>
          <w:p w14:paraId="31362A83" w14:textId="77777777"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62" w:type="pct"/>
          </w:tcPr>
          <w:p w14:paraId="0609A828" w14:textId="62896283" w:rsidR="00AE7DE9" w:rsidRPr="00684853"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B84B25D" w14:textId="65EEA655" w:rsidR="00AE7DE9" w:rsidRPr="00684853" w:rsidRDefault="00AE7DE9" w:rsidP="00AE7DE9">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Regulamentului nr.112/2018 cu privire la tehnicile de </w:t>
            </w:r>
            <w:r w:rsidRPr="00684853">
              <w:rPr>
                <w:rFonts w:ascii="Times New Roman" w:hAnsi="Times New Roman" w:cs="Times New Roman"/>
                <w:color w:val="000000" w:themeColor="text1"/>
                <w:sz w:val="20"/>
                <w:szCs w:val="20"/>
                <w:lang w:val="ro-RO"/>
              </w:rPr>
              <w:lastRenderedPageBreak/>
              <w:t xml:space="preserve">diminuare a riscului de credit utilizate de bănci. </w:t>
            </w:r>
          </w:p>
        </w:tc>
      </w:tr>
      <w:tr w:rsidR="00EA59FA" w:rsidRPr="00684853" w14:paraId="5566C6E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CAA1771" w14:textId="19F1F6C1" w:rsidR="00395381" w:rsidRPr="00684853" w:rsidRDefault="00395381" w:rsidP="00C95C61">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76</w:t>
            </w:r>
            <w:r w:rsidRPr="00684853">
              <w:rPr>
                <w:rFonts w:ascii="Times New Roman" w:hAnsi="Times New Roman"/>
                <w:color w:val="000000" w:themeColor="text1"/>
                <w:sz w:val="20"/>
                <w:szCs w:val="20"/>
                <w:lang w:val="ro-RO"/>
              </w:rPr>
              <w:t xml:space="preserve">. „valoare de piață”, în sensul bunurilor imobile, înseamnă cuantumul estimat care </w:t>
            </w:r>
            <w:r w:rsidR="00E14323" w:rsidRPr="00684853">
              <w:rPr>
                <w:rFonts w:ascii="Times New Roman" w:hAnsi="Times New Roman"/>
                <w:color w:val="000000" w:themeColor="text1"/>
                <w:sz w:val="20"/>
                <w:szCs w:val="20"/>
                <w:lang w:val="ro-RO"/>
              </w:rPr>
              <w:t>a</w:t>
            </w:r>
            <w:r w:rsidRPr="00684853">
              <w:rPr>
                <w:rFonts w:ascii="Times New Roman" w:hAnsi="Times New Roman"/>
                <w:color w:val="000000" w:themeColor="text1"/>
                <w:sz w:val="20"/>
                <w:szCs w:val="20"/>
                <w:lang w:val="ro-RO"/>
              </w:rPr>
              <w:t xml:space="preserve">r putea fi plătit în schimbul bunurilor la data evaluării între un cumpărător și un vânzător interesați în cadrul unei tranzacții încheiate în condiții de concurență </w:t>
            </w:r>
            <w:r w:rsidR="00E14323" w:rsidRPr="00684853">
              <w:rPr>
                <w:rFonts w:ascii="Times New Roman" w:hAnsi="Times New Roman"/>
                <w:color w:val="000000" w:themeColor="text1"/>
                <w:sz w:val="20"/>
                <w:szCs w:val="20"/>
                <w:lang w:val="ro-RO"/>
              </w:rPr>
              <w:t>deplină</w:t>
            </w:r>
            <w:r w:rsidRPr="00684853">
              <w:rPr>
                <w:rFonts w:ascii="Times New Roman" w:hAnsi="Times New Roman"/>
                <w:color w:val="000000" w:themeColor="text1"/>
                <w:sz w:val="20"/>
                <w:szCs w:val="20"/>
                <w:lang w:val="ro-RO"/>
              </w:rPr>
              <w:t>, în care fiecare parte acționează în deplină cunoștință de cauză, prudent și fără constrângeri;</w:t>
            </w:r>
          </w:p>
        </w:tc>
        <w:tc>
          <w:tcPr>
            <w:tcW w:w="1636" w:type="pct"/>
          </w:tcPr>
          <w:p w14:paraId="44520B8A" w14:textId="2F174D27" w:rsidR="00395381" w:rsidRPr="00684853" w:rsidRDefault="001C7166" w:rsidP="00C95C61">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valoare de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în sensul bunurilor imobile, înseamnă suma estimată care ar putea fi plătită în schimbul bunurilor la data evaluării între un cumpărător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un vânzător </w:t>
            </w:r>
            <w:proofErr w:type="spellStart"/>
            <w:r w:rsidRPr="00684853">
              <w:rPr>
                <w:rFonts w:ascii="Times New Roman" w:hAnsi="Times New Roman" w:cs="Times New Roman"/>
                <w:bCs/>
                <w:color w:val="000000" w:themeColor="text1"/>
                <w:sz w:val="20"/>
                <w:szCs w:val="20"/>
                <w:lang w:val="ro-RO"/>
              </w:rPr>
              <w:t>interesaţi</w:t>
            </w:r>
            <w:proofErr w:type="spellEnd"/>
            <w:r w:rsidRPr="00684853">
              <w:rPr>
                <w:rFonts w:ascii="Times New Roman" w:hAnsi="Times New Roman" w:cs="Times New Roman"/>
                <w:bCs/>
                <w:color w:val="000000" w:themeColor="text1"/>
                <w:sz w:val="20"/>
                <w:szCs w:val="20"/>
                <w:lang w:val="ro-RO"/>
              </w:rPr>
              <w:t xml:space="preserve"> în cadrul unei </w:t>
            </w:r>
            <w:proofErr w:type="spellStart"/>
            <w:r w:rsidRPr="00684853">
              <w:rPr>
                <w:rFonts w:ascii="Times New Roman" w:hAnsi="Times New Roman" w:cs="Times New Roman"/>
                <w:bCs/>
                <w:color w:val="000000" w:themeColor="text1"/>
                <w:sz w:val="20"/>
                <w:szCs w:val="20"/>
                <w:lang w:val="ro-RO"/>
              </w:rPr>
              <w:t>tranzacţii</w:t>
            </w:r>
            <w:proofErr w:type="spellEnd"/>
            <w:r w:rsidRPr="00684853">
              <w:rPr>
                <w:rFonts w:ascii="Times New Roman" w:hAnsi="Times New Roman" w:cs="Times New Roman"/>
                <w:bCs/>
                <w:color w:val="000000" w:themeColor="text1"/>
                <w:sz w:val="20"/>
                <w:szCs w:val="20"/>
                <w:lang w:val="ro-RO"/>
              </w:rPr>
              <w:t xml:space="preserve"> încheiate în </w:t>
            </w:r>
            <w:proofErr w:type="spellStart"/>
            <w:r w:rsidRPr="00684853">
              <w:rPr>
                <w:rFonts w:ascii="Times New Roman" w:hAnsi="Times New Roman" w:cs="Times New Roman"/>
                <w:bCs/>
                <w:color w:val="000000" w:themeColor="text1"/>
                <w:sz w:val="20"/>
                <w:szCs w:val="20"/>
                <w:lang w:val="ro-RO"/>
              </w:rPr>
              <w:t>condiţii</w:t>
            </w:r>
            <w:proofErr w:type="spellEnd"/>
            <w:r w:rsidRPr="00684853">
              <w:rPr>
                <w:rFonts w:ascii="Times New Roman" w:hAnsi="Times New Roman" w:cs="Times New Roman"/>
                <w:bCs/>
                <w:color w:val="000000" w:themeColor="text1"/>
                <w:sz w:val="20"/>
                <w:szCs w:val="20"/>
                <w:lang w:val="ro-RO"/>
              </w:rPr>
              <w:t xml:space="preserve"> obiective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concurenţă</w:t>
            </w:r>
            <w:proofErr w:type="spellEnd"/>
            <w:r w:rsidRPr="00684853">
              <w:rPr>
                <w:rFonts w:ascii="Times New Roman" w:hAnsi="Times New Roman" w:cs="Times New Roman"/>
                <w:bCs/>
                <w:color w:val="000000" w:themeColor="text1"/>
                <w:sz w:val="20"/>
                <w:szCs w:val="20"/>
                <w:lang w:val="ro-RO"/>
              </w:rPr>
              <w:t xml:space="preserve"> normală, în care fiecare parte </w:t>
            </w:r>
            <w:proofErr w:type="spellStart"/>
            <w:r w:rsidRPr="00684853">
              <w:rPr>
                <w:rFonts w:ascii="Times New Roman" w:hAnsi="Times New Roman" w:cs="Times New Roman"/>
                <w:bCs/>
                <w:color w:val="000000" w:themeColor="text1"/>
                <w:sz w:val="20"/>
                <w:szCs w:val="20"/>
                <w:lang w:val="ro-RO"/>
              </w:rPr>
              <w:t>acţionează</w:t>
            </w:r>
            <w:proofErr w:type="spellEnd"/>
            <w:r w:rsidRPr="00684853">
              <w:rPr>
                <w:rFonts w:ascii="Times New Roman" w:hAnsi="Times New Roman" w:cs="Times New Roman"/>
                <w:bCs/>
                <w:color w:val="000000" w:themeColor="text1"/>
                <w:sz w:val="20"/>
                <w:szCs w:val="20"/>
                <w:lang w:val="ro-RO"/>
              </w:rPr>
              <w:t xml:space="preserve"> în deplină </w:t>
            </w:r>
            <w:proofErr w:type="spellStart"/>
            <w:r w:rsidRPr="00684853">
              <w:rPr>
                <w:rFonts w:ascii="Times New Roman" w:hAnsi="Times New Roman" w:cs="Times New Roman"/>
                <w:bCs/>
                <w:color w:val="000000" w:themeColor="text1"/>
                <w:sz w:val="20"/>
                <w:szCs w:val="20"/>
                <w:lang w:val="ro-RO"/>
              </w:rPr>
              <w:t>cunoştinţă</w:t>
            </w:r>
            <w:proofErr w:type="spellEnd"/>
            <w:r w:rsidRPr="00684853">
              <w:rPr>
                <w:rFonts w:ascii="Times New Roman" w:hAnsi="Times New Roman" w:cs="Times New Roman"/>
                <w:bCs/>
                <w:color w:val="000000" w:themeColor="text1"/>
                <w:sz w:val="20"/>
                <w:szCs w:val="20"/>
                <w:lang w:val="ro-RO"/>
              </w:rPr>
              <w:t xml:space="preserve"> de cauză, prudent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fără constrângeri.</w:t>
            </w:r>
          </w:p>
        </w:tc>
        <w:tc>
          <w:tcPr>
            <w:tcW w:w="562" w:type="pct"/>
          </w:tcPr>
          <w:p w14:paraId="1A917D89"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5A89A06C"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885" w:type="pct"/>
          </w:tcPr>
          <w:p w14:paraId="5822ECEA" w14:textId="198772B4" w:rsidR="00395381" w:rsidRPr="00684853" w:rsidRDefault="00395381" w:rsidP="00A5341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nr.111/2018, prin noțiunea „valoare de piață”</w:t>
            </w:r>
            <w:r w:rsidRPr="00684853">
              <w:rPr>
                <w:rFonts w:ascii="Times New Roman" w:hAnsi="Times New Roman" w:cs="Times New Roman"/>
                <w:b/>
                <w:color w:val="000000" w:themeColor="text1"/>
                <w:sz w:val="20"/>
                <w:szCs w:val="20"/>
                <w:lang w:val="ro-RO"/>
              </w:rPr>
              <w:t>.</w:t>
            </w:r>
          </w:p>
        </w:tc>
      </w:tr>
      <w:tr w:rsidR="00EA59FA" w:rsidRPr="00684853" w14:paraId="5EF01FF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2E89AED" w14:textId="77777777" w:rsidR="00395381" w:rsidRPr="00684853" w:rsidRDefault="00395381" w:rsidP="00C95C61">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77. </w:t>
            </w:r>
            <w:r w:rsidRPr="00684853">
              <w:rPr>
                <w:rFonts w:ascii="Times New Roman" w:eastAsia="Calibri" w:hAnsi="Times New Roman"/>
                <w:color w:val="000000" w:themeColor="text1"/>
                <w:sz w:val="20"/>
                <w:szCs w:val="20"/>
                <w:lang w:val="ro-RO"/>
              </w:rPr>
              <w:t>„cadru contabil aplicabil” înseamnă standardele contabile la care este supusă instituția în temeiul Regulamentului (CE) nr. 1606/2002 sau al Directivei 86/635/CEE a Consiliului;</w:t>
            </w:r>
          </w:p>
        </w:tc>
        <w:tc>
          <w:tcPr>
            <w:tcW w:w="1636" w:type="pct"/>
          </w:tcPr>
          <w:p w14:paraId="108C533D"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62" w:type="pct"/>
          </w:tcPr>
          <w:p w14:paraId="7261F62B" w14:textId="7293FAE4" w:rsidR="00395381" w:rsidRPr="00684853" w:rsidRDefault="002C32BA"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885" w:type="pct"/>
          </w:tcPr>
          <w:p w14:paraId="332DB380" w14:textId="4A7CA279" w:rsidR="00395381" w:rsidRPr="00684853" w:rsidRDefault="00522803"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că potrivit Legii contabilității </w:t>
            </w:r>
            <w:r w:rsidR="005E1AAE" w:rsidRPr="00684853">
              <w:rPr>
                <w:rFonts w:ascii="Times New Roman" w:hAnsi="Times New Roman" w:cs="Times New Roman"/>
                <w:color w:val="000000" w:themeColor="text1"/>
                <w:sz w:val="20"/>
                <w:szCs w:val="20"/>
                <w:lang w:val="ro-RO"/>
              </w:rPr>
              <w:t xml:space="preserve">și raportării financiare </w:t>
            </w:r>
            <w:r w:rsidRPr="00684853">
              <w:rPr>
                <w:rFonts w:ascii="Times New Roman" w:hAnsi="Times New Roman" w:cs="Times New Roman"/>
                <w:color w:val="000000" w:themeColor="text1"/>
                <w:sz w:val="20"/>
                <w:szCs w:val="20"/>
                <w:lang w:val="ro-RO"/>
              </w:rPr>
              <w:t xml:space="preserve">nr. </w:t>
            </w:r>
            <w:r w:rsidR="00A41C8F" w:rsidRPr="00684853">
              <w:rPr>
                <w:rFonts w:ascii="Times New Roman" w:hAnsi="Times New Roman" w:cs="Times New Roman"/>
                <w:color w:val="000000" w:themeColor="text1"/>
                <w:sz w:val="20"/>
                <w:szCs w:val="20"/>
                <w:lang w:val="ro-RO"/>
              </w:rPr>
              <w:t>287</w:t>
            </w:r>
            <w:r w:rsidRPr="00684853">
              <w:rPr>
                <w:rFonts w:ascii="Times New Roman" w:hAnsi="Times New Roman" w:cs="Times New Roman"/>
                <w:color w:val="000000" w:themeColor="text1"/>
                <w:sz w:val="20"/>
                <w:szCs w:val="20"/>
                <w:lang w:val="ro-RO"/>
              </w:rPr>
              <w:t>/20</w:t>
            </w:r>
            <w:r w:rsidR="00A41C8F" w:rsidRPr="00684853">
              <w:rPr>
                <w:rFonts w:ascii="Times New Roman" w:hAnsi="Times New Roman" w:cs="Times New Roman"/>
                <w:color w:val="000000" w:themeColor="text1"/>
                <w:sz w:val="20"/>
                <w:szCs w:val="20"/>
                <w:lang w:val="ro-RO"/>
              </w:rPr>
              <w:t>1</w:t>
            </w:r>
            <w:r w:rsidRPr="00684853">
              <w:rPr>
                <w:rFonts w:ascii="Times New Roman" w:hAnsi="Times New Roman" w:cs="Times New Roman"/>
                <w:color w:val="000000" w:themeColor="text1"/>
                <w:sz w:val="20"/>
                <w:szCs w:val="20"/>
                <w:lang w:val="ro-RO"/>
              </w:rPr>
              <w:t xml:space="preserve">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(IFRS), nu este necesară transpunerea noțiunii.</w:t>
            </w:r>
            <w:r w:rsidR="00395381" w:rsidRPr="00684853">
              <w:rPr>
                <w:rFonts w:ascii="Times New Roman" w:hAnsi="Times New Roman" w:cs="Times New Roman"/>
                <w:color w:val="000000" w:themeColor="text1"/>
                <w:sz w:val="20"/>
                <w:szCs w:val="20"/>
                <w:lang w:val="ro-RO"/>
              </w:rPr>
              <w:t>.</w:t>
            </w:r>
          </w:p>
        </w:tc>
      </w:tr>
      <w:tr w:rsidR="00EA59FA" w:rsidRPr="00684853" w14:paraId="5305318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DC6CD47" w14:textId="519626C1" w:rsidR="009142FD" w:rsidRPr="00684853" w:rsidRDefault="009142FD" w:rsidP="009142FD">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D072DAF" w14:textId="56ACD820" w:rsidR="00395381" w:rsidRPr="00684853" w:rsidRDefault="00395381" w:rsidP="009142FD">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78. </w:t>
            </w:r>
            <w:r w:rsidRPr="00684853">
              <w:rPr>
                <w:rFonts w:ascii="Times New Roman" w:eastAsia="Calibri" w:hAnsi="Times New Roman"/>
                <w:color w:val="000000" w:themeColor="text1"/>
                <w:sz w:val="20"/>
                <w:szCs w:val="20"/>
                <w:lang w:val="ro-RO"/>
              </w:rPr>
              <w:t xml:space="preserve">„rata de nerambursare pe un an” înseamnă raportul dintre numărul </w:t>
            </w:r>
            <w:r w:rsidR="009142FD" w:rsidRPr="00684853">
              <w:rPr>
                <w:rFonts w:ascii="Times New Roman" w:eastAsia="Calibri" w:hAnsi="Times New Roman"/>
                <w:color w:val="000000" w:themeColor="text1"/>
                <w:sz w:val="20"/>
                <w:szCs w:val="20"/>
                <w:lang w:val="ro-RO"/>
              </w:rPr>
              <w:t xml:space="preserve">de debitori sau, în cazul în care definiția incapacității </w:t>
            </w:r>
            <w:r w:rsidRPr="00684853">
              <w:rPr>
                <w:rFonts w:ascii="Times New Roman" w:eastAsia="Calibri" w:hAnsi="Times New Roman"/>
                <w:color w:val="000000" w:themeColor="text1"/>
                <w:sz w:val="20"/>
                <w:szCs w:val="20"/>
                <w:lang w:val="ro-RO"/>
              </w:rPr>
              <w:t xml:space="preserve"> de nerambursare</w:t>
            </w:r>
            <w:r w:rsidR="009142FD" w:rsidRPr="00684853">
              <w:rPr>
                <w:rFonts w:ascii="Times New Roman" w:eastAsia="Calibri" w:hAnsi="Times New Roman"/>
                <w:color w:val="000000" w:themeColor="text1"/>
                <w:sz w:val="20"/>
                <w:szCs w:val="20"/>
                <w:lang w:val="ro-RO"/>
              </w:rPr>
              <w:t xml:space="preserve"> se aplică la nivel de facilitate de credit în temeiul articolului 178 alineatul (1) al doilea paragraf, numărul de facilități de credit în cazul cărora se consideră că a survenit o incapacitate de </w:t>
            </w:r>
            <w:r w:rsidR="009142FD" w:rsidRPr="00684853">
              <w:rPr>
                <w:rFonts w:ascii="Times New Roman" w:eastAsia="Calibri" w:hAnsi="Times New Roman"/>
                <w:color w:val="000000" w:themeColor="text1"/>
                <w:sz w:val="20"/>
                <w:szCs w:val="20"/>
                <w:lang w:val="ro-RO"/>
              </w:rPr>
              <w:lastRenderedPageBreak/>
              <w:t>rambursare</w:t>
            </w:r>
            <w:r w:rsidRPr="00684853">
              <w:rPr>
                <w:rFonts w:ascii="Times New Roman" w:eastAsia="Calibri" w:hAnsi="Times New Roman"/>
                <w:color w:val="000000" w:themeColor="text1"/>
                <w:sz w:val="20"/>
                <w:szCs w:val="20"/>
                <w:lang w:val="ro-RO"/>
              </w:rPr>
              <w:t xml:space="preserve"> în cursul unei perioade care începe cu un an înainte de o dată </w:t>
            </w:r>
            <w:r w:rsidR="009142FD" w:rsidRPr="00684853">
              <w:rPr>
                <w:rFonts w:ascii="Times New Roman" w:eastAsia="Calibri" w:hAnsi="Times New Roman"/>
                <w:color w:val="000000" w:themeColor="text1"/>
                <w:sz w:val="20"/>
                <w:szCs w:val="20"/>
                <w:lang w:val="ro-RO"/>
              </w:rPr>
              <w:t xml:space="preserve">de observare </w:t>
            </w:r>
            <w:r w:rsidRPr="00684853">
              <w:rPr>
                <w:rFonts w:ascii="Times New Roman" w:eastAsia="Calibri" w:hAnsi="Times New Roman"/>
                <w:color w:val="000000" w:themeColor="text1"/>
                <w:sz w:val="20"/>
                <w:szCs w:val="20"/>
                <w:lang w:val="ro-RO"/>
              </w:rPr>
              <w:t xml:space="preserve">T și numărul </w:t>
            </w:r>
            <w:r w:rsidR="009142FD" w:rsidRPr="00684853">
              <w:rPr>
                <w:rFonts w:ascii="Times New Roman" w:eastAsia="Calibri" w:hAnsi="Times New Roman"/>
                <w:color w:val="000000" w:themeColor="text1"/>
                <w:sz w:val="20"/>
                <w:szCs w:val="20"/>
                <w:lang w:val="ro-RO"/>
              </w:rPr>
              <w:t xml:space="preserve">total </w:t>
            </w:r>
            <w:r w:rsidRPr="00684853">
              <w:rPr>
                <w:rFonts w:ascii="Times New Roman" w:eastAsia="Calibri" w:hAnsi="Times New Roman"/>
                <w:color w:val="000000" w:themeColor="text1"/>
                <w:sz w:val="20"/>
                <w:szCs w:val="20"/>
                <w:lang w:val="ro-RO"/>
              </w:rPr>
              <w:t>de debitori</w:t>
            </w:r>
            <w:r w:rsidR="009142FD" w:rsidRPr="00684853">
              <w:rPr>
                <w:rFonts w:ascii="Times New Roman" w:eastAsia="Calibri" w:hAnsi="Times New Roman"/>
                <w:color w:val="000000" w:themeColor="text1"/>
                <w:sz w:val="20"/>
                <w:szCs w:val="20"/>
                <w:lang w:val="ro-RO"/>
              </w:rPr>
              <w:t>, sau, în cazul în care definiția incapacității de rambursare se aplică la nivel de facilitate de credit în temeiul articolului 178 alineatul (1) al doilea paragraf, facilități de credit</w:t>
            </w:r>
            <w:r w:rsidRPr="00684853">
              <w:rPr>
                <w:rFonts w:ascii="Times New Roman" w:eastAsia="Calibri" w:hAnsi="Times New Roman"/>
                <w:color w:val="000000" w:themeColor="text1"/>
                <w:sz w:val="20"/>
                <w:szCs w:val="20"/>
                <w:lang w:val="ro-RO"/>
              </w:rPr>
              <w:t xml:space="preserve"> clasifica</w:t>
            </w:r>
            <w:r w:rsidR="009142FD" w:rsidRPr="00684853">
              <w:rPr>
                <w:rFonts w:ascii="Times New Roman" w:eastAsia="Calibri" w:hAnsi="Times New Roman"/>
                <w:color w:val="000000" w:themeColor="text1"/>
                <w:sz w:val="20"/>
                <w:szCs w:val="20"/>
                <w:lang w:val="ro-RO"/>
              </w:rPr>
              <w:t>te</w:t>
            </w:r>
            <w:r w:rsidRPr="00684853">
              <w:rPr>
                <w:rFonts w:ascii="Times New Roman" w:eastAsia="Calibri" w:hAnsi="Times New Roman"/>
                <w:color w:val="000000" w:themeColor="text1"/>
                <w:sz w:val="20"/>
                <w:szCs w:val="20"/>
                <w:lang w:val="ro-RO"/>
              </w:rPr>
              <w:t xml:space="preserve"> în această clasă de rating sau grupă de risc cu un an înainte de acea dată</w:t>
            </w:r>
            <w:r w:rsidR="009142FD" w:rsidRPr="00684853">
              <w:rPr>
                <w:rFonts w:ascii="Times New Roman" w:eastAsia="Calibri" w:hAnsi="Times New Roman"/>
                <w:color w:val="000000" w:themeColor="text1"/>
                <w:sz w:val="20"/>
                <w:szCs w:val="20"/>
                <w:lang w:val="ro-RO"/>
              </w:rPr>
              <w:t xml:space="preserve"> de observare T</w:t>
            </w:r>
            <w:r w:rsidRPr="00684853">
              <w:rPr>
                <w:rFonts w:ascii="Times New Roman" w:eastAsia="Calibri" w:hAnsi="Times New Roman"/>
                <w:color w:val="000000" w:themeColor="text1"/>
                <w:sz w:val="20"/>
                <w:szCs w:val="20"/>
                <w:lang w:val="ro-RO"/>
              </w:rPr>
              <w:t>;</w:t>
            </w:r>
          </w:p>
        </w:tc>
        <w:tc>
          <w:tcPr>
            <w:tcW w:w="1636" w:type="pct"/>
          </w:tcPr>
          <w:p w14:paraId="57705C14" w14:textId="77777777"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62" w:type="pct"/>
          </w:tcPr>
          <w:p w14:paraId="0C894C60" w14:textId="3FEC27E1" w:rsidR="00395381" w:rsidRPr="00684853" w:rsidRDefault="002C32BA"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885" w:type="pct"/>
          </w:tcPr>
          <w:p w14:paraId="234EE514"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Regulamentul cu privire la tratamentul riscului de credit pentru bănci potrivit abordării IRB.</w:t>
            </w:r>
          </w:p>
          <w:p w14:paraId="0A43C1F0" w14:textId="61C2BDED" w:rsidR="00395381" w:rsidRPr="00684853" w:rsidRDefault="00395381" w:rsidP="00BC3CB6">
            <w:pPr>
              <w:jc w:val="both"/>
              <w:rPr>
                <w:rFonts w:ascii="Times New Roman" w:hAnsi="Times New Roman" w:cs="Times New Roman"/>
                <w:color w:val="000000" w:themeColor="text1"/>
                <w:sz w:val="20"/>
                <w:szCs w:val="20"/>
              </w:rPr>
            </w:pPr>
          </w:p>
        </w:tc>
      </w:tr>
      <w:tr w:rsidR="00EA59FA" w:rsidRPr="00684853" w14:paraId="1BC4772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4839C64" w14:textId="77777777" w:rsidR="009142FD" w:rsidRPr="00684853" w:rsidRDefault="009142FD" w:rsidP="00482B62">
            <w:pPr>
              <w:pStyle w:val="CM1"/>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AA35888" w14:textId="213B668B" w:rsidR="009D177F" w:rsidRPr="00684853" w:rsidRDefault="009D177F" w:rsidP="00482B62">
            <w:pPr>
              <w:spacing w:after="0"/>
              <w:rPr>
                <w:color w:val="000000" w:themeColor="text1"/>
                <w:lang w:val="ro-RO"/>
              </w:rPr>
            </w:pPr>
            <w:r w:rsidRPr="00684853">
              <w:rPr>
                <w:rFonts w:ascii="Times New Roman" w:eastAsia="Calibri" w:hAnsi="Times New Roman" w:cs="Times New Roman"/>
                <w:color w:val="000000" w:themeColor="text1"/>
                <w:sz w:val="20"/>
                <w:szCs w:val="20"/>
                <w:lang w:val="ro-RO"/>
              </w:rPr>
              <w:t>78a. „expuneri aferente achizițiilor de terenuri, dezvoltării și construcțiilor” sau „expuneri ADC” înseamnă expuneri față de societăți sau entități cu scop special care finanțează orice achiziție de terenuri în scopuri de dezvoltare și construcții sau care finanțează dezvoltarea și construirea oricăror bunuri imobile locative sau bunuri imobile comerciale;</w:t>
            </w:r>
          </w:p>
        </w:tc>
        <w:tc>
          <w:tcPr>
            <w:tcW w:w="1636" w:type="pct"/>
          </w:tcPr>
          <w:p w14:paraId="47884C1F" w14:textId="74DEF4F4" w:rsidR="009142FD" w:rsidRPr="00684853" w:rsidRDefault="009142FD" w:rsidP="00C95C61">
            <w:pPr>
              <w:spacing w:after="0" w:line="276" w:lineRule="auto"/>
              <w:jc w:val="both"/>
              <w:rPr>
                <w:rFonts w:ascii="Times New Roman" w:hAnsi="Times New Roman" w:cs="Times New Roman"/>
                <w:bCs/>
                <w:color w:val="000000" w:themeColor="text1"/>
                <w:sz w:val="20"/>
                <w:szCs w:val="20"/>
                <w:lang w:val="ro-RO"/>
              </w:rPr>
            </w:pPr>
          </w:p>
        </w:tc>
        <w:tc>
          <w:tcPr>
            <w:tcW w:w="562" w:type="pct"/>
          </w:tcPr>
          <w:p w14:paraId="52DD1E9F" w14:textId="51B39EC5" w:rsidR="009142FD" w:rsidRPr="00684853" w:rsidDel="002C32BA" w:rsidRDefault="00AE7DE9"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086B354F"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07ECA00B" w14:textId="77777777" w:rsidR="009142FD" w:rsidRPr="00684853" w:rsidDel="002C32BA" w:rsidRDefault="009142FD" w:rsidP="00BC3CB6">
            <w:pPr>
              <w:jc w:val="both"/>
              <w:rPr>
                <w:rFonts w:ascii="Times New Roman" w:hAnsi="Times New Roman" w:cs="Times New Roman"/>
                <w:color w:val="000000" w:themeColor="text1"/>
                <w:sz w:val="20"/>
                <w:szCs w:val="20"/>
              </w:rPr>
            </w:pPr>
          </w:p>
        </w:tc>
      </w:tr>
      <w:tr w:rsidR="00EA59FA" w:rsidRPr="00684853" w14:paraId="5182BA0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837436C" w14:textId="77777777" w:rsidR="00AE7DE9" w:rsidRPr="00684853" w:rsidRDefault="00AE7DE9" w:rsidP="00AE7DE9">
            <w:pPr>
              <w:pStyle w:val="CM1"/>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60512BEC" w14:textId="3376D27B" w:rsidR="00AE7DE9" w:rsidRPr="00684853" w:rsidRDefault="00AE7DE9" w:rsidP="00AE7DE9">
            <w:pPr>
              <w:spacing w:after="0"/>
              <w:rPr>
                <w:color w:val="000000" w:themeColor="text1"/>
                <w:lang w:val="ro-RO"/>
              </w:rPr>
            </w:pPr>
            <w:r w:rsidRPr="00684853">
              <w:rPr>
                <w:rFonts w:ascii="Times New Roman" w:eastAsia="Calibri" w:hAnsi="Times New Roman" w:cs="Times New Roman"/>
                <w:color w:val="000000" w:themeColor="text1"/>
                <w:sz w:val="20"/>
                <w:szCs w:val="20"/>
                <w:lang w:val="ro-RO"/>
              </w:rPr>
              <w:t>78b. „expunere non-ADC” înseamnă orice expunere garantată cu unul sau mai multe bunuri imobile locative sau bunuri imobile comerciale care nu este o expunere ADC;</w:t>
            </w:r>
          </w:p>
        </w:tc>
        <w:tc>
          <w:tcPr>
            <w:tcW w:w="1636" w:type="pct"/>
          </w:tcPr>
          <w:p w14:paraId="250EF047" w14:textId="77777777" w:rsidR="00AE7DE9" w:rsidRPr="00684853" w:rsidRDefault="00AE7DE9" w:rsidP="00AE7DE9">
            <w:pPr>
              <w:spacing w:after="0" w:line="276" w:lineRule="auto"/>
              <w:jc w:val="both"/>
              <w:rPr>
                <w:rFonts w:ascii="Times New Roman" w:hAnsi="Times New Roman" w:cs="Times New Roman"/>
                <w:b/>
                <w:color w:val="000000" w:themeColor="text1"/>
                <w:sz w:val="20"/>
                <w:szCs w:val="20"/>
                <w:lang w:val="ro-RO"/>
              </w:rPr>
            </w:pPr>
          </w:p>
        </w:tc>
        <w:tc>
          <w:tcPr>
            <w:tcW w:w="562" w:type="pct"/>
          </w:tcPr>
          <w:p w14:paraId="49248AB7" w14:textId="5039DB49" w:rsidR="00AE7DE9" w:rsidRPr="00684853" w:rsidDel="002C32BA" w:rsidRDefault="00AE7DE9" w:rsidP="00AE7DE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569E56CF" w14:textId="77777777" w:rsidR="00AE7DE9" w:rsidRPr="00684853" w:rsidRDefault="00AE7DE9" w:rsidP="00AE7DE9">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19EA6DCB" w14:textId="77777777" w:rsidR="00AE7DE9" w:rsidRPr="00684853" w:rsidDel="002C32BA" w:rsidRDefault="00AE7DE9" w:rsidP="00AE7DE9">
            <w:pPr>
              <w:jc w:val="both"/>
              <w:rPr>
                <w:rFonts w:ascii="Times New Roman" w:hAnsi="Times New Roman" w:cs="Times New Roman"/>
                <w:color w:val="000000" w:themeColor="text1"/>
                <w:sz w:val="20"/>
                <w:szCs w:val="20"/>
                <w:lang w:val="ro-RO"/>
              </w:rPr>
            </w:pPr>
          </w:p>
        </w:tc>
      </w:tr>
      <w:tr w:rsidR="00EA59FA" w:rsidRPr="00684853" w14:paraId="1F9591D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94A1CEE" w14:textId="55AE2EAE" w:rsidR="00395381" w:rsidRPr="00684853" w:rsidRDefault="00AE7DE9" w:rsidP="005A3C2A">
            <w:pPr>
              <w:pStyle w:val="CM4"/>
              <w:spacing w:after="120"/>
              <w:jc w:val="both"/>
              <w:rPr>
                <w:rFonts w:ascii="Times New Roman" w:hAnsi="Times New Roman"/>
                <w:b/>
                <w:color w:val="000000" w:themeColor="text1"/>
                <w:sz w:val="20"/>
                <w:szCs w:val="20"/>
                <w:lang w:val="ro-RO"/>
              </w:rPr>
            </w:pPr>
            <w:r w:rsidRPr="00684853">
              <w:rPr>
                <w:rFonts w:ascii="Times New Roman" w:hAnsi="Times New Roman"/>
                <w:bCs/>
                <w:color w:val="000000" w:themeColor="text1"/>
                <w:sz w:val="20"/>
                <w:szCs w:val="20"/>
                <w:lang w:val="ro-RO"/>
              </w:rPr>
              <w:t>Punctul</w:t>
            </w:r>
            <w:r w:rsidRPr="00684853">
              <w:rPr>
                <w:rFonts w:ascii="Times New Roman" w:hAnsi="Times New Roman"/>
                <w:b/>
                <w:color w:val="000000" w:themeColor="text1"/>
                <w:sz w:val="20"/>
                <w:szCs w:val="20"/>
                <w:lang w:val="ro-RO"/>
              </w:rPr>
              <w:t xml:space="preserve"> </w:t>
            </w:r>
            <w:r w:rsidR="00B54694" w:rsidRPr="00684853">
              <w:rPr>
                <w:rFonts w:ascii="Times New Roman" w:hAnsi="Times New Roman"/>
                <w:b/>
                <w:color w:val="000000" w:themeColor="text1"/>
                <w:sz w:val="20"/>
                <w:szCs w:val="20"/>
                <w:lang w:val="ro-RO"/>
              </w:rPr>
              <w:t>79</w:t>
            </w:r>
            <w:r w:rsidRPr="00684853">
              <w:rPr>
                <w:rFonts w:ascii="Times New Roman" w:hAnsi="Times New Roman"/>
                <w:bCs/>
                <w:color w:val="000000" w:themeColor="text1"/>
                <w:sz w:val="20"/>
                <w:szCs w:val="20"/>
                <w:lang w:val="ro-RO"/>
              </w:rPr>
              <w:t xml:space="preserve"> exclus prin M17</w:t>
            </w:r>
          </w:p>
        </w:tc>
        <w:tc>
          <w:tcPr>
            <w:tcW w:w="1636" w:type="pct"/>
          </w:tcPr>
          <w:p w14:paraId="7B4486DC" w14:textId="5C2F1FF5" w:rsidR="00395381" w:rsidRPr="00684853" w:rsidRDefault="00395381" w:rsidP="00C95C61">
            <w:pPr>
              <w:spacing w:after="0" w:line="276" w:lineRule="auto"/>
              <w:jc w:val="both"/>
              <w:rPr>
                <w:rFonts w:ascii="Times New Roman" w:hAnsi="Times New Roman" w:cs="Times New Roman"/>
                <w:b/>
                <w:color w:val="000000" w:themeColor="text1"/>
                <w:sz w:val="20"/>
                <w:szCs w:val="20"/>
                <w:lang w:val="ro-RO"/>
              </w:rPr>
            </w:pPr>
          </w:p>
        </w:tc>
        <w:tc>
          <w:tcPr>
            <w:tcW w:w="562" w:type="pct"/>
          </w:tcPr>
          <w:p w14:paraId="294414DF" w14:textId="77777777" w:rsidR="00395381" w:rsidRPr="00684853" w:rsidRDefault="00395381" w:rsidP="005A3C2A">
            <w:pPr>
              <w:jc w:val="both"/>
              <w:rPr>
                <w:rFonts w:ascii="Times New Roman" w:hAnsi="Times New Roman" w:cs="Times New Roman"/>
                <w:color w:val="000000" w:themeColor="text1"/>
                <w:sz w:val="20"/>
                <w:szCs w:val="20"/>
                <w:lang w:val="ro-RO"/>
              </w:rPr>
            </w:pPr>
          </w:p>
        </w:tc>
        <w:tc>
          <w:tcPr>
            <w:tcW w:w="885" w:type="pct"/>
          </w:tcPr>
          <w:p w14:paraId="33E174D9" w14:textId="525D05A3" w:rsidR="00395381" w:rsidRPr="00684853" w:rsidRDefault="00395381" w:rsidP="00C95C61">
            <w:pPr>
              <w:jc w:val="both"/>
              <w:rPr>
                <w:rFonts w:ascii="Times New Roman" w:hAnsi="Times New Roman" w:cs="Times New Roman"/>
                <w:color w:val="000000" w:themeColor="text1"/>
                <w:sz w:val="20"/>
                <w:szCs w:val="20"/>
                <w:lang w:val="ro-RO"/>
              </w:rPr>
            </w:pPr>
          </w:p>
        </w:tc>
      </w:tr>
      <w:tr w:rsidR="00EA59FA" w:rsidRPr="00684853" w14:paraId="47F528A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809DEF8" w14:textId="77777777" w:rsidR="00395381" w:rsidRPr="00684853" w:rsidRDefault="00395381" w:rsidP="00C95C61">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80. </w:t>
            </w:r>
            <w:r w:rsidRPr="00684853">
              <w:rPr>
                <w:rFonts w:ascii="Times New Roman" w:hAnsi="Times New Roman"/>
                <w:color w:val="000000" w:themeColor="text1"/>
                <w:sz w:val="20"/>
                <w:szCs w:val="20"/>
                <w:lang w:val="ro-RO"/>
              </w:rPr>
              <w:t>„finanțarea comerțului”</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înseamnă finanțarea, inclusiv garanțiile, asociate schimburilor de bunuri și servicii prin intermediul produselor financiare cu scadență fixă pe termen scurt (în general mai mică de un an) fără refinanțare automată;</w:t>
            </w:r>
          </w:p>
        </w:tc>
        <w:tc>
          <w:tcPr>
            <w:tcW w:w="1636" w:type="pct"/>
          </w:tcPr>
          <w:p w14:paraId="3DBBAA75" w14:textId="6712FA9A" w:rsidR="00395381" w:rsidRPr="00684853" w:rsidRDefault="00E14323" w:rsidP="00E14323">
            <w:pPr>
              <w:spacing w:after="0" w:line="276" w:lineRule="auto"/>
              <w:jc w:val="both"/>
              <w:rPr>
                <w:rFonts w:ascii="Times New Roman" w:hAnsi="Times New Roman" w:cs="Times New Roman"/>
                <w:bCs/>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finanţarea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comerţului</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finanţarea</w:t>
            </w:r>
            <w:proofErr w:type="spellEnd"/>
            <w:r w:rsidRPr="00684853">
              <w:rPr>
                <w:rFonts w:ascii="Times New Roman" w:hAnsi="Times New Roman" w:cs="Times New Roman"/>
                <w:bCs/>
                <w:color w:val="000000" w:themeColor="text1"/>
                <w:sz w:val="20"/>
                <w:szCs w:val="20"/>
                <w:lang w:val="ro-RO"/>
              </w:rPr>
              <w:t xml:space="preserve"> (inclusiv </w:t>
            </w:r>
            <w:proofErr w:type="spellStart"/>
            <w:r w:rsidRPr="00684853">
              <w:rPr>
                <w:rFonts w:ascii="Times New Roman" w:hAnsi="Times New Roman" w:cs="Times New Roman"/>
                <w:bCs/>
                <w:color w:val="000000" w:themeColor="text1"/>
                <w:sz w:val="20"/>
                <w:szCs w:val="20"/>
                <w:lang w:val="ro-RO"/>
              </w:rPr>
              <w:t>garanţiile</w:t>
            </w:r>
            <w:proofErr w:type="spellEnd"/>
            <w:r w:rsidRPr="00684853">
              <w:rPr>
                <w:rFonts w:ascii="Times New Roman" w:hAnsi="Times New Roman" w:cs="Times New Roman"/>
                <w:bCs/>
                <w:color w:val="000000" w:themeColor="text1"/>
                <w:sz w:val="20"/>
                <w:szCs w:val="20"/>
                <w:lang w:val="ro-RO"/>
              </w:rPr>
              <w:t xml:space="preserve">) asociată schimburilor de bunuri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servicii prin intermediul produselor financiare cu </w:t>
            </w:r>
            <w:proofErr w:type="spellStart"/>
            <w:r w:rsidRPr="00684853">
              <w:rPr>
                <w:rFonts w:ascii="Times New Roman" w:hAnsi="Times New Roman" w:cs="Times New Roman"/>
                <w:bCs/>
                <w:color w:val="000000" w:themeColor="text1"/>
                <w:sz w:val="20"/>
                <w:szCs w:val="20"/>
                <w:lang w:val="ro-RO"/>
              </w:rPr>
              <w:t>scadenţă</w:t>
            </w:r>
            <w:proofErr w:type="spellEnd"/>
            <w:r w:rsidRPr="00684853">
              <w:rPr>
                <w:rFonts w:ascii="Times New Roman" w:hAnsi="Times New Roman" w:cs="Times New Roman"/>
                <w:bCs/>
                <w:color w:val="000000" w:themeColor="text1"/>
                <w:sz w:val="20"/>
                <w:szCs w:val="20"/>
                <w:lang w:val="ro-RO"/>
              </w:rPr>
              <w:t xml:space="preserve"> fixă, în general, mai mică de un an fără </w:t>
            </w:r>
            <w:proofErr w:type="spellStart"/>
            <w:r w:rsidRPr="00684853">
              <w:rPr>
                <w:rFonts w:ascii="Times New Roman" w:hAnsi="Times New Roman" w:cs="Times New Roman"/>
                <w:bCs/>
                <w:color w:val="000000" w:themeColor="text1"/>
                <w:sz w:val="20"/>
                <w:szCs w:val="20"/>
                <w:lang w:val="ro-RO"/>
              </w:rPr>
              <w:t>refinanţare</w:t>
            </w:r>
            <w:proofErr w:type="spellEnd"/>
            <w:r w:rsidRPr="00684853">
              <w:rPr>
                <w:rFonts w:ascii="Times New Roman" w:hAnsi="Times New Roman" w:cs="Times New Roman"/>
                <w:bCs/>
                <w:color w:val="000000" w:themeColor="text1"/>
                <w:sz w:val="20"/>
                <w:szCs w:val="20"/>
                <w:lang w:val="ro-RO"/>
              </w:rPr>
              <w:t xml:space="preserve"> automată;</w:t>
            </w:r>
          </w:p>
        </w:tc>
        <w:tc>
          <w:tcPr>
            <w:tcW w:w="562" w:type="pct"/>
          </w:tcPr>
          <w:p w14:paraId="63872697" w14:textId="7777777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52E051C3" w14:textId="77777777" w:rsidR="00395381" w:rsidRPr="00684853" w:rsidRDefault="00395381" w:rsidP="00C95C61">
            <w:pPr>
              <w:jc w:val="both"/>
              <w:rPr>
                <w:rFonts w:ascii="Times New Roman" w:hAnsi="Times New Roman" w:cs="Times New Roman"/>
                <w:color w:val="000000" w:themeColor="text1"/>
                <w:sz w:val="20"/>
                <w:szCs w:val="20"/>
                <w:lang w:val="ro-RO"/>
              </w:rPr>
            </w:pPr>
          </w:p>
        </w:tc>
        <w:tc>
          <w:tcPr>
            <w:tcW w:w="885" w:type="pct"/>
          </w:tcPr>
          <w:p w14:paraId="02AD76B1" w14:textId="3002CDD7" w:rsidR="00395381" w:rsidRPr="00684853" w:rsidRDefault="00395381" w:rsidP="00C95C61">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w:t>
            </w:r>
            <w:r w:rsidR="00E14323" w:rsidRPr="00684853">
              <w:rPr>
                <w:rFonts w:ascii="Times New Roman" w:hAnsi="Times New Roman" w:cs="Times New Roman"/>
                <w:b/>
                <w:color w:val="000000" w:themeColor="text1"/>
                <w:sz w:val="20"/>
                <w:szCs w:val="20"/>
                <w:lang w:val="ro-RO"/>
              </w:rPr>
              <w:t xml:space="preserve">nr.111/2018 </w:t>
            </w:r>
            <w:r w:rsidRPr="00684853">
              <w:rPr>
                <w:rFonts w:ascii="Times New Roman" w:hAnsi="Times New Roman" w:cs="Times New Roman"/>
                <w:b/>
                <w:color w:val="000000" w:themeColor="text1"/>
                <w:sz w:val="20"/>
                <w:szCs w:val="20"/>
                <w:lang w:val="ro-RO"/>
              </w:rPr>
              <w:t xml:space="preserve">cu privire la tratamentul riscului de credit pentru bănci potrivit abordării </w:t>
            </w:r>
            <w:r w:rsidRPr="00684853">
              <w:rPr>
                <w:rFonts w:ascii="Times New Roman" w:hAnsi="Times New Roman" w:cs="Times New Roman"/>
                <w:b/>
                <w:color w:val="000000" w:themeColor="text1"/>
                <w:sz w:val="20"/>
                <w:szCs w:val="20"/>
                <w:lang w:val="ro-RO"/>
              </w:rPr>
              <w:lastRenderedPageBreak/>
              <w:t>standardizate</w:t>
            </w:r>
            <w:r w:rsidRPr="00684853">
              <w:rPr>
                <w:rFonts w:ascii="Times New Roman" w:hAnsi="Times New Roman" w:cs="Times New Roman"/>
                <w:color w:val="000000" w:themeColor="text1"/>
                <w:sz w:val="20"/>
                <w:szCs w:val="20"/>
                <w:lang w:val="ro-RO"/>
              </w:rPr>
              <w:t xml:space="preserve"> prin noțiunea „finanțare comerțului”</w:t>
            </w:r>
            <w:r w:rsidRPr="00684853">
              <w:rPr>
                <w:rFonts w:ascii="Times New Roman" w:hAnsi="Times New Roman" w:cs="Times New Roman"/>
                <w:b/>
                <w:color w:val="000000" w:themeColor="text1"/>
                <w:sz w:val="20"/>
                <w:szCs w:val="20"/>
                <w:lang w:val="ro-RO"/>
              </w:rPr>
              <w:t>.</w:t>
            </w:r>
          </w:p>
        </w:tc>
      </w:tr>
      <w:tr w:rsidR="00EA59FA" w:rsidRPr="00684853" w14:paraId="00A4744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32611D9" w14:textId="33BFDFA5" w:rsidR="00395381" w:rsidRPr="00684853" w:rsidRDefault="00395381" w:rsidP="0076387A">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81. </w:t>
            </w:r>
            <w:r w:rsidRPr="00684853">
              <w:rPr>
                <w:rFonts w:ascii="Times New Roman" w:hAnsi="Times New Roman"/>
                <w:color w:val="000000" w:themeColor="text1"/>
                <w:sz w:val="20"/>
                <w:szCs w:val="20"/>
                <w:lang w:val="ro-RO"/>
              </w:rPr>
              <w:t>„credite de export sprijinite în mod oficial”</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înseamnă împrumuturi sau credite pentru a finanța exportul de mărfuri și servicii pentru care o agenție oficială de creditare a exportului oferă garanții, asigurare sau finanțare directă;</w:t>
            </w:r>
          </w:p>
        </w:tc>
        <w:tc>
          <w:tcPr>
            <w:tcW w:w="1636" w:type="pct"/>
          </w:tcPr>
          <w:p w14:paraId="068770A0" w14:textId="638E22E4" w:rsidR="00395381" w:rsidRPr="00684853" w:rsidRDefault="00380D27"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credite de export sprijinite în mod oficial </w:t>
            </w:r>
            <w:r w:rsidRPr="00684853">
              <w:rPr>
                <w:rFonts w:ascii="Times New Roman" w:hAnsi="Times New Roman" w:cs="Times New Roman"/>
                <w:bCs/>
                <w:color w:val="000000" w:themeColor="text1"/>
                <w:sz w:val="20"/>
                <w:szCs w:val="20"/>
                <w:lang w:val="ro-RO"/>
              </w:rPr>
              <w:t xml:space="preserve">– credite pentru a </w:t>
            </w:r>
            <w:proofErr w:type="spellStart"/>
            <w:r w:rsidRPr="00684853">
              <w:rPr>
                <w:rFonts w:ascii="Times New Roman" w:hAnsi="Times New Roman" w:cs="Times New Roman"/>
                <w:bCs/>
                <w:color w:val="000000" w:themeColor="text1"/>
                <w:sz w:val="20"/>
                <w:szCs w:val="20"/>
                <w:lang w:val="ro-RO"/>
              </w:rPr>
              <w:t>finanţa</w:t>
            </w:r>
            <w:proofErr w:type="spellEnd"/>
            <w:r w:rsidRPr="00684853">
              <w:rPr>
                <w:rFonts w:ascii="Times New Roman" w:hAnsi="Times New Roman" w:cs="Times New Roman"/>
                <w:bCs/>
                <w:color w:val="000000" w:themeColor="text1"/>
                <w:sz w:val="20"/>
                <w:szCs w:val="20"/>
                <w:lang w:val="ro-RO"/>
              </w:rPr>
              <w:t xml:space="preserve"> exportul de mărfuri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servicii pentru care o </w:t>
            </w:r>
            <w:proofErr w:type="spellStart"/>
            <w:r w:rsidRPr="00684853">
              <w:rPr>
                <w:rFonts w:ascii="Times New Roman" w:hAnsi="Times New Roman" w:cs="Times New Roman"/>
                <w:bCs/>
                <w:color w:val="000000" w:themeColor="text1"/>
                <w:sz w:val="20"/>
                <w:szCs w:val="20"/>
                <w:lang w:val="ro-RO"/>
              </w:rPr>
              <w:t>agenţie</w:t>
            </w:r>
            <w:proofErr w:type="spellEnd"/>
            <w:r w:rsidRPr="00684853">
              <w:rPr>
                <w:rFonts w:ascii="Times New Roman" w:hAnsi="Times New Roman" w:cs="Times New Roman"/>
                <w:bCs/>
                <w:color w:val="000000" w:themeColor="text1"/>
                <w:sz w:val="20"/>
                <w:szCs w:val="20"/>
                <w:lang w:val="ro-RO"/>
              </w:rPr>
              <w:t xml:space="preserve"> oficială de creditare a exportului oferă </w:t>
            </w:r>
            <w:proofErr w:type="spellStart"/>
            <w:r w:rsidRPr="00684853">
              <w:rPr>
                <w:rFonts w:ascii="Times New Roman" w:hAnsi="Times New Roman" w:cs="Times New Roman"/>
                <w:bCs/>
                <w:color w:val="000000" w:themeColor="text1"/>
                <w:sz w:val="20"/>
                <w:szCs w:val="20"/>
                <w:lang w:val="ro-RO"/>
              </w:rPr>
              <w:t>garanţii</w:t>
            </w:r>
            <w:proofErr w:type="spellEnd"/>
            <w:r w:rsidRPr="00684853">
              <w:rPr>
                <w:rFonts w:ascii="Times New Roman" w:hAnsi="Times New Roman" w:cs="Times New Roman"/>
                <w:bCs/>
                <w:color w:val="000000" w:themeColor="text1"/>
                <w:sz w:val="20"/>
                <w:szCs w:val="20"/>
                <w:lang w:val="ro-RO"/>
              </w:rPr>
              <w:t xml:space="preserve">, asigurare sau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directă;</w:t>
            </w:r>
          </w:p>
        </w:tc>
        <w:tc>
          <w:tcPr>
            <w:tcW w:w="562" w:type="pct"/>
          </w:tcPr>
          <w:p w14:paraId="14F865D9"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867E065"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Pr>
          <w:p w14:paraId="64183CC2" w14:textId="5C9FC8D0"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p.3 din</w:t>
            </w:r>
            <w:r w:rsidRPr="00684853">
              <w:rPr>
                <w:rFonts w:ascii="Times New Roman" w:hAnsi="Times New Roman" w:cs="Times New Roman"/>
                <w:b/>
                <w:color w:val="000000" w:themeColor="text1"/>
                <w:sz w:val="20"/>
                <w:szCs w:val="20"/>
                <w:lang w:val="ro-RO"/>
              </w:rPr>
              <w:t xml:space="preserve"> 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 prin noțiunea „credite de export sprijinite în mod oficial”</w:t>
            </w:r>
            <w:r w:rsidRPr="00684853">
              <w:rPr>
                <w:rFonts w:ascii="Times New Roman" w:hAnsi="Times New Roman" w:cs="Times New Roman"/>
                <w:b/>
                <w:color w:val="000000" w:themeColor="text1"/>
                <w:sz w:val="20"/>
                <w:szCs w:val="20"/>
                <w:lang w:val="ro-RO"/>
              </w:rPr>
              <w:t>.</w:t>
            </w:r>
          </w:p>
        </w:tc>
      </w:tr>
      <w:tr w:rsidR="00EA59FA" w:rsidRPr="00684853" w14:paraId="675DFFD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400DDD46"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82.</w:t>
            </w:r>
            <w:r w:rsidRPr="00684853">
              <w:rPr>
                <w:rFonts w:ascii="Times New Roman" w:hAnsi="Times New Roman"/>
                <w:color w:val="000000" w:themeColor="text1"/>
                <w:sz w:val="20"/>
                <w:szCs w:val="20"/>
                <w:lang w:val="ro-RO"/>
              </w:rPr>
              <w:t xml:space="preserve">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și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înseamnă orice acord în care o instituție sau </w:t>
            </w:r>
            <w:proofErr w:type="spellStart"/>
            <w:r w:rsidRPr="00684853">
              <w:rPr>
                <w:rFonts w:ascii="Times New Roman" w:hAnsi="Times New Roman"/>
                <w:color w:val="000000" w:themeColor="text1"/>
                <w:sz w:val="20"/>
                <w:szCs w:val="20"/>
                <w:lang w:val="ro-RO"/>
              </w:rPr>
              <w:t>contrapartea</w:t>
            </w:r>
            <w:proofErr w:type="spellEnd"/>
            <w:r w:rsidRPr="00684853">
              <w:rPr>
                <w:rFonts w:ascii="Times New Roman" w:hAnsi="Times New Roman"/>
                <w:color w:val="000000" w:themeColor="text1"/>
                <w:sz w:val="20"/>
                <w:szCs w:val="20"/>
                <w:lang w:val="ro-RO"/>
              </w:rPr>
              <w:t xml:space="preserve"> sa transferă titluri, mărfuri sau drepturi garantate referitoare la proprietatea asupra titlurilor sau a mărfurilor în cazul în care garanția respectivă este emisă de o bursă recunoscută care deține drepturile asupra titlurilor sau a mărfurilor, iar acordul nu permite unei instituții să transfere sau să dea în gaj un anumit titlu sau marfă mai multor </w:t>
            </w:r>
            <w:proofErr w:type="spellStart"/>
            <w:r w:rsidRPr="00684853">
              <w:rPr>
                <w:rFonts w:ascii="Times New Roman" w:hAnsi="Times New Roman"/>
                <w:color w:val="000000" w:themeColor="text1"/>
                <w:sz w:val="20"/>
                <w:szCs w:val="20"/>
                <w:lang w:val="ro-RO"/>
              </w:rPr>
              <w:t>contrapărți</w:t>
            </w:r>
            <w:proofErr w:type="spellEnd"/>
            <w:r w:rsidRPr="00684853">
              <w:rPr>
                <w:rFonts w:ascii="Times New Roman" w:hAnsi="Times New Roman"/>
                <w:color w:val="000000" w:themeColor="text1"/>
                <w:sz w:val="20"/>
                <w:szCs w:val="20"/>
                <w:lang w:val="ro-RO"/>
              </w:rPr>
              <w:t xml:space="preserve"> în același timp, cu angajamentul de a le răscumpăra, sau la titluri sau mărfuri substituite, prezentând aceleași caracteristici, la un preț specificat, la o dată viitoare precizată sau care urmează a fi precizată de entitatea care transferă, reprezentând un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pentru instituția care vinde titlurile sau mărfurile și un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pentru instituția care le cumpără;</w:t>
            </w:r>
          </w:p>
        </w:tc>
        <w:tc>
          <w:tcPr>
            <w:tcW w:w="1636" w:type="pct"/>
          </w:tcPr>
          <w:p w14:paraId="6EEEAE94" w14:textId="293618B1" w:rsidR="00395381" w:rsidRPr="00684853" w:rsidRDefault="00AD3736"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w:t>
            </w:r>
            <w:r w:rsidR="00380D27" w:rsidRPr="00684853">
              <w:rPr>
                <w:rFonts w:ascii="Times New Roman" w:hAnsi="Times New Roman" w:cs="Times New Roman"/>
                <w:b/>
                <w:color w:val="000000" w:themeColor="text1"/>
                <w:sz w:val="20"/>
                <w:szCs w:val="20"/>
                <w:lang w:val="ro-RO"/>
              </w:rPr>
              <w:t xml:space="preserve">acord </w:t>
            </w:r>
            <w:proofErr w:type="spellStart"/>
            <w:r w:rsidR="00380D27"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w:t>
            </w:r>
            <w:r w:rsidR="00380D27" w:rsidRPr="00684853">
              <w:rPr>
                <w:rFonts w:ascii="Times New Roman" w:hAnsi="Times New Roman" w:cs="Times New Roman"/>
                <w:b/>
                <w:color w:val="000000" w:themeColor="text1"/>
                <w:sz w:val="20"/>
                <w:szCs w:val="20"/>
                <w:lang w:val="ro-RO"/>
              </w:rPr>
              <w:t xml:space="preserve"> </w:t>
            </w:r>
            <w:proofErr w:type="spellStart"/>
            <w:r w:rsidR="00380D27" w:rsidRPr="00684853">
              <w:rPr>
                <w:rFonts w:ascii="Times New Roman" w:hAnsi="Times New Roman" w:cs="Times New Roman"/>
                <w:b/>
                <w:color w:val="000000" w:themeColor="text1"/>
                <w:sz w:val="20"/>
                <w:szCs w:val="20"/>
                <w:lang w:val="ro-RO"/>
              </w:rPr>
              <w:t>şi</w:t>
            </w:r>
            <w:proofErr w:type="spellEnd"/>
            <w:r w:rsidR="00380D27"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
                <w:color w:val="000000" w:themeColor="text1"/>
                <w:sz w:val="20"/>
                <w:szCs w:val="20"/>
                <w:lang w:val="ro-RO"/>
              </w:rPr>
              <w:t>„</w:t>
            </w:r>
            <w:r w:rsidR="00380D27" w:rsidRPr="00684853">
              <w:rPr>
                <w:rFonts w:ascii="Times New Roman" w:hAnsi="Times New Roman" w:cs="Times New Roman"/>
                <w:b/>
                <w:color w:val="000000" w:themeColor="text1"/>
                <w:sz w:val="20"/>
                <w:szCs w:val="20"/>
                <w:lang w:val="ro-RO"/>
              </w:rPr>
              <w:t xml:space="preserve">acord reverse </w:t>
            </w:r>
            <w:proofErr w:type="spellStart"/>
            <w:r w:rsidR="00380D27"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w:t>
            </w:r>
            <w:r w:rsidR="00380D27" w:rsidRPr="00684853">
              <w:rPr>
                <w:rFonts w:ascii="Times New Roman" w:hAnsi="Times New Roman" w:cs="Times New Roman"/>
                <w:b/>
                <w:color w:val="000000" w:themeColor="text1"/>
                <w:sz w:val="20"/>
                <w:szCs w:val="20"/>
                <w:lang w:val="ro-RO"/>
              </w:rPr>
              <w:t xml:space="preserve"> </w:t>
            </w:r>
            <w:r w:rsidR="00380D27" w:rsidRPr="00684853">
              <w:rPr>
                <w:rFonts w:ascii="Times New Roman" w:hAnsi="Times New Roman" w:cs="Times New Roman"/>
                <w:bCs/>
                <w:color w:val="000000" w:themeColor="text1"/>
                <w:sz w:val="20"/>
                <w:szCs w:val="20"/>
                <w:lang w:val="ro-RO"/>
              </w:rPr>
              <w:t xml:space="preserve">– orice acord în care o bancă sau </w:t>
            </w:r>
            <w:proofErr w:type="spellStart"/>
            <w:r w:rsidR="00380D27" w:rsidRPr="00684853">
              <w:rPr>
                <w:rFonts w:ascii="Times New Roman" w:hAnsi="Times New Roman" w:cs="Times New Roman"/>
                <w:bCs/>
                <w:color w:val="000000" w:themeColor="text1"/>
                <w:sz w:val="20"/>
                <w:szCs w:val="20"/>
                <w:lang w:val="ro-RO"/>
              </w:rPr>
              <w:t>contrapartea</w:t>
            </w:r>
            <w:proofErr w:type="spellEnd"/>
            <w:r w:rsidR="00380D27" w:rsidRPr="00684853">
              <w:rPr>
                <w:rFonts w:ascii="Times New Roman" w:hAnsi="Times New Roman" w:cs="Times New Roman"/>
                <w:bCs/>
                <w:color w:val="000000" w:themeColor="text1"/>
                <w:sz w:val="20"/>
                <w:szCs w:val="20"/>
                <w:lang w:val="ro-RO"/>
              </w:rPr>
              <w:t xml:space="preserve"> sa transferă valori mobiliare, mărfuri sau drepturi garantate referitoare la proprietatea asupra valorilor mobiliare sau a mărfurilor în cazul în care </w:t>
            </w:r>
            <w:proofErr w:type="spellStart"/>
            <w:r w:rsidR="00380D27" w:rsidRPr="00684853">
              <w:rPr>
                <w:rFonts w:ascii="Times New Roman" w:hAnsi="Times New Roman" w:cs="Times New Roman"/>
                <w:bCs/>
                <w:color w:val="000000" w:themeColor="text1"/>
                <w:sz w:val="20"/>
                <w:szCs w:val="20"/>
                <w:lang w:val="ro-RO"/>
              </w:rPr>
              <w:t>garanţia</w:t>
            </w:r>
            <w:proofErr w:type="spellEnd"/>
            <w:r w:rsidR="00380D27" w:rsidRPr="00684853">
              <w:rPr>
                <w:rFonts w:ascii="Times New Roman" w:hAnsi="Times New Roman" w:cs="Times New Roman"/>
                <w:bCs/>
                <w:color w:val="000000" w:themeColor="text1"/>
                <w:sz w:val="20"/>
                <w:szCs w:val="20"/>
                <w:lang w:val="ro-RO"/>
              </w:rPr>
              <w:t xml:space="preserve"> respectivă este emisă de o bursă recunoscută care </w:t>
            </w:r>
            <w:proofErr w:type="spellStart"/>
            <w:r w:rsidR="00380D27" w:rsidRPr="00684853">
              <w:rPr>
                <w:rFonts w:ascii="Times New Roman" w:hAnsi="Times New Roman" w:cs="Times New Roman"/>
                <w:bCs/>
                <w:color w:val="000000" w:themeColor="text1"/>
                <w:sz w:val="20"/>
                <w:szCs w:val="20"/>
                <w:lang w:val="ro-RO"/>
              </w:rPr>
              <w:t>deţine</w:t>
            </w:r>
            <w:proofErr w:type="spellEnd"/>
            <w:r w:rsidR="00380D27" w:rsidRPr="00684853">
              <w:rPr>
                <w:rFonts w:ascii="Times New Roman" w:hAnsi="Times New Roman" w:cs="Times New Roman"/>
                <w:bCs/>
                <w:color w:val="000000" w:themeColor="text1"/>
                <w:sz w:val="20"/>
                <w:szCs w:val="20"/>
                <w:lang w:val="ro-RO"/>
              </w:rPr>
              <w:t xml:space="preserve"> drepturile asupra valorilor mobiliare sau a mărfurilor, iar acordul nu permite unei bănci să transfere sau să depună în gaj o anumită valoare mobiliară sau marfă mai multor </w:t>
            </w:r>
            <w:proofErr w:type="spellStart"/>
            <w:r w:rsidR="00380D27" w:rsidRPr="00684853">
              <w:rPr>
                <w:rFonts w:ascii="Times New Roman" w:hAnsi="Times New Roman" w:cs="Times New Roman"/>
                <w:bCs/>
                <w:color w:val="000000" w:themeColor="text1"/>
                <w:sz w:val="20"/>
                <w:szCs w:val="20"/>
                <w:lang w:val="ro-RO"/>
              </w:rPr>
              <w:t>contrapărţi</w:t>
            </w:r>
            <w:proofErr w:type="spellEnd"/>
            <w:r w:rsidR="00380D27" w:rsidRPr="00684853">
              <w:rPr>
                <w:rFonts w:ascii="Times New Roman" w:hAnsi="Times New Roman" w:cs="Times New Roman"/>
                <w:bCs/>
                <w:color w:val="000000" w:themeColor="text1"/>
                <w:sz w:val="20"/>
                <w:szCs w:val="20"/>
                <w:lang w:val="ro-RO"/>
              </w:rPr>
              <w:t xml:space="preserve"> în </w:t>
            </w:r>
            <w:proofErr w:type="spellStart"/>
            <w:r w:rsidR="00380D27" w:rsidRPr="00684853">
              <w:rPr>
                <w:rFonts w:ascii="Times New Roman" w:hAnsi="Times New Roman" w:cs="Times New Roman"/>
                <w:bCs/>
                <w:color w:val="000000" w:themeColor="text1"/>
                <w:sz w:val="20"/>
                <w:szCs w:val="20"/>
                <w:lang w:val="ro-RO"/>
              </w:rPr>
              <w:t>acelaşi</w:t>
            </w:r>
            <w:proofErr w:type="spellEnd"/>
            <w:r w:rsidR="00380D27" w:rsidRPr="00684853">
              <w:rPr>
                <w:rFonts w:ascii="Times New Roman" w:hAnsi="Times New Roman" w:cs="Times New Roman"/>
                <w:bCs/>
                <w:color w:val="000000" w:themeColor="text1"/>
                <w:sz w:val="20"/>
                <w:szCs w:val="20"/>
                <w:lang w:val="ro-RO"/>
              </w:rPr>
              <w:t xml:space="preserve"> timp, cu angajamentul de a le răscumpăra, sau valori mobiliare sau mărfuri substituite cu </w:t>
            </w:r>
            <w:proofErr w:type="spellStart"/>
            <w:r w:rsidR="00380D27" w:rsidRPr="00684853">
              <w:rPr>
                <w:rFonts w:ascii="Times New Roman" w:hAnsi="Times New Roman" w:cs="Times New Roman"/>
                <w:bCs/>
                <w:color w:val="000000" w:themeColor="text1"/>
                <w:sz w:val="20"/>
                <w:szCs w:val="20"/>
                <w:lang w:val="ro-RO"/>
              </w:rPr>
              <w:t>aceleaşi</w:t>
            </w:r>
            <w:proofErr w:type="spellEnd"/>
            <w:r w:rsidR="00380D27" w:rsidRPr="00684853">
              <w:rPr>
                <w:rFonts w:ascii="Times New Roman" w:hAnsi="Times New Roman" w:cs="Times New Roman"/>
                <w:bCs/>
                <w:color w:val="000000" w:themeColor="text1"/>
                <w:sz w:val="20"/>
                <w:szCs w:val="20"/>
                <w:lang w:val="ro-RO"/>
              </w:rPr>
              <w:t xml:space="preserve"> caracteristici, la un </w:t>
            </w:r>
            <w:proofErr w:type="spellStart"/>
            <w:r w:rsidR="00380D27" w:rsidRPr="00684853">
              <w:rPr>
                <w:rFonts w:ascii="Times New Roman" w:hAnsi="Times New Roman" w:cs="Times New Roman"/>
                <w:bCs/>
                <w:color w:val="000000" w:themeColor="text1"/>
                <w:sz w:val="20"/>
                <w:szCs w:val="20"/>
                <w:lang w:val="ro-RO"/>
              </w:rPr>
              <w:t>preţ</w:t>
            </w:r>
            <w:proofErr w:type="spellEnd"/>
            <w:r w:rsidR="00380D27" w:rsidRPr="00684853">
              <w:rPr>
                <w:rFonts w:ascii="Times New Roman" w:hAnsi="Times New Roman" w:cs="Times New Roman"/>
                <w:bCs/>
                <w:color w:val="000000" w:themeColor="text1"/>
                <w:sz w:val="20"/>
                <w:szCs w:val="20"/>
                <w:lang w:val="ro-RO"/>
              </w:rPr>
              <w:t xml:space="preserve"> specificat, la o dată viitoare precizată sau care urmează a fi precizată, de entitatea care transferă, reprezentând un acord </w:t>
            </w:r>
            <w:proofErr w:type="spellStart"/>
            <w:r w:rsidR="00380D27" w:rsidRPr="00684853">
              <w:rPr>
                <w:rFonts w:ascii="Times New Roman" w:hAnsi="Times New Roman" w:cs="Times New Roman"/>
                <w:bCs/>
                <w:color w:val="000000" w:themeColor="text1"/>
                <w:sz w:val="20"/>
                <w:szCs w:val="20"/>
                <w:lang w:val="ro-RO"/>
              </w:rPr>
              <w:t>repo</w:t>
            </w:r>
            <w:proofErr w:type="spellEnd"/>
            <w:r w:rsidR="00380D27" w:rsidRPr="00684853">
              <w:rPr>
                <w:rFonts w:ascii="Times New Roman" w:hAnsi="Times New Roman" w:cs="Times New Roman"/>
                <w:bCs/>
                <w:color w:val="000000" w:themeColor="text1"/>
                <w:sz w:val="20"/>
                <w:szCs w:val="20"/>
                <w:lang w:val="ro-RO"/>
              </w:rPr>
              <w:t xml:space="preserve"> pentru banca care vinde valorile mobiliare sau mărfurile </w:t>
            </w:r>
            <w:proofErr w:type="spellStart"/>
            <w:r w:rsidR="00380D27" w:rsidRPr="00684853">
              <w:rPr>
                <w:rFonts w:ascii="Times New Roman" w:hAnsi="Times New Roman" w:cs="Times New Roman"/>
                <w:bCs/>
                <w:color w:val="000000" w:themeColor="text1"/>
                <w:sz w:val="20"/>
                <w:szCs w:val="20"/>
                <w:lang w:val="ro-RO"/>
              </w:rPr>
              <w:t>şi</w:t>
            </w:r>
            <w:proofErr w:type="spellEnd"/>
            <w:r w:rsidR="00380D27" w:rsidRPr="00684853">
              <w:rPr>
                <w:rFonts w:ascii="Times New Roman" w:hAnsi="Times New Roman" w:cs="Times New Roman"/>
                <w:bCs/>
                <w:color w:val="000000" w:themeColor="text1"/>
                <w:sz w:val="20"/>
                <w:szCs w:val="20"/>
                <w:lang w:val="ro-RO"/>
              </w:rPr>
              <w:t xml:space="preserve"> un acord reverse </w:t>
            </w:r>
            <w:proofErr w:type="spellStart"/>
            <w:r w:rsidR="00380D27" w:rsidRPr="00684853">
              <w:rPr>
                <w:rFonts w:ascii="Times New Roman" w:hAnsi="Times New Roman" w:cs="Times New Roman"/>
                <w:bCs/>
                <w:color w:val="000000" w:themeColor="text1"/>
                <w:sz w:val="20"/>
                <w:szCs w:val="20"/>
                <w:lang w:val="ro-RO"/>
              </w:rPr>
              <w:t>repo</w:t>
            </w:r>
            <w:proofErr w:type="spellEnd"/>
            <w:r w:rsidR="00380D27" w:rsidRPr="00684853">
              <w:rPr>
                <w:rFonts w:ascii="Times New Roman" w:hAnsi="Times New Roman" w:cs="Times New Roman"/>
                <w:bCs/>
                <w:color w:val="000000" w:themeColor="text1"/>
                <w:sz w:val="20"/>
                <w:szCs w:val="20"/>
                <w:lang w:val="ro-RO"/>
              </w:rPr>
              <w:t xml:space="preserve"> pentru banca care le cumpără;</w:t>
            </w:r>
          </w:p>
        </w:tc>
        <w:tc>
          <w:tcPr>
            <w:tcW w:w="562" w:type="pct"/>
            <w:tcBorders>
              <w:top w:val="single" w:sz="4" w:space="0" w:color="auto"/>
              <w:left w:val="single" w:sz="4" w:space="0" w:color="auto"/>
              <w:bottom w:val="single" w:sz="4" w:space="0" w:color="auto"/>
              <w:right w:val="single" w:sz="4" w:space="0" w:color="auto"/>
            </w:tcBorders>
          </w:tcPr>
          <w:p w14:paraId="55AC5B80"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503F2187"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1DEA5C51" w14:textId="69D23DFB" w:rsidR="00395381" w:rsidRPr="00684853" w:rsidRDefault="00395381" w:rsidP="006110BC">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Regulamentul cu privire la tehnicile de diminuare a riscului de credit utilizate de bănci, </w:t>
            </w:r>
            <w:r w:rsidRPr="00684853">
              <w:rPr>
                <w:rFonts w:ascii="Times New Roman" w:hAnsi="Times New Roman" w:cs="Times New Roman"/>
                <w:color w:val="000000" w:themeColor="text1"/>
                <w:sz w:val="20"/>
                <w:szCs w:val="20"/>
                <w:lang w:val="ro-RO"/>
              </w:rPr>
              <w:t>aprobat prin HCE al BNM nr.11</w:t>
            </w:r>
            <w:r w:rsidR="00380D27" w:rsidRPr="00684853">
              <w:rPr>
                <w:rFonts w:ascii="Times New Roman" w:hAnsi="Times New Roman" w:cs="Times New Roman"/>
                <w:color w:val="000000" w:themeColor="text1"/>
                <w:sz w:val="20"/>
                <w:szCs w:val="20"/>
                <w:lang w:val="ro-RO"/>
              </w:rPr>
              <w:t>2</w:t>
            </w:r>
            <w:r w:rsidRPr="00684853">
              <w:rPr>
                <w:rFonts w:ascii="Times New Roman" w:hAnsi="Times New Roman" w:cs="Times New Roman"/>
                <w:color w:val="000000" w:themeColor="text1"/>
                <w:sz w:val="20"/>
                <w:szCs w:val="20"/>
                <w:lang w:val="ro-RO"/>
              </w:rPr>
              <w:t xml:space="preserve">/2018, prin noțiunea „acord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 xml:space="preserve">” și „acord reverse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w:t>
            </w:r>
            <w:r w:rsidRPr="00684853">
              <w:rPr>
                <w:rFonts w:ascii="Times New Roman" w:hAnsi="Times New Roman" w:cs="Times New Roman"/>
                <w:b/>
                <w:color w:val="000000" w:themeColor="text1"/>
                <w:sz w:val="20"/>
                <w:szCs w:val="20"/>
                <w:lang w:val="ro-RO"/>
              </w:rPr>
              <w:t>.</w:t>
            </w:r>
          </w:p>
        </w:tc>
      </w:tr>
      <w:tr w:rsidR="00EA59FA" w:rsidRPr="00684853" w14:paraId="4F8785A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C2C14C0"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83.</w:t>
            </w:r>
            <w:r w:rsidRPr="00684853">
              <w:rPr>
                <w:rFonts w:ascii="Times New Roman" w:hAnsi="Times New Roman"/>
                <w:color w:val="000000" w:themeColor="text1"/>
                <w:sz w:val="20"/>
                <w:szCs w:val="20"/>
                <w:lang w:val="ro-RO"/>
              </w:rPr>
              <w:t xml:space="preserve"> „tranzacție de răscumpărare” înseamnă orice tranzacție derulată în baza unui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sau a unui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w:t>
            </w:r>
          </w:p>
        </w:tc>
        <w:tc>
          <w:tcPr>
            <w:tcW w:w="1636" w:type="pct"/>
          </w:tcPr>
          <w:p w14:paraId="6224CE15" w14:textId="231A9EBB" w:rsidR="00395381" w:rsidRPr="00684853" w:rsidRDefault="00D129A6" w:rsidP="00E87F29">
            <w:pPr>
              <w:spacing w:after="0" w:line="276"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tranzacţie</w:t>
            </w:r>
            <w:proofErr w:type="spellEnd"/>
            <w:r w:rsidRPr="00684853">
              <w:rPr>
                <w:rFonts w:ascii="Times New Roman" w:hAnsi="Times New Roman" w:cs="Times New Roman"/>
                <w:b/>
                <w:color w:val="000000" w:themeColor="text1"/>
                <w:sz w:val="20"/>
                <w:szCs w:val="20"/>
                <w:lang w:val="ro-RO"/>
              </w:rPr>
              <w:t xml:space="preserve"> de răscumpărare </w:t>
            </w:r>
            <w:r w:rsidRPr="00684853">
              <w:rPr>
                <w:rFonts w:ascii="Times New Roman" w:hAnsi="Times New Roman" w:cs="Times New Roman"/>
                <w:bCs/>
                <w:color w:val="000000" w:themeColor="text1"/>
                <w:sz w:val="20"/>
                <w:szCs w:val="20"/>
                <w:lang w:val="ro-RO"/>
              </w:rPr>
              <w:t xml:space="preserve">– orice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derulată în baza unui "acord </w:t>
            </w:r>
            <w:proofErr w:type="spellStart"/>
            <w:r w:rsidRPr="00684853">
              <w:rPr>
                <w:rFonts w:ascii="Times New Roman" w:hAnsi="Times New Roman" w:cs="Times New Roman"/>
                <w:bCs/>
                <w:color w:val="000000" w:themeColor="text1"/>
                <w:sz w:val="20"/>
                <w:szCs w:val="20"/>
                <w:lang w:val="ro-RO"/>
              </w:rPr>
              <w:t>repo</w:t>
            </w:r>
            <w:proofErr w:type="spellEnd"/>
            <w:r w:rsidRPr="00684853">
              <w:rPr>
                <w:rFonts w:ascii="Times New Roman" w:hAnsi="Times New Roman" w:cs="Times New Roman"/>
                <w:bCs/>
                <w:color w:val="000000" w:themeColor="text1"/>
                <w:sz w:val="20"/>
                <w:szCs w:val="20"/>
                <w:lang w:val="ro-RO"/>
              </w:rPr>
              <w:t xml:space="preserve">" sau a unui "acord reverse </w:t>
            </w:r>
            <w:proofErr w:type="spellStart"/>
            <w:r w:rsidRPr="00684853">
              <w:rPr>
                <w:rFonts w:ascii="Times New Roman" w:hAnsi="Times New Roman" w:cs="Times New Roman"/>
                <w:bCs/>
                <w:color w:val="000000" w:themeColor="text1"/>
                <w:sz w:val="20"/>
                <w:szCs w:val="20"/>
                <w:lang w:val="ro-RO"/>
              </w:rPr>
              <w:t>repo</w:t>
            </w:r>
            <w:proofErr w:type="spellEnd"/>
            <w:r w:rsidRPr="00684853">
              <w:rPr>
                <w:rFonts w:ascii="Times New Roman" w:hAnsi="Times New Roman" w:cs="Times New Roman"/>
                <w:bCs/>
                <w:color w:val="000000" w:themeColor="text1"/>
                <w:sz w:val="20"/>
                <w:szCs w:val="20"/>
                <w:lang w:val="ro-RO"/>
              </w:rPr>
              <w:t>";</w:t>
            </w:r>
          </w:p>
        </w:tc>
        <w:tc>
          <w:tcPr>
            <w:tcW w:w="562" w:type="pct"/>
            <w:tcBorders>
              <w:top w:val="single" w:sz="4" w:space="0" w:color="auto"/>
              <w:left w:val="single" w:sz="4" w:space="0" w:color="auto"/>
              <w:bottom w:val="single" w:sz="4" w:space="0" w:color="auto"/>
              <w:right w:val="single" w:sz="4" w:space="0" w:color="auto"/>
            </w:tcBorders>
          </w:tcPr>
          <w:p w14:paraId="3902EEA5"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08A02D0"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099ABB5C" w14:textId="5F692AD5" w:rsidR="00395381" w:rsidRPr="00684853" w:rsidRDefault="00395381" w:rsidP="00BC3CB6">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Regulamentul cu privire la tehnicile de diminuare a riscului de credit utilizate de bănci, </w:t>
            </w:r>
            <w:r w:rsidRPr="00684853">
              <w:rPr>
                <w:rFonts w:ascii="Times New Roman" w:hAnsi="Times New Roman" w:cs="Times New Roman"/>
                <w:color w:val="000000" w:themeColor="text1"/>
                <w:sz w:val="20"/>
                <w:szCs w:val="20"/>
                <w:lang w:val="ro-RO"/>
              </w:rPr>
              <w:lastRenderedPageBreak/>
              <w:t>aprobat prin HCE al BNM nr.11</w:t>
            </w:r>
            <w:r w:rsidR="00D129A6" w:rsidRPr="00684853">
              <w:rPr>
                <w:rFonts w:ascii="Times New Roman" w:hAnsi="Times New Roman" w:cs="Times New Roman"/>
                <w:color w:val="000000" w:themeColor="text1"/>
                <w:sz w:val="20"/>
                <w:szCs w:val="20"/>
                <w:lang w:val="ro-RO"/>
              </w:rPr>
              <w:t>2</w:t>
            </w:r>
            <w:r w:rsidRPr="00684853">
              <w:rPr>
                <w:rFonts w:ascii="Times New Roman" w:hAnsi="Times New Roman" w:cs="Times New Roman"/>
                <w:color w:val="000000" w:themeColor="text1"/>
                <w:sz w:val="20"/>
                <w:szCs w:val="20"/>
                <w:lang w:val="ro-RO"/>
              </w:rPr>
              <w:t>/2018, prin noțiunea „tranzacție de răscumpărare”</w:t>
            </w:r>
          </w:p>
        </w:tc>
      </w:tr>
      <w:tr w:rsidR="00EA59FA" w:rsidRPr="00684853" w14:paraId="3BF80B1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D1F94DD" w14:textId="12250CCC" w:rsidR="00395381" w:rsidRPr="00684853" w:rsidRDefault="00395381" w:rsidP="0076387A">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84.</w:t>
            </w:r>
            <w:r w:rsidRPr="00684853">
              <w:rPr>
                <w:rFonts w:ascii="Times New Roman" w:hAnsi="Times New Roman"/>
                <w:color w:val="000000" w:themeColor="text1"/>
                <w:sz w:val="20"/>
                <w:szCs w:val="20"/>
                <w:lang w:val="ro-RO"/>
              </w:rPr>
              <w:t xml:space="preserve">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simplu” înseamnă o tranzacție de răscumpărare a unui singur activ sau a unor active similare, </w:t>
            </w:r>
            <w:proofErr w:type="spellStart"/>
            <w:r w:rsidRPr="00684853">
              <w:rPr>
                <w:rFonts w:ascii="Times New Roman" w:hAnsi="Times New Roman"/>
                <w:color w:val="000000" w:themeColor="text1"/>
                <w:sz w:val="20"/>
                <w:szCs w:val="20"/>
                <w:lang w:val="ro-RO"/>
              </w:rPr>
              <w:t>necomplexe</w:t>
            </w:r>
            <w:proofErr w:type="spellEnd"/>
            <w:r w:rsidRPr="00684853">
              <w:rPr>
                <w:rFonts w:ascii="Times New Roman" w:hAnsi="Times New Roman"/>
                <w:color w:val="000000" w:themeColor="text1"/>
                <w:sz w:val="20"/>
                <w:szCs w:val="20"/>
                <w:lang w:val="ro-RO"/>
              </w:rPr>
              <w:t>, prin opoziție cu un coș de active;</w:t>
            </w:r>
          </w:p>
        </w:tc>
        <w:tc>
          <w:tcPr>
            <w:tcW w:w="1636" w:type="pct"/>
          </w:tcPr>
          <w:p w14:paraId="5F9EAE69" w14:textId="261BE9A9" w:rsidR="00395381" w:rsidRPr="00684853" w:rsidRDefault="00771A27"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2)</w:t>
            </w:r>
            <w:r w:rsidRPr="00684853">
              <w:rPr>
                <w:rFonts w:ascii="Times New Roman" w:hAnsi="Times New Roman" w:cs="Times New Roman"/>
                <w:b/>
                <w:color w:val="000000" w:themeColor="text1"/>
                <w:sz w:val="20"/>
                <w:szCs w:val="20"/>
                <w:lang w:val="ro-RO"/>
              </w:rPr>
              <w:t xml:space="preserve"> acord </w:t>
            </w:r>
            <w:proofErr w:type="spellStart"/>
            <w:r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 xml:space="preserve"> simplu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de răscumpărare a unui singur activ sau a unor active similare, </w:t>
            </w:r>
            <w:proofErr w:type="spellStart"/>
            <w:r w:rsidRPr="00684853">
              <w:rPr>
                <w:rFonts w:ascii="Times New Roman" w:hAnsi="Times New Roman" w:cs="Times New Roman"/>
                <w:bCs/>
                <w:color w:val="000000" w:themeColor="text1"/>
                <w:sz w:val="20"/>
                <w:szCs w:val="20"/>
                <w:lang w:val="ro-RO"/>
              </w:rPr>
              <w:t>necomplexe</w:t>
            </w:r>
            <w:proofErr w:type="spellEnd"/>
            <w:r w:rsidRPr="00684853">
              <w:rPr>
                <w:rFonts w:ascii="Times New Roman" w:hAnsi="Times New Roman" w:cs="Times New Roman"/>
                <w:bCs/>
                <w:color w:val="000000" w:themeColor="text1"/>
                <w:sz w:val="20"/>
                <w:szCs w:val="20"/>
                <w:lang w:val="ro-RO"/>
              </w:rPr>
              <w:t xml:space="preserve">, prin </w:t>
            </w:r>
            <w:proofErr w:type="spellStart"/>
            <w:r w:rsidRPr="00684853">
              <w:rPr>
                <w:rFonts w:ascii="Times New Roman" w:hAnsi="Times New Roman" w:cs="Times New Roman"/>
                <w:bCs/>
                <w:color w:val="000000" w:themeColor="text1"/>
                <w:sz w:val="20"/>
                <w:szCs w:val="20"/>
                <w:lang w:val="ro-RO"/>
              </w:rPr>
              <w:t>opoziţie</w:t>
            </w:r>
            <w:proofErr w:type="spellEnd"/>
            <w:r w:rsidRPr="00684853">
              <w:rPr>
                <w:rFonts w:ascii="Times New Roman" w:hAnsi="Times New Roman" w:cs="Times New Roman"/>
                <w:bCs/>
                <w:color w:val="000000" w:themeColor="text1"/>
                <w:sz w:val="20"/>
                <w:szCs w:val="20"/>
                <w:lang w:val="ro-RO"/>
              </w:rPr>
              <w:t xml:space="preserve"> cu un </w:t>
            </w:r>
            <w:proofErr w:type="spellStart"/>
            <w:r w:rsidRPr="00684853">
              <w:rPr>
                <w:rFonts w:ascii="Times New Roman" w:hAnsi="Times New Roman" w:cs="Times New Roman"/>
                <w:bCs/>
                <w:color w:val="000000" w:themeColor="text1"/>
                <w:sz w:val="20"/>
                <w:szCs w:val="20"/>
                <w:lang w:val="ro-RO"/>
              </w:rPr>
              <w:t>coş</w:t>
            </w:r>
            <w:proofErr w:type="spellEnd"/>
            <w:r w:rsidRPr="00684853">
              <w:rPr>
                <w:rFonts w:ascii="Times New Roman" w:hAnsi="Times New Roman" w:cs="Times New Roman"/>
                <w:bCs/>
                <w:color w:val="000000" w:themeColor="text1"/>
                <w:sz w:val="20"/>
                <w:szCs w:val="20"/>
                <w:lang w:val="ro-RO"/>
              </w:rPr>
              <w:t xml:space="preserve"> de active;</w:t>
            </w:r>
          </w:p>
        </w:tc>
        <w:tc>
          <w:tcPr>
            <w:tcW w:w="562" w:type="pct"/>
            <w:tcBorders>
              <w:top w:val="single" w:sz="4" w:space="0" w:color="auto"/>
              <w:left w:val="single" w:sz="4" w:space="0" w:color="auto"/>
              <w:bottom w:val="single" w:sz="4" w:space="0" w:color="auto"/>
              <w:right w:val="single" w:sz="4" w:space="0" w:color="auto"/>
            </w:tcBorders>
          </w:tcPr>
          <w:p w14:paraId="6595E0F6"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1E43002"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6A12931E" w14:textId="413E8579" w:rsidR="00395381" w:rsidRPr="00684853" w:rsidRDefault="00395381" w:rsidP="00E87F29">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subp.2)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7A6FCFD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35CEDF1B"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85.</w:t>
            </w:r>
            <w:r w:rsidRPr="00684853">
              <w:rPr>
                <w:rFonts w:ascii="Times New Roman" w:hAnsi="Times New Roman"/>
                <w:color w:val="000000" w:themeColor="text1"/>
                <w:sz w:val="20"/>
                <w:szCs w:val="20"/>
                <w:lang w:val="ro-RO"/>
              </w:rPr>
              <w:t xml:space="preserve"> „poziții deținute cu intenția tranzacționării” înseamnă oricare dintre următoarele:</w:t>
            </w:r>
          </w:p>
          <w:p w14:paraId="5C51CF8C"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(a) pozițiile în cont propriu și pozițiile provenind din serviciile pentru clienți și din formarea pieței;</w:t>
            </w:r>
          </w:p>
          <w:p w14:paraId="4994054D"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pozițiile destinate revânzării pe termen scurt;</w:t>
            </w:r>
          </w:p>
          <w:p w14:paraId="4E9C33D6"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pozițiile destinate să beneficieze de diferențele, reale sau așteptate pe termen scurt, dintre prețurile de cumpărare și cele de vânzare sau de alte variații ale prețurilor sau ale ratei dobânzii;</w:t>
            </w:r>
          </w:p>
        </w:tc>
        <w:tc>
          <w:tcPr>
            <w:tcW w:w="1636" w:type="pct"/>
          </w:tcPr>
          <w:p w14:paraId="4B1E907A" w14:textId="77777777" w:rsidR="00771A27" w:rsidRPr="00684853" w:rsidRDefault="00771A27" w:rsidP="00771A27">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12)</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poziţii</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deţinute</w:t>
            </w:r>
            <w:proofErr w:type="spellEnd"/>
            <w:r w:rsidRPr="00684853">
              <w:rPr>
                <w:rFonts w:ascii="Times New Roman" w:hAnsi="Times New Roman" w:cs="Times New Roman"/>
                <w:b/>
                <w:color w:val="000000" w:themeColor="text1"/>
                <w:sz w:val="20"/>
                <w:szCs w:val="20"/>
                <w:lang w:val="ro-RO"/>
              </w:rPr>
              <w:t xml:space="preserve"> cu </w:t>
            </w:r>
            <w:proofErr w:type="spellStart"/>
            <w:r w:rsidRPr="00684853">
              <w:rPr>
                <w:rFonts w:ascii="Times New Roman" w:hAnsi="Times New Roman" w:cs="Times New Roman"/>
                <w:b/>
                <w:color w:val="000000" w:themeColor="text1"/>
                <w:sz w:val="20"/>
                <w:szCs w:val="20"/>
                <w:lang w:val="ro-RO"/>
              </w:rPr>
              <w:t>intenţia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tranzacţionării</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reprezintă oricare dintre următoarele:</w:t>
            </w:r>
          </w:p>
          <w:p w14:paraId="6E99820B" w14:textId="77777777" w:rsidR="00771A27" w:rsidRPr="00684853" w:rsidRDefault="00771A27" w:rsidP="00771A27">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în cont propriu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provenind din serviciile pentru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din formarea </w:t>
            </w:r>
            <w:proofErr w:type="spellStart"/>
            <w:r w:rsidRPr="00684853">
              <w:rPr>
                <w:rFonts w:ascii="Times New Roman" w:hAnsi="Times New Roman" w:cs="Times New Roman"/>
                <w:bCs/>
                <w:color w:val="000000" w:themeColor="text1"/>
                <w:sz w:val="20"/>
                <w:szCs w:val="20"/>
                <w:lang w:val="ro-RO"/>
              </w:rPr>
              <w:t>pieţei</w:t>
            </w:r>
            <w:proofErr w:type="spellEnd"/>
            <w:r w:rsidRPr="00684853">
              <w:rPr>
                <w:rFonts w:ascii="Times New Roman" w:hAnsi="Times New Roman" w:cs="Times New Roman"/>
                <w:bCs/>
                <w:color w:val="000000" w:themeColor="text1"/>
                <w:sz w:val="20"/>
                <w:szCs w:val="20"/>
                <w:lang w:val="ro-RO"/>
              </w:rPr>
              <w:t>;</w:t>
            </w:r>
          </w:p>
          <w:p w14:paraId="121EC527" w14:textId="77777777" w:rsidR="00771A27" w:rsidRPr="00684853" w:rsidRDefault="00771A27" w:rsidP="00771A27">
            <w:pPr>
              <w:spacing w:after="0"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destinate revânzării pe termen scurt;</w:t>
            </w:r>
          </w:p>
          <w:p w14:paraId="597D82EA" w14:textId="417E2509" w:rsidR="00395381" w:rsidRPr="00684853" w:rsidRDefault="00771A27" w:rsidP="00771A27">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destinate să beneficieze de </w:t>
            </w:r>
            <w:proofErr w:type="spellStart"/>
            <w:r w:rsidRPr="00684853">
              <w:rPr>
                <w:rFonts w:ascii="Times New Roman" w:hAnsi="Times New Roman" w:cs="Times New Roman"/>
                <w:bCs/>
                <w:color w:val="000000" w:themeColor="text1"/>
                <w:sz w:val="20"/>
                <w:szCs w:val="20"/>
                <w:lang w:val="ro-RO"/>
              </w:rPr>
              <w:t>diferenţele</w:t>
            </w:r>
            <w:proofErr w:type="spellEnd"/>
            <w:r w:rsidRPr="00684853">
              <w:rPr>
                <w:rFonts w:ascii="Times New Roman" w:hAnsi="Times New Roman" w:cs="Times New Roman"/>
                <w:bCs/>
                <w:color w:val="000000" w:themeColor="text1"/>
                <w:sz w:val="20"/>
                <w:szCs w:val="20"/>
                <w:lang w:val="ro-RO"/>
              </w:rPr>
              <w:t xml:space="preserve">, reale sau </w:t>
            </w:r>
            <w:proofErr w:type="spellStart"/>
            <w:r w:rsidRPr="00684853">
              <w:rPr>
                <w:rFonts w:ascii="Times New Roman" w:hAnsi="Times New Roman" w:cs="Times New Roman"/>
                <w:bCs/>
                <w:color w:val="000000" w:themeColor="text1"/>
                <w:sz w:val="20"/>
                <w:szCs w:val="20"/>
                <w:lang w:val="ro-RO"/>
              </w:rPr>
              <w:t>aşteptate</w:t>
            </w:r>
            <w:proofErr w:type="spellEnd"/>
            <w:r w:rsidRPr="00684853">
              <w:rPr>
                <w:rFonts w:ascii="Times New Roman" w:hAnsi="Times New Roman" w:cs="Times New Roman"/>
                <w:bCs/>
                <w:color w:val="000000" w:themeColor="text1"/>
                <w:sz w:val="20"/>
                <w:szCs w:val="20"/>
                <w:lang w:val="ro-RO"/>
              </w:rPr>
              <w:t xml:space="preserve"> pe termen scurt, dintre </w:t>
            </w:r>
            <w:proofErr w:type="spellStart"/>
            <w:r w:rsidRPr="00684853">
              <w:rPr>
                <w:rFonts w:ascii="Times New Roman" w:hAnsi="Times New Roman" w:cs="Times New Roman"/>
                <w:bCs/>
                <w:color w:val="000000" w:themeColor="text1"/>
                <w:sz w:val="20"/>
                <w:szCs w:val="20"/>
                <w:lang w:val="ro-RO"/>
              </w:rPr>
              <w:t>preţurile</w:t>
            </w:r>
            <w:proofErr w:type="spellEnd"/>
            <w:r w:rsidRPr="00684853">
              <w:rPr>
                <w:rFonts w:ascii="Times New Roman" w:hAnsi="Times New Roman" w:cs="Times New Roman"/>
                <w:bCs/>
                <w:color w:val="000000" w:themeColor="text1"/>
                <w:sz w:val="20"/>
                <w:szCs w:val="20"/>
                <w:lang w:val="ro-RO"/>
              </w:rPr>
              <w:t xml:space="preserve"> de cumpărare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cele de vânzare sau de alte </w:t>
            </w:r>
            <w:proofErr w:type="spellStart"/>
            <w:r w:rsidRPr="00684853">
              <w:rPr>
                <w:rFonts w:ascii="Times New Roman" w:hAnsi="Times New Roman" w:cs="Times New Roman"/>
                <w:bCs/>
                <w:color w:val="000000" w:themeColor="text1"/>
                <w:sz w:val="20"/>
                <w:szCs w:val="20"/>
                <w:lang w:val="ro-RO"/>
              </w:rPr>
              <w:t>variaţii</w:t>
            </w:r>
            <w:proofErr w:type="spellEnd"/>
            <w:r w:rsidRPr="00684853">
              <w:rPr>
                <w:rFonts w:ascii="Times New Roman" w:hAnsi="Times New Roman" w:cs="Times New Roman"/>
                <w:bCs/>
                <w:color w:val="000000" w:themeColor="text1"/>
                <w:sz w:val="20"/>
                <w:szCs w:val="20"/>
                <w:lang w:val="ro-RO"/>
              </w:rPr>
              <w:t xml:space="preserve"> ale </w:t>
            </w:r>
            <w:proofErr w:type="spellStart"/>
            <w:r w:rsidRPr="00684853">
              <w:rPr>
                <w:rFonts w:ascii="Times New Roman" w:hAnsi="Times New Roman" w:cs="Times New Roman"/>
                <w:bCs/>
                <w:color w:val="000000" w:themeColor="text1"/>
                <w:sz w:val="20"/>
                <w:szCs w:val="20"/>
                <w:lang w:val="ro-RO"/>
              </w:rPr>
              <w:t>preţurilor</w:t>
            </w:r>
            <w:proofErr w:type="spellEnd"/>
            <w:r w:rsidRPr="00684853">
              <w:rPr>
                <w:rFonts w:ascii="Times New Roman" w:hAnsi="Times New Roman" w:cs="Times New Roman"/>
                <w:bCs/>
                <w:color w:val="000000" w:themeColor="text1"/>
                <w:sz w:val="20"/>
                <w:szCs w:val="20"/>
                <w:lang w:val="ro-RO"/>
              </w:rPr>
              <w:t xml:space="preserve"> sau ale ratei dobânzii;</w:t>
            </w:r>
          </w:p>
        </w:tc>
        <w:tc>
          <w:tcPr>
            <w:tcW w:w="562" w:type="pct"/>
            <w:tcBorders>
              <w:top w:val="single" w:sz="4" w:space="0" w:color="auto"/>
              <w:left w:val="single" w:sz="4" w:space="0" w:color="auto"/>
              <w:bottom w:val="single" w:sz="4" w:space="0" w:color="auto"/>
              <w:right w:val="single" w:sz="4" w:space="0" w:color="auto"/>
            </w:tcBorders>
          </w:tcPr>
          <w:p w14:paraId="3F14339C"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050CB108"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62F033C8" w14:textId="29B439C7" w:rsidR="00395381" w:rsidRPr="00684853" w:rsidRDefault="00395381" w:rsidP="006110BC">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subp.12)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169A0F3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6211A9FD" w14:textId="29459BDC" w:rsidR="00EE49A1" w:rsidRPr="00684853" w:rsidRDefault="00EE49A1" w:rsidP="00587F5F">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M8</w:t>
            </w:r>
          </w:p>
          <w:p w14:paraId="2E863C0F" w14:textId="219B68D6" w:rsidR="00395381" w:rsidRPr="00684853" w:rsidRDefault="00395381" w:rsidP="00587F5F">
            <w:pPr>
              <w:pStyle w:val="CM4"/>
              <w:spacing w:after="120"/>
              <w:jc w:val="both"/>
              <w:rPr>
                <w:rFonts w:ascii="Times New Roman" w:eastAsiaTheme="minorHAnsi" w:hAnsi="Times New Roman"/>
                <w:color w:val="000000" w:themeColor="text1"/>
                <w:sz w:val="20"/>
                <w:szCs w:val="20"/>
                <w:highlight w:val="cyan"/>
                <w:lang w:val="ro-RO"/>
              </w:rPr>
            </w:pPr>
            <w:r w:rsidRPr="00684853">
              <w:rPr>
                <w:rFonts w:ascii="Times New Roman" w:hAnsi="Times New Roman"/>
                <w:b/>
                <w:color w:val="000000" w:themeColor="text1"/>
                <w:sz w:val="20"/>
                <w:szCs w:val="20"/>
                <w:lang w:val="ro-RO"/>
              </w:rPr>
              <w:t>86.</w:t>
            </w:r>
            <w:r w:rsidRPr="00684853">
              <w:rPr>
                <w:rFonts w:ascii="Times New Roman" w:hAnsi="Times New Roman"/>
                <w:color w:val="000000" w:themeColor="text1"/>
                <w:sz w:val="20"/>
                <w:szCs w:val="20"/>
                <w:lang w:val="ro-RO"/>
              </w:rPr>
              <w:t xml:space="preserve"> „portofoliu de tranzacționare” înseamnă toate pozițiile pe instrumente financiare și </w:t>
            </w:r>
            <w:r w:rsidR="00587F5F" w:rsidRPr="00684853">
              <w:rPr>
                <w:rFonts w:ascii="Times New Roman" w:hAnsi="Times New Roman"/>
                <w:color w:val="000000" w:themeColor="text1"/>
                <w:sz w:val="20"/>
                <w:szCs w:val="20"/>
                <w:lang w:val="ro-RO"/>
              </w:rPr>
              <w:t xml:space="preserve">pe </w:t>
            </w:r>
            <w:r w:rsidRPr="00684853">
              <w:rPr>
                <w:rFonts w:ascii="Times New Roman" w:hAnsi="Times New Roman"/>
                <w:color w:val="000000" w:themeColor="text1"/>
                <w:sz w:val="20"/>
                <w:szCs w:val="20"/>
                <w:lang w:val="ro-RO"/>
              </w:rPr>
              <w:t>mărfuri deținute de o instituție, fie cu intenția tranzacționării, fie cu scopul de a acoperi pozițiile deținute cu intenția tranzacționării</w:t>
            </w:r>
            <w:r w:rsidR="00587F5F" w:rsidRPr="00684853">
              <w:rPr>
                <w:rFonts w:ascii="Times New Roman" w:hAnsi="Times New Roman"/>
                <w:color w:val="000000" w:themeColor="text1"/>
                <w:sz w:val="20"/>
                <w:szCs w:val="20"/>
                <w:lang w:val="ro-RO"/>
              </w:rPr>
              <w:t xml:space="preserve"> în conformitate cu articolul 104</w:t>
            </w:r>
            <w:r w:rsidRPr="00684853">
              <w:rPr>
                <w:rFonts w:ascii="Times New Roman" w:hAnsi="Times New Roman"/>
                <w:color w:val="000000" w:themeColor="text1"/>
                <w:sz w:val="20"/>
                <w:szCs w:val="20"/>
                <w:lang w:val="ro-RO"/>
              </w:rPr>
              <w:t>;</w:t>
            </w:r>
          </w:p>
        </w:tc>
        <w:tc>
          <w:tcPr>
            <w:tcW w:w="1636" w:type="pct"/>
          </w:tcPr>
          <w:p w14:paraId="6EBADF24" w14:textId="4499BDD2" w:rsidR="00395381" w:rsidRPr="00684853" w:rsidRDefault="006A6A83"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11)</w:t>
            </w:r>
            <w:r w:rsidRPr="00684853">
              <w:rPr>
                <w:rFonts w:ascii="Times New Roman" w:hAnsi="Times New Roman" w:cs="Times New Roman"/>
                <w:b/>
                <w:color w:val="000000" w:themeColor="text1"/>
                <w:sz w:val="20"/>
                <w:szCs w:val="20"/>
                <w:lang w:val="ro-RO"/>
              </w:rPr>
              <w:t xml:space="preserve"> portofoliu de </w:t>
            </w:r>
            <w:proofErr w:type="spellStart"/>
            <w:r w:rsidRPr="00684853">
              <w:rPr>
                <w:rFonts w:ascii="Times New Roman" w:hAnsi="Times New Roman" w:cs="Times New Roman"/>
                <w:b/>
                <w:color w:val="000000" w:themeColor="text1"/>
                <w:sz w:val="20"/>
                <w:szCs w:val="20"/>
                <w:lang w:val="ro-RO"/>
              </w:rPr>
              <w:t>tranzacţionare</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toate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pe instrumente financiare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mărfuri </w:t>
            </w:r>
            <w:proofErr w:type="spellStart"/>
            <w:r w:rsidRPr="00684853">
              <w:rPr>
                <w:rFonts w:ascii="Times New Roman" w:hAnsi="Times New Roman" w:cs="Times New Roman"/>
                <w:bCs/>
                <w:color w:val="000000" w:themeColor="text1"/>
                <w:sz w:val="20"/>
                <w:szCs w:val="20"/>
                <w:lang w:val="ro-RO"/>
              </w:rPr>
              <w:t>deţinute</w:t>
            </w:r>
            <w:proofErr w:type="spellEnd"/>
            <w:r w:rsidRPr="00684853">
              <w:rPr>
                <w:rFonts w:ascii="Times New Roman" w:hAnsi="Times New Roman" w:cs="Times New Roman"/>
                <w:bCs/>
                <w:color w:val="000000" w:themeColor="text1"/>
                <w:sz w:val="20"/>
                <w:szCs w:val="20"/>
                <w:lang w:val="ro-RO"/>
              </w:rPr>
              <w:t xml:space="preserve"> de o bancă, fie cu </w:t>
            </w:r>
            <w:proofErr w:type="spellStart"/>
            <w:r w:rsidRPr="00684853">
              <w:rPr>
                <w:rFonts w:ascii="Times New Roman" w:hAnsi="Times New Roman" w:cs="Times New Roman"/>
                <w:bCs/>
                <w:color w:val="000000" w:themeColor="text1"/>
                <w:sz w:val="20"/>
                <w:szCs w:val="20"/>
                <w:lang w:val="ro-RO"/>
              </w:rPr>
              <w:t>intenţia</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tranzacţionării</w:t>
            </w:r>
            <w:proofErr w:type="spellEnd"/>
            <w:r w:rsidRPr="00684853">
              <w:rPr>
                <w:rFonts w:ascii="Times New Roman" w:hAnsi="Times New Roman" w:cs="Times New Roman"/>
                <w:bCs/>
                <w:color w:val="000000" w:themeColor="text1"/>
                <w:sz w:val="20"/>
                <w:szCs w:val="20"/>
                <w:lang w:val="ro-RO"/>
              </w:rPr>
              <w:t xml:space="preserve">, fie cu scopul de a acoperi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deţinute</w:t>
            </w:r>
            <w:proofErr w:type="spellEnd"/>
            <w:r w:rsidRPr="00684853">
              <w:rPr>
                <w:rFonts w:ascii="Times New Roman" w:hAnsi="Times New Roman" w:cs="Times New Roman"/>
                <w:bCs/>
                <w:color w:val="000000" w:themeColor="text1"/>
                <w:sz w:val="20"/>
                <w:szCs w:val="20"/>
                <w:lang w:val="ro-RO"/>
              </w:rPr>
              <w:t xml:space="preserve"> cu </w:t>
            </w:r>
            <w:proofErr w:type="spellStart"/>
            <w:r w:rsidRPr="00684853">
              <w:rPr>
                <w:rFonts w:ascii="Times New Roman" w:hAnsi="Times New Roman" w:cs="Times New Roman"/>
                <w:bCs/>
                <w:color w:val="000000" w:themeColor="text1"/>
                <w:sz w:val="20"/>
                <w:szCs w:val="20"/>
                <w:lang w:val="ro-RO"/>
              </w:rPr>
              <w:t>intenţia</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tranzacţionării</w:t>
            </w:r>
            <w:proofErr w:type="spellEnd"/>
            <w:r w:rsidRPr="00684853">
              <w:rPr>
                <w:rFonts w:ascii="Times New Roman" w:hAnsi="Times New Roman" w:cs="Times New Roman"/>
                <w:bCs/>
                <w:color w:val="000000" w:themeColor="text1"/>
                <w:sz w:val="20"/>
                <w:szCs w:val="20"/>
                <w:lang w:val="ro-RO"/>
              </w:rPr>
              <w:t>;</w:t>
            </w:r>
          </w:p>
        </w:tc>
        <w:tc>
          <w:tcPr>
            <w:tcW w:w="562" w:type="pct"/>
            <w:tcBorders>
              <w:top w:val="single" w:sz="4" w:space="0" w:color="auto"/>
              <w:left w:val="single" w:sz="4" w:space="0" w:color="auto"/>
              <w:bottom w:val="single" w:sz="4" w:space="0" w:color="auto"/>
              <w:right w:val="single" w:sz="4" w:space="0" w:color="auto"/>
            </w:tcBorders>
          </w:tcPr>
          <w:p w14:paraId="120F642A" w14:textId="1935B471"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3824AF0"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57E54A01" w14:textId="204622D5"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subp.11)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7FC27F5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2F457B48"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87.</w:t>
            </w:r>
            <w:r w:rsidRPr="00684853">
              <w:rPr>
                <w:rFonts w:ascii="Times New Roman" w:hAnsi="Times New Roman"/>
                <w:color w:val="000000" w:themeColor="text1"/>
                <w:sz w:val="20"/>
                <w:szCs w:val="20"/>
                <w:lang w:val="ro-RO"/>
              </w:rPr>
              <w:t xml:space="preserve"> „sistem multilateral de tranzacționare” înseamnă un sistem multilateral de tranzacționare astfel cum este definit la articolul 4 punctul 15 din Directiva 2004/39/CE;</w:t>
            </w:r>
          </w:p>
        </w:tc>
        <w:tc>
          <w:tcPr>
            <w:tcW w:w="1636" w:type="pct"/>
          </w:tcPr>
          <w:p w14:paraId="179740A4" w14:textId="3F10CC1B" w:rsidR="00395381" w:rsidRPr="00684853" w:rsidRDefault="00A3179F"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13)</w:t>
            </w:r>
            <w:r w:rsidRPr="00684853">
              <w:rPr>
                <w:rFonts w:ascii="Times New Roman" w:hAnsi="Times New Roman" w:cs="Times New Roman"/>
                <w:b/>
                <w:color w:val="000000" w:themeColor="text1"/>
                <w:sz w:val="20"/>
                <w:szCs w:val="20"/>
                <w:lang w:val="ro-RO"/>
              </w:rPr>
              <w:t xml:space="preserve"> sistem multilateral de </w:t>
            </w:r>
            <w:proofErr w:type="spellStart"/>
            <w:r w:rsidRPr="00684853">
              <w:rPr>
                <w:rFonts w:ascii="Times New Roman" w:hAnsi="Times New Roman" w:cs="Times New Roman"/>
                <w:b/>
                <w:color w:val="000000" w:themeColor="text1"/>
                <w:sz w:val="20"/>
                <w:szCs w:val="20"/>
                <w:lang w:val="ro-RO"/>
              </w:rPr>
              <w:t>tranzacţionare</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un sistem multilateral de </w:t>
            </w:r>
            <w:proofErr w:type="spellStart"/>
            <w:r w:rsidRPr="00684853">
              <w:rPr>
                <w:rFonts w:ascii="Times New Roman" w:hAnsi="Times New Roman" w:cs="Times New Roman"/>
                <w:bCs/>
                <w:color w:val="000000" w:themeColor="text1"/>
                <w:sz w:val="20"/>
                <w:szCs w:val="20"/>
                <w:lang w:val="ro-RO"/>
              </w:rPr>
              <w:t>tranzacţionare</w:t>
            </w:r>
            <w:proofErr w:type="spellEnd"/>
            <w:r w:rsidRPr="00684853">
              <w:rPr>
                <w:rFonts w:ascii="Times New Roman" w:hAnsi="Times New Roman" w:cs="Times New Roman"/>
                <w:bCs/>
                <w:color w:val="000000" w:themeColor="text1"/>
                <w:sz w:val="20"/>
                <w:szCs w:val="20"/>
                <w:lang w:val="ro-RO"/>
              </w:rPr>
              <w:t xml:space="preserve">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562" w:type="pct"/>
            <w:tcBorders>
              <w:top w:val="single" w:sz="4" w:space="0" w:color="auto"/>
              <w:left w:val="single" w:sz="4" w:space="0" w:color="auto"/>
              <w:bottom w:val="single" w:sz="4" w:space="0" w:color="auto"/>
              <w:right w:val="single" w:sz="4" w:space="0" w:color="auto"/>
            </w:tcBorders>
          </w:tcPr>
          <w:p w14:paraId="209791FF"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1C8A2E0"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34B58C8E" w14:textId="167D6CAD"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subp.13)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w:t>
            </w:r>
            <w:r w:rsidRPr="00684853">
              <w:rPr>
                <w:rFonts w:ascii="Times New Roman" w:hAnsi="Times New Roman" w:cs="Times New Roman"/>
                <w:b/>
                <w:color w:val="000000" w:themeColor="text1"/>
                <w:sz w:val="20"/>
                <w:szCs w:val="20"/>
                <w:lang w:val="ro-RO"/>
              </w:rPr>
              <w:lastRenderedPageBreak/>
              <w:t xml:space="preserve">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21ABCCD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39D09B2" w14:textId="77777777" w:rsidR="00395381" w:rsidRPr="00684853" w:rsidRDefault="00395381" w:rsidP="00E87F29">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88. </w:t>
            </w:r>
            <w:r w:rsidRPr="00684853">
              <w:rPr>
                <w:rFonts w:ascii="Times New Roman" w:hAnsi="Times New Roman"/>
                <w:color w:val="000000" w:themeColor="text1"/>
                <w:sz w:val="20"/>
                <w:szCs w:val="20"/>
                <w:lang w:val="ro-RO"/>
              </w:rPr>
              <w:t>„</w:t>
            </w:r>
            <w:proofErr w:type="spellStart"/>
            <w:r w:rsidRPr="00684853">
              <w:rPr>
                <w:rFonts w:ascii="Times New Roman" w:hAnsi="Times New Roman"/>
                <w:color w:val="000000" w:themeColor="text1"/>
                <w:sz w:val="20"/>
                <w:szCs w:val="20"/>
                <w:lang w:val="ro-RO"/>
              </w:rPr>
              <w:t>contraparte</w:t>
            </w:r>
            <w:proofErr w:type="spellEnd"/>
            <w:r w:rsidRPr="00684853">
              <w:rPr>
                <w:rFonts w:ascii="Times New Roman" w:hAnsi="Times New Roman"/>
                <w:color w:val="000000" w:themeColor="text1"/>
                <w:sz w:val="20"/>
                <w:szCs w:val="20"/>
                <w:lang w:val="ro-RO"/>
              </w:rPr>
              <w:t xml:space="preserve"> centrală calificată”</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sau</w:t>
            </w:r>
            <w:r w:rsidRPr="00684853">
              <w:rPr>
                <w:rFonts w:ascii="Times New Roman" w:hAnsi="Times New Roman"/>
                <w:b/>
                <w:color w:val="000000" w:themeColor="text1"/>
                <w:sz w:val="20"/>
                <w:szCs w:val="20"/>
                <w:lang w:val="ro-RO"/>
              </w:rPr>
              <w:t xml:space="preserve"> „CPCC” </w:t>
            </w:r>
            <w:r w:rsidRPr="00684853">
              <w:rPr>
                <w:rFonts w:ascii="Times New Roman" w:hAnsi="Times New Roman"/>
                <w:color w:val="000000" w:themeColor="text1"/>
                <w:sz w:val="20"/>
                <w:szCs w:val="20"/>
                <w:lang w:val="ro-RO"/>
              </w:rPr>
              <w:t xml:space="preserve">înseamnă o </w:t>
            </w:r>
            <w:proofErr w:type="spellStart"/>
            <w:r w:rsidRPr="00684853">
              <w:rPr>
                <w:rFonts w:ascii="Times New Roman" w:hAnsi="Times New Roman"/>
                <w:color w:val="000000" w:themeColor="text1"/>
                <w:sz w:val="20"/>
                <w:szCs w:val="20"/>
                <w:lang w:val="ro-RO"/>
              </w:rPr>
              <w:t>contraparte</w:t>
            </w:r>
            <w:proofErr w:type="spellEnd"/>
            <w:r w:rsidRPr="00684853">
              <w:rPr>
                <w:rFonts w:ascii="Times New Roman" w:hAnsi="Times New Roman"/>
                <w:color w:val="000000" w:themeColor="text1"/>
                <w:sz w:val="20"/>
                <w:szCs w:val="20"/>
                <w:lang w:val="ro-RO"/>
              </w:rPr>
              <w:t xml:space="preserve"> centrală care fie a fost autorizată în conformitate cu articolul 14 din Regulamentul (UE) nr. 648/2012, fie a fost recunoscută în conformitate cu articolul 25 din regulamentul respectiv;</w:t>
            </w:r>
          </w:p>
        </w:tc>
        <w:tc>
          <w:tcPr>
            <w:tcW w:w="1636" w:type="pct"/>
          </w:tcPr>
          <w:p w14:paraId="1A89D5B2" w14:textId="45C0AF32" w:rsidR="00395381" w:rsidRPr="00684853" w:rsidRDefault="00395381"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iCs/>
                <w:color w:val="000000" w:themeColor="text1"/>
                <w:sz w:val="20"/>
                <w:szCs w:val="20"/>
                <w:lang w:val="ro-RO"/>
              </w:rPr>
              <w:t xml:space="preserve">8. Tranzacțiile cu o </w:t>
            </w:r>
            <w:proofErr w:type="spellStart"/>
            <w:r w:rsidRPr="00684853">
              <w:rPr>
                <w:rFonts w:ascii="Times New Roman" w:hAnsi="Times New Roman" w:cs="Times New Roman"/>
                <w:iCs/>
                <w:color w:val="000000" w:themeColor="text1"/>
                <w:sz w:val="20"/>
                <w:szCs w:val="20"/>
                <w:lang w:val="ro-RO"/>
              </w:rPr>
              <w:t>contraparte</w:t>
            </w:r>
            <w:proofErr w:type="spellEnd"/>
            <w:r w:rsidRPr="00684853">
              <w:rPr>
                <w:rFonts w:ascii="Times New Roman" w:hAnsi="Times New Roman" w:cs="Times New Roman"/>
                <w:iCs/>
                <w:color w:val="000000" w:themeColor="text1"/>
                <w:sz w:val="20"/>
                <w:szCs w:val="20"/>
                <w:lang w:val="ro-RO"/>
              </w:rPr>
              <w:t xml:space="preserve"> centrală calificată (CPCC și care înseamnă o </w:t>
            </w:r>
            <w:proofErr w:type="spellStart"/>
            <w:r w:rsidRPr="00684853">
              <w:rPr>
                <w:rFonts w:ascii="Times New Roman" w:hAnsi="Times New Roman" w:cs="Times New Roman"/>
                <w:iCs/>
                <w:color w:val="000000" w:themeColor="text1"/>
                <w:sz w:val="20"/>
                <w:szCs w:val="20"/>
                <w:lang w:val="ro-RO"/>
              </w:rPr>
              <w:t>contraparte</w:t>
            </w:r>
            <w:proofErr w:type="spellEnd"/>
            <w:r w:rsidRPr="00684853">
              <w:rPr>
                <w:rFonts w:ascii="Times New Roman" w:hAnsi="Times New Roman" w:cs="Times New Roman"/>
                <w:iCs/>
                <w:color w:val="000000" w:themeColor="text1"/>
                <w:sz w:val="20"/>
                <w:szCs w:val="20"/>
                <w:lang w:val="ro-RO"/>
              </w:rPr>
              <w:t xml:space="preserve"> centrală astfel cum este definit la pct.3 din Regulamentul cu privire la tratamentul riscului de credit al </w:t>
            </w:r>
            <w:proofErr w:type="spellStart"/>
            <w:r w:rsidRPr="00684853">
              <w:rPr>
                <w:rFonts w:ascii="Times New Roman" w:hAnsi="Times New Roman" w:cs="Times New Roman"/>
                <w:iCs/>
                <w:color w:val="000000" w:themeColor="text1"/>
                <w:sz w:val="20"/>
                <w:szCs w:val="20"/>
                <w:lang w:val="ro-RO"/>
              </w:rPr>
              <w:t>contrapărții</w:t>
            </w:r>
            <w:proofErr w:type="spellEnd"/>
            <w:r w:rsidRPr="00684853">
              <w:rPr>
                <w:rFonts w:ascii="Times New Roman" w:hAnsi="Times New Roman" w:cs="Times New Roman"/>
                <w:iCs/>
                <w:color w:val="000000" w:themeColor="text1"/>
                <w:sz w:val="20"/>
                <w:szCs w:val="20"/>
                <w:lang w:val="ro-RO"/>
              </w:rPr>
              <w:t xml:space="preserve"> pentru bănci și este autorizată într-o țară membră a UE) și tranzacțiile care au loc între un client și un membru compensator atunci când membrul compensator acționează ca intermediar între client și o CPCC, iar tranzacțiile dau naștere unei expuneri a membrului compensator la CPCC sunt excluse de la aplicarea cerințelor de fonduri proprii pentru riscul CVA. </w:t>
            </w:r>
          </w:p>
        </w:tc>
        <w:tc>
          <w:tcPr>
            <w:tcW w:w="562" w:type="pct"/>
          </w:tcPr>
          <w:p w14:paraId="34D7D3F3" w14:textId="16E9DC93" w:rsidR="00395381" w:rsidRPr="00684853" w:rsidRDefault="00395381" w:rsidP="00E87F29">
            <w:pPr>
              <w:spacing w:after="12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Parțial compatibil </w:t>
            </w:r>
          </w:p>
        </w:tc>
        <w:tc>
          <w:tcPr>
            <w:tcW w:w="885" w:type="pct"/>
          </w:tcPr>
          <w:p w14:paraId="30D4CC48" w14:textId="09DAA509" w:rsidR="00395381" w:rsidRPr="00684853" w:rsidRDefault="00395381" w:rsidP="007B1487">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Pentru claritate, a fost utilizată definirea termenului direct în context.</w:t>
            </w:r>
          </w:p>
          <w:p w14:paraId="09B898B3" w14:textId="70979491" w:rsidR="00395381" w:rsidRPr="00684853" w:rsidRDefault="00011BA4" w:rsidP="00967ABE">
            <w:pPr>
              <w:jc w:val="both"/>
              <w:rPr>
                <w:rFonts w:ascii="Times New Roman" w:hAnsi="Times New Roman" w:cs="Times New Roman"/>
                <w:b/>
                <w:bCs/>
                <w:color w:val="000000" w:themeColor="text1"/>
                <w:sz w:val="20"/>
                <w:szCs w:val="20"/>
                <w:lang w:val="ro-RO"/>
              </w:rPr>
            </w:pPr>
            <w:r w:rsidRPr="00684853">
              <w:rPr>
                <w:rFonts w:ascii="Times New Roman" w:hAnsi="Times New Roman" w:cs="Times New Roman"/>
                <w:b/>
                <w:color w:val="000000" w:themeColor="text1"/>
                <w:sz w:val="20"/>
                <w:szCs w:val="20"/>
                <w:lang w:val="ro-RO"/>
              </w:rPr>
              <w:t>Regulamentul nr.103/2020 cu privire la tratamentul riscului de ajustare a evaluării creditului pentru bănci</w:t>
            </w:r>
            <w:r w:rsidRPr="00684853">
              <w:rPr>
                <w:rFonts w:ascii="Times New Roman" w:hAnsi="Times New Roman" w:cs="Times New Roman"/>
                <w:b/>
                <w:bCs/>
                <w:color w:val="000000" w:themeColor="text1"/>
                <w:sz w:val="20"/>
                <w:szCs w:val="20"/>
                <w:lang w:val="ro-RO"/>
              </w:rPr>
              <w:t xml:space="preserve"> </w:t>
            </w:r>
          </w:p>
        </w:tc>
      </w:tr>
      <w:tr w:rsidR="00EA59FA" w:rsidRPr="00684853" w14:paraId="7CD24D3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6DE8B87" w14:textId="77777777" w:rsidR="00395381" w:rsidRPr="00684853" w:rsidRDefault="00395381" w:rsidP="00E87F29">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89. </w:t>
            </w:r>
            <w:r w:rsidRPr="00684853">
              <w:rPr>
                <w:rFonts w:ascii="Times New Roman" w:eastAsia="Calibri" w:hAnsi="Times New Roman"/>
                <w:color w:val="000000" w:themeColor="text1"/>
                <w:sz w:val="20"/>
                <w:szCs w:val="20"/>
                <w:lang w:val="ro-RO"/>
              </w:rPr>
              <w:t>„fond de garantare” înseamnă un fond instituit de o CPC în conformitate cu articolul 42 din Regulamentul (UE) nr. 648/2012, care este utilizat în conformitate cu articolul 45 din regulamentul respectiv;</w:t>
            </w:r>
          </w:p>
        </w:tc>
        <w:tc>
          <w:tcPr>
            <w:tcW w:w="1636" w:type="pct"/>
          </w:tcPr>
          <w:p w14:paraId="329BAD0F" w14:textId="77777777" w:rsidR="00395381" w:rsidRPr="00684853" w:rsidRDefault="00395381" w:rsidP="00E87F29">
            <w:pPr>
              <w:spacing w:after="0" w:line="276" w:lineRule="auto"/>
              <w:jc w:val="both"/>
              <w:rPr>
                <w:rFonts w:ascii="Times New Roman" w:hAnsi="Times New Roman" w:cs="Times New Roman"/>
                <w:b/>
                <w:color w:val="000000" w:themeColor="text1"/>
                <w:sz w:val="20"/>
                <w:szCs w:val="20"/>
                <w:lang w:val="ro-RO"/>
              </w:rPr>
            </w:pPr>
          </w:p>
        </w:tc>
        <w:tc>
          <w:tcPr>
            <w:tcW w:w="562" w:type="pct"/>
          </w:tcPr>
          <w:p w14:paraId="194AEB53" w14:textId="24BFB80A" w:rsidR="00395381" w:rsidRPr="00684853" w:rsidRDefault="001476B1" w:rsidP="00E87F29">
            <w:pPr>
              <w:spacing w:after="12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2E2EF325" w14:textId="1B78ED06" w:rsidR="00395381" w:rsidRPr="00684853" w:rsidRDefault="005D75B4" w:rsidP="006110BC">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transpuse odată cu transpunerea Regulamentului UE nr.648/2012. </w:t>
            </w:r>
          </w:p>
        </w:tc>
      </w:tr>
      <w:tr w:rsidR="00EA59FA" w:rsidRPr="00684853" w14:paraId="2E0ABFB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AE9031C" w14:textId="77777777" w:rsidR="00395381" w:rsidRPr="00684853" w:rsidRDefault="00395381" w:rsidP="00E87F29">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90. </w:t>
            </w:r>
            <w:r w:rsidRPr="00684853">
              <w:rPr>
                <w:rFonts w:ascii="Times New Roman" w:eastAsia="Calibri" w:hAnsi="Times New Roman"/>
                <w:color w:val="000000" w:themeColor="text1"/>
                <w:sz w:val="20"/>
                <w:szCs w:val="20"/>
                <w:lang w:val="ro-RO"/>
              </w:rPr>
              <w:t xml:space="preserve">„contribuție </w:t>
            </w:r>
            <w:proofErr w:type="spellStart"/>
            <w:r w:rsidRPr="00684853">
              <w:rPr>
                <w:rFonts w:ascii="Times New Roman" w:eastAsia="Calibri" w:hAnsi="Times New Roman"/>
                <w:color w:val="000000" w:themeColor="text1"/>
                <w:sz w:val="20"/>
                <w:szCs w:val="20"/>
                <w:lang w:val="ro-RO"/>
              </w:rPr>
              <w:t>prefinanțată</w:t>
            </w:r>
            <w:proofErr w:type="spellEnd"/>
            <w:r w:rsidRPr="00684853">
              <w:rPr>
                <w:rFonts w:ascii="Times New Roman" w:eastAsia="Calibri" w:hAnsi="Times New Roman"/>
                <w:color w:val="000000" w:themeColor="text1"/>
                <w:sz w:val="20"/>
                <w:szCs w:val="20"/>
                <w:lang w:val="ro-RO"/>
              </w:rPr>
              <w:t xml:space="preserve"> la fondul de garantare al unei CPC” înseamnă o contribuție la fondul de garantare al unei CPC, care este plătită de o instituție;</w:t>
            </w:r>
          </w:p>
        </w:tc>
        <w:tc>
          <w:tcPr>
            <w:tcW w:w="1636" w:type="pct"/>
          </w:tcPr>
          <w:p w14:paraId="482911A1" w14:textId="77777777" w:rsidR="00395381" w:rsidRPr="00684853" w:rsidRDefault="00395381" w:rsidP="00E87F29">
            <w:pPr>
              <w:spacing w:after="0" w:line="276" w:lineRule="auto"/>
              <w:jc w:val="both"/>
              <w:rPr>
                <w:rFonts w:ascii="Times New Roman" w:hAnsi="Times New Roman" w:cs="Times New Roman"/>
                <w:b/>
                <w:color w:val="000000" w:themeColor="text1"/>
                <w:sz w:val="20"/>
                <w:szCs w:val="20"/>
                <w:lang w:val="ro-RO"/>
              </w:rPr>
            </w:pPr>
          </w:p>
        </w:tc>
        <w:tc>
          <w:tcPr>
            <w:tcW w:w="562" w:type="pct"/>
          </w:tcPr>
          <w:p w14:paraId="6A9619C3" w14:textId="6A0419CB" w:rsidR="00395381" w:rsidRPr="00684853" w:rsidRDefault="001476B1" w:rsidP="00E87F29">
            <w:pPr>
              <w:spacing w:after="12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4A5939D" w14:textId="6872247E" w:rsidR="00395381" w:rsidRPr="00684853" w:rsidRDefault="005D75B4"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transpuse odată cu prevederile aferente riscului de credit al </w:t>
            </w:r>
            <w:proofErr w:type="spellStart"/>
            <w:r w:rsidRPr="00684853">
              <w:rPr>
                <w:rFonts w:ascii="Times New Roman" w:hAnsi="Times New Roman" w:cs="Times New Roman"/>
                <w:color w:val="000000" w:themeColor="text1"/>
                <w:sz w:val="20"/>
                <w:szCs w:val="20"/>
                <w:lang w:val="ro-RO"/>
              </w:rPr>
              <w:t>contrapărții</w:t>
            </w:r>
            <w:proofErr w:type="spellEnd"/>
            <w:r w:rsidRPr="00684853">
              <w:rPr>
                <w:rFonts w:ascii="Times New Roman" w:hAnsi="Times New Roman" w:cs="Times New Roman"/>
                <w:color w:val="000000" w:themeColor="text1"/>
                <w:sz w:val="20"/>
                <w:szCs w:val="20"/>
                <w:lang w:val="ro-RO"/>
              </w:rPr>
              <w:t xml:space="preserve"> potrivit abordării IRB.</w:t>
            </w:r>
          </w:p>
        </w:tc>
      </w:tr>
      <w:tr w:rsidR="00EA59FA" w:rsidRPr="00684853" w14:paraId="10AB7EE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5D2B086" w14:textId="77777777" w:rsidR="001476B1" w:rsidRPr="00684853" w:rsidRDefault="001476B1" w:rsidP="00E87F29">
            <w:pPr>
              <w:pStyle w:val="CM1"/>
              <w:spacing w:before="200" w:after="200"/>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▼M8</w:t>
            </w:r>
          </w:p>
          <w:p w14:paraId="6D69437D" w14:textId="303E4729" w:rsidR="00395381" w:rsidRPr="00684853" w:rsidRDefault="00395381" w:rsidP="001476B1">
            <w:pPr>
              <w:pStyle w:val="CM1"/>
              <w:spacing w:before="200" w:after="200"/>
              <w:rPr>
                <w:rFonts w:ascii="Times New Roman" w:eastAsia="Calibri"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91. </w:t>
            </w:r>
            <w:r w:rsidRPr="00684853">
              <w:rPr>
                <w:rFonts w:ascii="Times New Roman" w:eastAsia="Calibri" w:hAnsi="Times New Roman"/>
                <w:color w:val="000000" w:themeColor="text1"/>
                <w:sz w:val="20"/>
                <w:szCs w:val="20"/>
                <w:lang w:val="ro-RO"/>
              </w:rPr>
              <w:t xml:space="preserve">„expunere din tranzacții” înseamnă o expunere </w:t>
            </w:r>
            <w:r w:rsidR="001476B1" w:rsidRPr="00684853">
              <w:rPr>
                <w:rFonts w:ascii="Times New Roman" w:hAnsi="Times New Roman"/>
                <w:color w:val="000000" w:themeColor="text1"/>
                <w:sz w:val="20"/>
                <w:szCs w:val="20"/>
                <w:lang w:val="ro-RO"/>
              </w:rPr>
              <w:t>curentă</w:t>
            </w:r>
            <w:r w:rsidR="004729D2" w:rsidRPr="00684853">
              <w:rPr>
                <w:rFonts w:ascii="Times New Roman" w:hAnsi="Times New Roman"/>
                <w:color w:val="000000" w:themeColor="text1"/>
                <w:sz w:val="20"/>
                <w:szCs w:val="20"/>
                <w:lang w:val="ro-RO"/>
              </w:rPr>
              <w:t xml:space="preserve"> </w:t>
            </w:r>
            <w:r w:rsidRPr="00684853">
              <w:rPr>
                <w:rFonts w:ascii="Times New Roman" w:eastAsia="Calibri" w:hAnsi="Times New Roman"/>
                <w:color w:val="000000" w:themeColor="text1"/>
                <w:sz w:val="20"/>
                <w:szCs w:val="20"/>
                <w:lang w:val="ro-RO"/>
              </w:rPr>
              <w:t xml:space="preserve">incluzând o marjă de variație datorată membrului compensator, dar încă neprimită, și orice </w:t>
            </w:r>
            <w:r w:rsidR="001476B1" w:rsidRPr="00684853">
              <w:rPr>
                <w:rFonts w:ascii="Times New Roman" w:hAnsi="Times New Roman"/>
                <w:color w:val="000000" w:themeColor="text1"/>
                <w:sz w:val="20"/>
                <w:szCs w:val="20"/>
                <w:lang w:val="ro-RO"/>
              </w:rPr>
              <w:t xml:space="preserve">expunere </w:t>
            </w:r>
            <w:r w:rsidRPr="00684853">
              <w:rPr>
                <w:rFonts w:ascii="Times New Roman" w:eastAsia="Calibri" w:hAnsi="Times New Roman"/>
                <w:color w:val="000000" w:themeColor="text1"/>
                <w:sz w:val="20"/>
                <w:szCs w:val="20"/>
                <w:lang w:val="ro-RO"/>
              </w:rPr>
              <w:t xml:space="preserve">viitoare potențială a unui membru compensator sau a unui client la </w:t>
            </w:r>
            <w:r w:rsidR="001476B1" w:rsidRPr="00684853">
              <w:rPr>
                <w:rFonts w:ascii="Times New Roman" w:hAnsi="Times New Roman"/>
                <w:color w:val="000000" w:themeColor="text1"/>
                <w:sz w:val="20"/>
                <w:szCs w:val="20"/>
                <w:lang w:val="ro-RO"/>
              </w:rPr>
              <w:t>un</w:t>
            </w:r>
            <w:r w:rsidRPr="00684853">
              <w:rPr>
                <w:rFonts w:ascii="Times New Roman" w:eastAsia="Calibri" w:hAnsi="Times New Roman"/>
                <w:color w:val="000000" w:themeColor="text1"/>
                <w:sz w:val="20"/>
                <w:szCs w:val="20"/>
                <w:lang w:val="ro-RO"/>
              </w:rPr>
              <w:t xml:space="preserve"> CPC care rezultă din contractele </w:t>
            </w:r>
            <w:r w:rsidRPr="00684853">
              <w:rPr>
                <w:rFonts w:ascii="Times New Roman" w:eastAsia="Calibri" w:hAnsi="Times New Roman"/>
                <w:color w:val="000000" w:themeColor="text1"/>
                <w:sz w:val="20"/>
                <w:szCs w:val="20"/>
                <w:lang w:val="ro-RO"/>
              </w:rPr>
              <w:lastRenderedPageBreak/>
              <w:t>și tranzacțiile enumerate la articolul 301 alineatul (1) literele (a)</w:t>
            </w:r>
            <w:r w:rsidR="001476B1" w:rsidRPr="00684853">
              <w:rPr>
                <w:rFonts w:ascii="Times New Roman" w:hAnsi="Times New Roman"/>
                <w:color w:val="000000" w:themeColor="text1"/>
                <w:sz w:val="20"/>
                <w:szCs w:val="20"/>
                <w:lang w:val="ro-RO"/>
              </w:rPr>
              <w:t>), (b) și (c</w:t>
            </w:r>
            <w:r w:rsidRPr="00684853">
              <w:rPr>
                <w:rFonts w:ascii="Times New Roman" w:eastAsia="Calibri" w:hAnsi="Times New Roman"/>
                <w:color w:val="000000" w:themeColor="text1"/>
                <w:sz w:val="20"/>
                <w:szCs w:val="20"/>
                <w:lang w:val="ro-RO"/>
              </w:rPr>
              <w:t>), precum și marja inițială;</w:t>
            </w:r>
          </w:p>
        </w:tc>
        <w:tc>
          <w:tcPr>
            <w:tcW w:w="1636" w:type="pct"/>
          </w:tcPr>
          <w:p w14:paraId="7A4F1036" w14:textId="77777777" w:rsidR="00395381" w:rsidRPr="00684853" w:rsidRDefault="00395381" w:rsidP="00E87F29">
            <w:pPr>
              <w:spacing w:after="0" w:line="276" w:lineRule="auto"/>
              <w:jc w:val="both"/>
              <w:rPr>
                <w:rFonts w:ascii="Times New Roman" w:hAnsi="Times New Roman" w:cs="Times New Roman"/>
                <w:b/>
                <w:color w:val="000000" w:themeColor="text1"/>
                <w:sz w:val="20"/>
                <w:szCs w:val="20"/>
                <w:lang w:val="ro-RO"/>
              </w:rPr>
            </w:pPr>
          </w:p>
        </w:tc>
        <w:tc>
          <w:tcPr>
            <w:tcW w:w="562" w:type="pct"/>
          </w:tcPr>
          <w:p w14:paraId="462DE6EC" w14:textId="485E2530" w:rsidR="00395381" w:rsidRPr="00684853" w:rsidRDefault="001476B1" w:rsidP="00E87F29">
            <w:pPr>
              <w:spacing w:after="120"/>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A00B696" w14:textId="0802956F" w:rsidR="00395381" w:rsidRPr="00684853" w:rsidRDefault="004729D2" w:rsidP="004729D2">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transpuse prin proiectul de actualizare a prevederilor aferente tratamentului riscului de credit al </w:t>
            </w:r>
            <w:proofErr w:type="spellStart"/>
            <w:r w:rsidRPr="00684853">
              <w:rPr>
                <w:rFonts w:ascii="Times New Roman" w:hAnsi="Times New Roman" w:cs="Times New Roman"/>
                <w:color w:val="000000" w:themeColor="text1"/>
                <w:sz w:val="20"/>
                <w:szCs w:val="20"/>
                <w:lang w:val="ro-RO"/>
              </w:rPr>
              <w:t>contrapărţii</w:t>
            </w:r>
            <w:proofErr w:type="spellEnd"/>
            <w:r w:rsidRPr="00684853">
              <w:rPr>
                <w:rFonts w:ascii="Times New Roman" w:hAnsi="Times New Roman" w:cs="Times New Roman"/>
                <w:color w:val="000000" w:themeColor="text1"/>
                <w:sz w:val="20"/>
                <w:szCs w:val="20"/>
                <w:lang w:val="ro-RO"/>
              </w:rPr>
              <w:t xml:space="preserve"> pentru bănci.</w:t>
            </w:r>
          </w:p>
          <w:p w14:paraId="386983F1" w14:textId="77777777" w:rsidR="00395381" w:rsidRPr="00684853" w:rsidRDefault="00395381" w:rsidP="00E87F29">
            <w:pPr>
              <w:spacing w:after="120"/>
              <w:rPr>
                <w:rFonts w:ascii="Times New Roman" w:hAnsi="Times New Roman" w:cs="Times New Roman"/>
                <w:color w:val="000000" w:themeColor="text1"/>
                <w:sz w:val="20"/>
                <w:szCs w:val="20"/>
                <w:lang w:val="ro-RO"/>
              </w:rPr>
            </w:pPr>
          </w:p>
        </w:tc>
      </w:tr>
      <w:tr w:rsidR="00EA59FA" w:rsidRPr="00684853" w14:paraId="02DA0E6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E308CCF"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92.</w:t>
            </w:r>
            <w:r w:rsidRPr="00684853">
              <w:rPr>
                <w:rFonts w:ascii="Times New Roman" w:hAnsi="Times New Roman"/>
                <w:color w:val="000000" w:themeColor="text1"/>
                <w:sz w:val="20"/>
                <w:szCs w:val="20"/>
                <w:lang w:val="ro-RO"/>
              </w:rPr>
              <w:t xml:space="preserve"> „piață reglementată” înseamnă o piață reglementată AEVMP astfel cum este definită la articolul 4 punctul 14 din Directiva 2004/39/CE;</w:t>
            </w:r>
          </w:p>
        </w:tc>
        <w:tc>
          <w:tcPr>
            <w:tcW w:w="1636" w:type="pct"/>
          </w:tcPr>
          <w:p w14:paraId="4796A4B6" w14:textId="1E132F13" w:rsidR="00395381" w:rsidRPr="00684853" w:rsidRDefault="00560B46" w:rsidP="00E87F29">
            <w:pPr>
              <w:spacing w:after="0"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10)</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reglementată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562" w:type="pct"/>
            <w:tcBorders>
              <w:top w:val="single" w:sz="4" w:space="0" w:color="auto"/>
              <w:left w:val="single" w:sz="4" w:space="0" w:color="auto"/>
              <w:bottom w:val="single" w:sz="4" w:space="0" w:color="auto"/>
              <w:right w:val="single" w:sz="4" w:space="0" w:color="auto"/>
            </w:tcBorders>
          </w:tcPr>
          <w:p w14:paraId="7939A6D7"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3C2864F"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48A75672" w14:textId="69548187" w:rsidR="00395381" w:rsidRPr="00684853" w:rsidRDefault="00395381" w:rsidP="00E87F29">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subp.10)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50266C8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02672784" w14:textId="3268A602" w:rsidR="00395381" w:rsidRPr="00684853" w:rsidRDefault="00395381" w:rsidP="0076387A">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93.</w:t>
            </w:r>
            <w:r w:rsidRPr="00684853">
              <w:rPr>
                <w:rFonts w:ascii="Times New Roman" w:hAnsi="Times New Roman" w:cs="Times New Roman"/>
                <w:color w:val="000000" w:themeColor="text1"/>
                <w:sz w:val="20"/>
                <w:szCs w:val="20"/>
                <w:lang w:val="ro-RO"/>
              </w:rPr>
              <w:t xml:space="preserve"> „efect de levier” înseamnă dimensiunea relativă a activelor unei instituții, a obligațiilor </w:t>
            </w:r>
            <w:proofErr w:type="spellStart"/>
            <w:r w:rsidRPr="00684853">
              <w:rPr>
                <w:rFonts w:ascii="Times New Roman" w:hAnsi="Times New Roman" w:cs="Times New Roman"/>
                <w:color w:val="000000" w:themeColor="text1"/>
                <w:sz w:val="20"/>
                <w:szCs w:val="20"/>
                <w:lang w:val="ro-RO"/>
              </w:rPr>
              <w:t>extrabilanțiere</w:t>
            </w:r>
            <w:proofErr w:type="spellEnd"/>
            <w:r w:rsidRPr="00684853">
              <w:rPr>
                <w:rFonts w:ascii="Times New Roman" w:hAnsi="Times New Roman" w:cs="Times New Roman"/>
                <w:color w:val="000000" w:themeColor="text1"/>
                <w:sz w:val="20"/>
                <w:szCs w:val="20"/>
                <w:lang w:val="ro-RO"/>
              </w:rPr>
              <w:t xml:space="preserve"> și obligațiilor contingente de a plăti, de a furniza o prestație sau de a oferi garanții reale, inclusiv obligațiile ce decurg din finanțări primite, angajamente asumate, instrumente financiare derivate sau acorduri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 cu excepția obligațiilor care pot fi executate numai în timpul lichidării unei instituții, în raport cu fondurile proprii ale instituției respective;</w:t>
            </w:r>
          </w:p>
        </w:tc>
        <w:tc>
          <w:tcPr>
            <w:tcW w:w="1636" w:type="pct"/>
          </w:tcPr>
          <w:p w14:paraId="4A6398DE" w14:textId="162E9C3F" w:rsidR="00395381" w:rsidRPr="00684853" w:rsidRDefault="00C06AD1" w:rsidP="00FD0BE1">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w:t>
            </w:r>
            <w:r w:rsidRPr="00684853">
              <w:rPr>
                <w:rFonts w:ascii="Times New Roman" w:hAnsi="Times New Roman" w:cs="Times New Roman"/>
                <w:b/>
                <w:bCs/>
                <w:color w:val="000000" w:themeColor="text1"/>
                <w:sz w:val="20"/>
                <w:szCs w:val="20"/>
                <w:lang w:val="ro-RO"/>
              </w:rPr>
              <w:t xml:space="preserve">efect de levier </w:t>
            </w:r>
            <w:r w:rsidRPr="00684853">
              <w:rPr>
                <w:rFonts w:ascii="Times New Roman" w:hAnsi="Times New Roman" w:cs="Times New Roman"/>
                <w:color w:val="000000" w:themeColor="text1"/>
                <w:sz w:val="20"/>
                <w:szCs w:val="20"/>
                <w:lang w:val="ro-RO"/>
              </w:rPr>
              <w:t xml:space="preserve">înseamnă mărimea relativă a activelor unei bănci, a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extrabilanţiere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contingente de a plăti sau de a furniza sau de a asigura </w:t>
            </w:r>
            <w:proofErr w:type="spellStart"/>
            <w:r w:rsidRPr="00684853">
              <w:rPr>
                <w:rFonts w:ascii="Times New Roman" w:hAnsi="Times New Roman" w:cs="Times New Roman"/>
                <w:color w:val="000000" w:themeColor="text1"/>
                <w:sz w:val="20"/>
                <w:szCs w:val="20"/>
                <w:lang w:val="ro-RO"/>
              </w:rPr>
              <w:t>garanţii</w:t>
            </w:r>
            <w:proofErr w:type="spellEnd"/>
            <w:r w:rsidRPr="00684853">
              <w:rPr>
                <w:rFonts w:ascii="Times New Roman" w:hAnsi="Times New Roman" w:cs="Times New Roman"/>
                <w:color w:val="000000" w:themeColor="text1"/>
                <w:sz w:val="20"/>
                <w:szCs w:val="20"/>
                <w:lang w:val="ro-RO"/>
              </w:rPr>
              <w:t xml:space="preserve"> reale, inclusiv </w:t>
            </w:r>
            <w:proofErr w:type="spellStart"/>
            <w:r w:rsidRPr="00684853">
              <w:rPr>
                <w:rFonts w:ascii="Times New Roman" w:hAnsi="Times New Roman" w:cs="Times New Roman"/>
                <w:color w:val="000000" w:themeColor="text1"/>
                <w:sz w:val="20"/>
                <w:szCs w:val="20"/>
                <w:lang w:val="ro-RO"/>
              </w:rPr>
              <w:t>obligaţiile</w:t>
            </w:r>
            <w:proofErr w:type="spellEnd"/>
            <w:r w:rsidRPr="00684853">
              <w:rPr>
                <w:rFonts w:ascii="Times New Roman" w:hAnsi="Times New Roman" w:cs="Times New Roman"/>
                <w:color w:val="000000" w:themeColor="text1"/>
                <w:sz w:val="20"/>
                <w:szCs w:val="20"/>
                <w:lang w:val="ro-RO"/>
              </w:rPr>
              <w:t xml:space="preserve"> ce decurg din </w:t>
            </w:r>
            <w:proofErr w:type="spellStart"/>
            <w:r w:rsidRPr="00684853">
              <w:rPr>
                <w:rFonts w:ascii="Times New Roman" w:hAnsi="Times New Roman" w:cs="Times New Roman"/>
                <w:color w:val="000000" w:themeColor="text1"/>
                <w:sz w:val="20"/>
                <w:szCs w:val="20"/>
                <w:lang w:val="ro-RO"/>
              </w:rPr>
              <w:t>finanţări</w:t>
            </w:r>
            <w:proofErr w:type="spellEnd"/>
            <w:r w:rsidRPr="00684853">
              <w:rPr>
                <w:rFonts w:ascii="Times New Roman" w:hAnsi="Times New Roman" w:cs="Times New Roman"/>
                <w:color w:val="000000" w:themeColor="text1"/>
                <w:sz w:val="20"/>
                <w:szCs w:val="20"/>
                <w:lang w:val="ro-RO"/>
              </w:rPr>
              <w:t xml:space="preserve"> primite, angajamente asumate, instrumente financiare derivate sau acorduri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 xml:space="preserve">, dar excluzând </w:t>
            </w:r>
            <w:proofErr w:type="spellStart"/>
            <w:r w:rsidRPr="00684853">
              <w:rPr>
                <w:rFonts w:ascii="Times New Roman" w:hAnsi="Times New Roman" w:cs="Times New Roman"/>
                <w:color w:val="000000" w:themeColor="text1"/>
                <w:sz w:val="20"/>
                <w:szCs w:val="20"/>
                <w:lang w:val="ro-RO"/>
              </w:rPr>
              <w:t>obligaţiile</w:t>
            </w:r>
            <w:proofErr w:type="spellEnd"/>
            <w:r w:rsidRPr="00684853">
              <w:rPr>
                <w:rFonts w:ascii="Times New Roman" w:hAnsi="Times New Roman" w:cs="Times New Roman"/>
                <w:color w:val="000000" w:themeColor="text1"/>
                <w:sz w:val="20"/>
                <w:szCs w:val="20"/>
                <w:lang w:val="ro-RO"/>
              </w:rPr>
              <w:t xml:space="preserve"> care pot fi executate numai în timpul lichidării unei bănci, comparate cu fondurile proprii ale băncii respective;</w:t>
            </w:r>
          </w:p>
        </w:tc>
        <w:tc>
          <w:tcPr>
            <w:tcW w:w="562" w:type="pct"/>
          </w:tcPr>
          <w:p w14:paraId="69EC6A09" w14:textId="73B56188" w:rsidR="00395381" w:rsidRPr="00684853" w:rsidRDefault="00395381" w:rsidP="00E87F29">
            <w:pPr>
              <w:spacing w:line="276"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Compatibil</w:t>
            </w:r>
          </w:p>
        </w:tc>
        <w:tc>
          <w:tcPr>
            <w:tcW w:w="885" w:type="pct"/>
          </w:tcPr>
          <w:p w14:paraId="2DACDB53" w14:textId="3A3BFDAA" w:rsidR="00395381" w:rsidRPr="00684853" w:rsidRDefault="00395381" w:rsidP="00E2348D">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Transpusă în p.5 subp.1) din</w:t>
            </w:r>
            <w:r w:rsidRPr="00684853">
              <w:rPr>
                <w:rFonts w:ascii="Times New Roman" w:hAnsi="Times New Roman" w:cs="Times New Roman"/>
                <w:b/>
                <w:color w:val="000000" w:themeColor="text1"/>
                <w:sz w:val="20"/>
                <w:szCs w:val="20"/>
                <w:lang w:val="ro-RO"/>
              </w:rPr>
              <w:t xml:space="preserve"> Regulamentul privind efectul de levier </w:t>
            </w:r>
            <w:proofErr w:type="spellStart"/>
            <w:r w:rsidRPr="00684853">
              <w:rPr>
                <w:rFonts w:ascii="Times New Roman" w:hAnsi="Times New Roman" w:cs="Times New Roman"/>
                <w:b/>
                <w:color w:val="000000" w:themeColor="text1"/>
                <w:sz w:val="20"/>
                <w:szCs w:val="20"/>
                <w:lang w:val="ro-RO"/>
              </w:rPr>
              <w:t>entru</w:t>
            </w:r>
            <w:proofErr w:type="spellEnd"/>
            <w:r w:rsidRPr="00684853">
              <w:rPr>
                <w:rFonts w:ascii="Times New Roman" w:hAnsi="Times New Roman" w:cs="Times New Roman"/>
                <w:b/>
                <w:color w:val="000000" w:themeColor="text1"/>
                <w:sz w:val="20"/>
                <w:szCs w:val="20"/>
                <w:lang w:val="ro-RO"/>
              </w:rPr>
              <w:t xml:space="preserve"> bănci, </w:t>
            </w:r>
            <w:r w:rsidRPr="00684853">
              <w:rPr>
                <w:rFonts w:ascii="Times New Roman" w:hAnsi="Times New Roman" w:cs="Times New Roman"/>
                <w:color w:val="000000" w:themeColor="text1"/>
                <w:sz w:val="20"/>
                <w:szCs w:val="20"/>
                <w:lang w:val="ro-RO"/>
              </w:rPr>
              <w:t>aprobat prin HCE al BNM nr.274/2020</w:t>
            </w:r>
            <w:r w:rsidRPr="00684853">
              <w:rPr>
                <w:rFonts w:ascii="Times New Roman" w:hAnsi="Times New Roman" w:cs="Times New Roman"/>
                <w:b/>
                <w:color w:val="000000" w:themeColor="text1"/>
                <w:sz w:val="20"/>
                <w:szCs w:val="20"/>
                <w:lang w:val="ro-RO"/>
              </w:rPr>
              <w:t>.</w:t>
            </w:r>
          </w:p>
        </w:tc>
      </w:tr>
      <w:tr w:rsidR="00EA59FA" w:rsidRPr="00684853" w14:paraId="30A0886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shd w:val="clear" w:color="auto" w:fill="auto"/>
          </w:tcPr>
          <w:p w14:paraId="6D1F7CBE" w14:textId="77777777" w:rsidR="00395381" w:rsidRPr="00684853" w:rsidRDefault="00395381" w:rsidP="00E87F29">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94.</w:t>
            </w:r>
            <w:r w:rsidRPr="00684853">
              <w:rPr>
                <w:rFonts w:ascii="Times New Roman" w:hAnsi="Times New Roman" w:cs="Times New Roman"/>
                <w:color w:val="000000" w:themeColor="text1"/>
                <w:sz w:val="20"/>
                <w:szCs w:val="20"/>
                <w:lang w:val="ro-RO"/>
              </w:rPr>
              <w:t xml:space="preserve"> „risc asociat folosirii excesive a efectului de levier” înseamnă riscul rezultat din vulnerabilitatea unei instituții față de un efect de levier sau un efect de levier contingent care poate necesita măsuri neplanificate de corectare a planului său de afaceri, inclusiv vânzarea de active în regim de urgență, ceea ce ar putea duce la pierderi sau la reevaluări ale activelor rămase;</w:t>
            </w:r>
          </w:p>
        </w:tc>
        <w:tc>
          <w:tcPr>
            <w:tcW w:w="1636" w:type="pct"/>
          </w:tcPr>
          <w:p w14:paraId="6C017A35" w14:textId="001B8CC3" w:rsidR="00395381" w:rsidRPr="00684853" w:rsidRDefault="00C06AD1" w:rsidP="00C06AD1">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risc asociat folosirii excesive a efectului de levier</w:t>
            </w:r>
            <w:r w:rsidRPr="00684853">
              <w:rPr>
                <w:rFonts w:ascii="Times New Roman" w:hAnsi="Times New Roman" w:cs="Times New Roman"/>
                <w:color w:val="000000" w:themeColor="text1"/>
                <w:sz w:val="20"/>
                <w:szCs w:val="20"/>
                <w:lang w:val="ro-RO"/>
              </w:rPr>
              <w:t xml:space="preserve"> - riscul rezultat din vulnerabilitatea unei bănci </w:t>
            </w:r>
            <w:proofErr w:type="spellStart"/>
            <w:r w:rsidRPr="00684853">
              <w:rPr>
                <w:rFonts w:ascii="Times New Roman" w:hAnsi="Times New Roman" w:cs="Times New Roman"/>
                <w:color w:val="000000" w:themeColor="text1"/>
                <w:sz w:val="20"/>
                <w:szCs w:val="20"/>
                <w:lang w:val="ro-RO"/>
              </w:rPr>
              <w:t>faţă</w:t>
            </w:r>
            <w:proofErr w:type="spellEnd"/>
            <w:r w:rsidRPr="00684853">
              <w:rPr>
                <w:rFonts w:ascii="Times New Roman" w:hAnsi="Times New Roman" w:cs="Times New Roman"/>
                <w:color w:val="000000" w:themeColor="text1"/>
                <w:sz w:val="20"/>
                <w:szCs w:val="20"/>
                <w:lang w:val="ro-RO"/>
              </w:rPr>
              <w:t xml:space="preserve"> de un efect de levier sau un efect de levier contingent care poate necesita măsuri neplanificate de corectare a planului său de afaceri, inclusiv vânzarea de active în regim de </w:t>
            </w:r>
            <w:proofErr w:type="spellStart"/>
            <w:r w:rsidRPr="00684853">
              <w:rPr>
                <w:rFonts w:ascii="Times New Roman" w:hAnsi="Times New Roman" w:cs="Times New Roman"/>
                <w:color w:val="000000" w:themeColor="text1"/>
                <w:sz w:val="20"/>
                <w:szCs w:val="20"/>
                <w:lang w:val="ro-RO"/>
              </w:rPr>
              <w:t>urgenţă</w:t>
            </w:r>
            <w:proofErr w:type="spellEnd"/>
            <w:r w:rsidRPr="00684853">
              <w:rPr>
                <w:rFonts w:ascii="Times New Roman" w:hAnsi="Times New Roman" w:cs="Times New Roman"/>
                <w:color w:val="000000" w:themeColor="text1"/>
                <w:sz w:val="20"/>
                <w:szCs w:val="20"/>
                <w:lang w:val="ro-RO"/>
              </w:rPr>
              <w:t>, ceea ce ar putea duce la pierderi sau la reevaluări ale activelor rămase;</w:t>
            </w:r>
          </w:p>
        </w:tc>
        <w:tc>
          <w:tcPr>
            <w:tcW w:w="562" w:type="pct"/>
          </w:tcPr>
          <w:p w14:paraId="0FBA46C2" w14:textId="75C34619" w:rsidR="00395381" w:rsidRPr="00684853" w:rsidRDefault="00395381" w:rsidP="00E87F29">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78392B8F" w14:textId="5EC58EEF" w:rsidR="00395381" w:rsidRPr="00684853" w:rsidRDefault="00C06AD1" w:rsidP="00AF5939">
            <w:pPr>
              <w:spacing w:line="276" w:lineRule="auto"/>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Transpusă </w:t>
            </w:r>
            <w:r w:rsidR="00395381" w:rsidRPr="00684853">
              <w:rPr>
                <w:rFonts w:ascii="Times New Roman" w:hAnsi="Times New Roman" w:cs="Times New Roman"/>
                <w:color w:val="000000" w:themeColor="text1"/>
                <w:sz w:val="20"/>
                <w:szCs w:val="20"/>
                <w:lang w:val="ro-RO"/>
              </w:rPr>
              <w:t>în</w:t>
            </w:r>
            <w:r w:rsidRPr="00684853">
              <w:rPr>
                <w:rFonts w:ascii="Times New Roman" w:hAnsi="Times New Roman" w:cs="Times New Roman"/>
                <w:color w:val="000000" w:themeColor="text1"/>
                <w:sz w:val="20"/>
                <w:szCs w:val="20"/>
                <w:lang w:val="ro-RO"/>
              </w:rPr>
              <w:t xml:space="preserve"> p.4 din</w:t>
            </w:r>
            <w:r w:rsidR="00395381" w:rsidRPr="00684853">
              <w:rPr>
                <w:rFonts w:ascii="Times New Roman" w:hAnsi="Times New Roman" w:cs="Times New Roman"/>
                <w:color w:val="000000" w:themeColor="text1"/>
                <w:sz w:val="20"/>
                <w:szCs w:val="20"/>
                <w:lang w:val="ro-RO"/>
              </w:rPr>
              <w:t xml:space="preserve"> </w:t>
            </w:r>
            <w:r w:rsidR="00395381" w:rsidRPr="00684853">
              <w:rPr>
                <w:rFonts w:ascii="Times New Roman" w:hAnsi="Times New Roman" w:cs="Times New Roman"/>
                <w:b/>
                <w:color w:val="000000" w:themeColor="text1"/>
                <w:sz w:val="20"/>
                <w:szCs w:val="20"/>
                <w:lang w:val="ro-RO"/>
              </w:rPr>
              <w:t xml:space="preserve">Regulamentul nr.322/2018 privind cadrul de administrare a </w:t>
            </w:r>
            <w:proofErr w:type="spellStart"/>
            <w:r w:rsidR="00395381" w:rsidRPr="00684853">
              <w:rPr>
                <w:rFonts w:ascii="Times New Roman" w:hAnsi="Times New Roman" w:cs="Times New Roman"/>
                <w:b/>
                <w:color w:val="000000" w:themeColor="text1"/>
                <w:sz w:val="20"/>
                <w:szCs w:val="20"/>
                <w:lang w:val="ro-RO"/>
              </w:rPr>
              <w:t>activităţii</w:t>
            </w:r>
            <w:proofErr w:type="spellEnd"/>
            <w:r w:rsidR="00395381" w:rsidRPr="00684853">
              <w:rPr>
                <w:rFonts w:ascii="Times New Roman" w:hAnsi="Times New Roman" w:cs="Times New Roman"/>
                <w:b/>
                <w:color w:val="000000" w:themeColor="text1"/>
                <w:sz w:val="20"/>
                <w:szCs w:val="20"/>
                <w:lang w:val="ro-RO"/>
              </w:rPr>
              <w:t xml:space="preserve"> băncilor</w:t>
            </w:r>
          </w:p>
        </w:tc>
      </w:tr>
      <w:tr w:rsidR="00EA59FA" w:rsidRPr="00684853" w14:paraId="478D10D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99D7F5C" w14:textId="77777777" w:rsidR="00395381" w:rsidRPr="00684853" w:rsidRDefault="00395381" w:rsidP="00E87F29">
            <w:pPr>
              <w:pStyle w:val="CM4"/>
              <w:spacing w:after="120"/>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95.</w:t>
            </w:r>
            <w:r w:rsidRPr="00684853">
              <w:rPr>
                <w:rFonts w:ascii="Times New Roman" w:eastAsia="Arial Unicode MS" w:hAnsi="Times New Roman"/>
                <w:color w:val="000000" w:themeColor="text1"/>
                <w:sz w:val="20"/>
                <w:szCs w:val="20"/>
                <w:lang w:val="ro-RO"/>
              </w:rPr>
              <w:t xml:space="preserve"> „ajustarea pentru riscul de credit” înseamnă cuantumul provizioanelor specifice și generale pentru pierderile din împrumuturi asociate cu riscurile de credit care a fost recunoscută în situațiile financiare ale instituției conform cadrului contabil aplicabil;</w:t>
            </w:r>
          </w:p>
        </w:tc>
        <w:tc>
          <w:tcPr>
            <w:tcW w:w="1636" w:type="pct"/>
          </w:tcPr>
          <w:p w14:paraId="28D0EFB7" w14:textId="77777777" w:rsidR="00395381" w:rsidRPr="00684853" w:rsidRDefault="00395381" w:rsidP="00E87F29">
            <w:pPr>
              <w:spacing w:line="276" w:lineRule="auto"/>
              <w:rPr>
                <w:rFonts w:ascii="Times New Roman" w:hAnsi="Times New Roman" w:cs="Times New Roman"/>
                <w:b/>
                <w:iCs/>
                <w:color w:val="000000" w:themeColor="text1"/>
                <w:sz w:val="20"/>
                <w:szCs w:val="20"/>
                <w:lang w:val="ro-RO"/>
              </w:rPr>
            </w:pPr>
            <w:r w:rsidRPr="00684853">
              <w:rPr>
                <w:rFonts w:ascii="Times New Roman" w:hAnsi="Times New Roman" w:cs="Times New Roman"/>
                <w:b/>
                <w:iCs/>
                <w:color w:val="000000" w:themeColor="text1"/>
                <w:sz w:val="20"/>
                <w:szCs w:val="20"/>
                <w:lang w:val="ro-RO"/>
              </w:rPr>
              <w:t>Capitolul I. Prevederi generale</w:t>
            </w:r>
          </w:p>
          <w:p w14:paraId="35379172" w14:textId="77777777" w:rsidR="00395381" w:rsidRPr="00684853" w:rsidRDefault="00395381" w:rsidP="00B07610">
            <w:pPr>
              <w:pStyle w:val="ListParagraph"/>
              <w:numPr>
                <w:ilvl w:val="2"/>
                <w:numId w:val="23"/>
              </w:numPr>
              <w:tabs>
                <w:tab w:val="left" w:pos="251"/>
              </w:tabs>
              <w:spacing w:after="0" w:line="240" w:lineRule="auto"/>
              <w:ind w:left="0" w:firstLine="0"/>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ajustările pentru riscul de credit</w:t>
            </w:r>
            <w:r w:rsidRPr="00684853">
              <w:rPr>
                <w:rFonts w:ascii="Times New Roman" w:hAnsi="Times New Roman" w:cs="Times New Roman"/>
                <w:color w:val="000000" w:themeColor="text1"/>
                <w:sz w:val="20"/>
                <w:szCs w:val="20"/>
                <w:lang w:val="ro-RO"/>
              </w:rPr>
              <w:t xml:space="preserve"> - cuantumul provizioanelor specifice și generale pentru pierderile din credite asociate cu riscurile de credit care au fost </w:t>
            </w:r>
            <w:r w:rsidRPr="00684853">
              <w:rPr>
                <w:rFonts w:ascii="Times New Roman" w:hAnsi="Times New Roman" w:cs="Times New Roman"/>
                <w:color w:val="000000" w:themeColor="text1"/>
                <w:sz w:val="20"/>
                <w:szCs w:val="20"/>
                <w:lang w:val="ro-RO"/>
              </w:rPr>
              <w:lastRenderedPageBreak/>
              <w:t>recunoscute în situațiile financiare ale băncii conform cadrului contabil aplicabil.</w:t>
            </w:r>
          </w:p>
          <w:p w14:paraId="4A2B98C7" w14:textId="0C9AC700" w:rsidR="00395381" w:rsidRPr="00684853" w:rsidRDefault="00395381" w:rsidP="00E87F29">
            <w:pPr>
              <w:spacing w:line="276" w:lineRule="auto"/>
              <w:rPr>
                <w:rFonts w:ascii="Times New Roman" w:hAnsi="Times New Roman" w:cs="Times New Roman"/>
                <w:color w:val="000000" w:themeColor="text1"/>
                <w:sz w:val="20"/>
                <w:szCs w:val="20"/>
                <w:lang w:val="ro-RO"/>
              </w:rPr>
            </w:pPr>
          </w:p>
        </w:tc>
        <w:tc>
          <w:tcPr>
            <w:tcW w:w="562" w:type="pct"/>
          </w:tcPr>
          <w:p w14:paraId="0590F884"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885" w:type="pct"/>
          </w:tcPr>
          <w:p w14:paraId="259A9AD9" w14:textId="53EE65A6" w:rsidR="00395381" w:rsidRPr="00684853" w:rsidRDefault="00395381" w:rsidP="00BC3CB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iCs/>
                <w:color w:val="000000" w:themeColor="text1"/>
                <w:sz w:val="20"/>
                <w:szCs w:val="20"/>
                <w:lang w:val="ro-RO"/>
              </w:rPr>
              <w:t>Regulamentul cu privire la calcul de către bănci al ajustărilor specifice și al ajustărilor generale pentru riscul de credit,</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lastRenderedPageBreak/>
              <w:t>aprobat prin HCE al BNM nr.116/2018.</w:t>
            </w:r>
          </w:p>
        </w:tc>
      </w:tr>
      <w:tr w:rsidR="00EA59FA" w:rsidRPr="00684853" w14:paraId="5B47524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20814F4E" w14:textId="77777777" w:rsidR="00FD6BC2" w:rsidRPr="00684853" w:rsidRDefault="00FD6BC2"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▼M8</w:t>
            </w:r>
          </w:p>
          <w:p w14:paraId="09CB3709" w14:textId="70DF2379" w:rsidR="00395381" w:rsidRPr="00684853" w:rsidRDefault="00395381" w:rsidP="00FD6BC2">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96.</w:t>
            </w:r>
            <w:r w:rsidRPr="00684853">
              <w:rPr>
                <w:rFonts w:ascii="Times New Roman" w:hAnsi="Times New Roman"/>
                <w:color w:val="000000" w:themeColor="text1"/>
                <w:sz w:val="20"/>
                <w:szCs w:val="20"/>
                <w:lang w:val="ro-RO"/>
              </w:rPr>
              <w:t xml:space="preserve"> „acoperire internă” înseamnă o poziție care compensează în mod semnificativ elementele de risc componente între o poziție din portofoliul de tranzacționare și </w:t>
            </w:r>
            <w:r w:rsidR="00FD6BC2" w:rsidRPr="00684853">
              <w:rPr>
                <w:rFonts w:ascii="Times New Roman" w:hAnsi="Times New Roman"/>
                <w:color w:val="000000" w:themeColor="text1"/>
                <w:sz w:val="20"/>
                <w:szCs w:val="20"/>
                <w:lang w:val="ro-RO"/>
              </w:rPr>
              <w:t>una</w:t>
            </w:r>
            <w:r w:rsidRPr="00684853">
              <w:rPr>
                <w:rFonts w:ascii="Times New Roman" w:hAnsi="Times New Roman"/>
                <w:color w:val="000000" w:themeColor="text1"/>
                <w:sz w:val="20"/>
                <w:szCs w:val="20"/>
                <w:lang w:val="ro-RO"/>
              </w:rPr>
              <w:t xml:space="preserve"> sau </w:t>
            </w:r>
            <w:r w:rsidR="00FD6BC2" w:rsidRPr="00684853">
              <w:rPr>
                <w:rFonts w:ascii="Times New Roman" w:hAnsi="Times New Roman"/>
                <w:color w:val="000000" w:themeColor="text1"/>
                <w:sz w:val="20"/>
                <w:szCs w:val="20"/>
                <w:lang w:val="ro-RO"/>
              </w:rPr>
              <w:t>mai multe</w:t>
            </w:r>
            <w:r w:rsidRPr="00684853">
              <w:rPr>
                <w:rFonts w:ascii="Times New Roman" w:hAnsi="Times New Roman"/>
                <w:color w:val="000000" w:themeColor="text1"/>
                <w:sz w:val="20"/>
                <w:szCs w:val="20"/>
                <w:lang w:val="ro-RO"/>
              </w:rPr>
              <w:t xml:space="preserve"> poziții din afara portofoliului </w:t>
            </w:r>
            <w:r w:rsidR="00FD6BC2" w:rsidRPr="00684853">
              <w:rPr>
                <w:rFonts w:ascii="Times New Roman" w:hAnsi="Times New Roman"/>
                <w:color w:val="000000" w:themeColor="text1"/>
                <w:sz w:val="20"/>
                <w:szCs w:val="20"/>
                <w:lang w:val="ro-RO"/>
              </w:rPr>
              <w:t xml:space="preserve">de </w:t>
            </w:r>
            <w:proofErr w:type="spellStart"/>
            <w:r w:rsidR="00FD6BC2" w:rsidRPr="00684853">
              <w:rPr>
                <w:rFonts w:ascii="Times New Roman" w:hAnsi="Times New Roman"/>
                <w:color w:val="000000" w:themeColor="text1"/>
                <w:sz w:val="20"/>
                <w:szCs w:val="20"/>
                <w:lang w:val="ro-RO"/>
              </w:rPr>
              <w:t>tranzacţionare</w:t>
            </w:r>
            <w:proofErr w:type="spellEnd"/>
            <w:r w:rsidR="00FD6BC2" w:rsidRPr="00684853">
              <w:rPr>
                <w:rFonts w:ascii="Times New Roman" w:hAnsi="Times New Roman"/>
                <w:color w:val="000000" w:themeColor="text1"/>
                <w:sz w:val="20"/>
                <w:szCs w:val="20"/>
                <w:lang w:val="ro-RO"/>
              </w:rPr>
              <w:t xml:space="preserve"> sau între două birouri </w:t>
            </w:r>
            <w:r w:rsidRPr="00684853">
              <w:rPr>
                <w:rFonts w:ascii="Times New Roman" w:hAnsi="Times New Roman"/>
                <w:color w:val="000000" w:themeColor="text1"/>
                <w:sz w:val="20"/>
                <w:szCs w:val="20"/>
                <w:lang w:val="ro-RO"/>
              </w:rPr>
              <w:t>de tranzacționare;</w:t>
            </w:r>
          </w:p>
        </w:tc>
        <w:tc>
          <w:tcPr>
            <w:tcW w:w="1636" w:type="pct"/>
          </w:tcPr>
          <w:p w14:paraId="540B1994" w14:textId="58CE4E38" w:rsidR="00395381" w:rsidRPr="00684853" w:rsidRDefault="00DB20F4" w:rsidP="00B4326D">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w:t>
            </w:r>
            <w:r w:rsidRPr="00684853">
              <w:rPr>
                <w:rFonts w:ascii="Times New Roman" w:hAnsi="Times New Roman" w:cs="Times New Roman"/>
                <w:b/>
                <w:bCs/>
                <w:color w:val="000000" w:themeColor="text1"/>
                <w:sz w:val="20"/>
                <w:szCs w:val="20"/>
                <w:lang w:val="ro-RO"/>
              </w:rPr>
              <w:t>acoperire internă (</w:t>
            </w:r>
            <w:proofErr w:type="spellStart"/>
            <w:r w:rsidRPr="00684853">
              <w:rPr>
                <w:rFonts w:ascii="Times New Roman" w:hAnsi="Times New Roman" w:cs="Times New Roman"/>
                <w:b/>
                <w:bCs/>
                <w:color w:val="000000" w:themeColor="text1"/>
                <w:sz w:val="20"/>
                <w:szCs w:val="20"/>
                <w:lang w:val="ro-RO"/>
              </w:rPr>
              <w:t>hedging</w:t>
            </w:r>
            <w:proofErr w:type="spellEnd"/>
            <w:r w:rsidRPr="00684853">
              <w:rPr>
                <w:rFonts w:ascii="Times New Roman" w:hAnsi="Times New Roman" w:cs="Times New Roman"/>
                <w:b/>
                <w:bCs/>
                <w:color w:val="000000" w:themeColor="text1"/>
                <w:sz w:val="20"/>
                <w:szCs w:val="20"/>
                <w:lang w:val="ro-RO"/>
              </w:rPr>
              <w:t>)</w:t>
            </w:r>
            <w:r w:rsidRPr="00684853">
              <w:rPr>
                <w:rFonts w:ascii="Times New Roman" w:hAnsi="Times New Roman" w:cs="Times New Roman"/>
                <w:color w:val="000000" w:themeColor="text1"/>
                <w:sz w:val="20"/>
                <w:szCs w:val="20"/>
                <w:lang w:val="ro-RO"/>
              </w:rPr>
              <w:t xml:space="preserve"> – reprezintă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care compensează în mod semnificativ elementele de risc componente între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sau seturi de </w:t>
            </w:r>
            <w:proofErr w:type="spellStart"/>
            <w:r w:rsidRPr="00684853">
              <w:rPr>
                <w:rFonts w:ascii="Times New Roman" w:hAnsi="Times New Roman" w:cs="Times New Roman"/>
                <w:color w:val="000000" w:themeColor="text1"/>
                <w:sz w:val="20"/>
                <w:szCs w:val="20"/>
                <w:lang w:val="ro-RO"/>
              </w:rPr>
              <w:t>poziţii</w:t>
            </w:r>
            <w:proofErr w:type="spellEnd"/>
            <w:r w:rsidRPr="00684853">
              <w:rPr>
                <w:rFonts w:ascii="Times New Roman" w:hAnsi="Times New Roman" w:cs="Times New Roman"/>
                <w:color w:val="000000" w:themeColor="text1"/>
                <w:sz w:val="20"/>
                <w:szCs w:val="20"/>
                <w:lang w:val="ro-RO"/>
              </w:rPr>
              <w:t xml:space="preserve"> din portofoliul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sau seturi de </w:t>
            </w:r>
            <w:proofErr w:type="spellStart"/>
            <w:r w:rsidRPr="00684853">
              <w:rPr>
                <w:rFonts w:ascii="Times New Roman" w:hAnsi="Times New Roman" w:cs="Times New Roman"/>
                <w:color w:val="000000" w:themeColor="text1"/>
                <w:sz w:val="20"/>
                <w:szCs w:val="20"/>
                <w:lang w:val="ro-RO"/>
              </w:rPr>
              <w:t>poziţii</w:t>
            </w:r>
            <w:proofErr w:type="spellEnd"/>
            <w:r w:rsidRPr="00684853">
              <w:rPr>
                <w:rFonts w:ascii="Times New Roman" w:hAnsi="Times New Roman" w:cs="Times New Roman"/>
                <w:color w:val="000000" w:themeColor="text1"/>
                <w:sz w:val="20"/>
                <w:szCs w:val="20"/>
                <w:lang w:val="ro-RO"/>
              </w:rPr>
              <w:t xml:space="preserve"> din afara portofoliului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w:t>
            </w:r>
          </w:p>
        </w:tc>
        <w:tc>
          <w:tcPr>
            <w:tcW w:w="562" w:type="pct"/>
            <w:tcBorders>
              <w:top w:val="single" w:sz="4" w:space="0" w:color="auto"/>
              <w:left w:val="single" w:sz="4" w:space="0" w:color="auto"/>
              <w:bottom w:val="single" w:sz="4" w:space="0" w:color="auto"/>
              <w:right w:val="single" w:sz="4" w:space="0" w:color="auto"/>
            </w:tcBorders>
          </w:tcPr>
          <w:p w14:paraId="48E11D47"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F2D16D0"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7FD12A96" w14:textId="543DCF4F" w:rsidR="00395381" w:rsidRPr="00684853" w:rsidRDefault="00395381" w:rsidP="00E87F29">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subp.1)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7E42E5A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5A2D8F11" w14:textId="759536ED" w:rsidR="00395381" w:rsidRPr="00684853" w:rsidRDefault="00395381" w:rsidP="0076387A">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97.</w:t>
            </w:r>
            <w:r w:rsidRPr="00684853">
              <w:rPr>
                <w:rFonts w:ascii="Times New Roman" w:hAnsi="Times New Roman"/>
                <w:color w:val="000000" w:themeColor="text1"/>
                <w:sz w:val="20"/>
                <w:szCs w:val="20"/>
                <w:lang w:val="ro-RO"/>
              </w:rPr>
              <w:t xml:space="preserve"> „obligație de referință” înseamnă o obligație folosită în vederea stabilirii valorii de decontare în numerar a unui instrument financiar derivat de credit;</w:t>
            </w:r>
          </w:p>
        </w:tc>
        <w:tc>
          <w:tcPr>
            <w:tcW w:w="1636" w:type="pct"/>
          </w:tcPr>
          <w:p w14:paraId="20D66E5F" w14:textId="4004CA51" w:rsidR="00395381" w:rsidRPr="00684853" w:rsidRDefault="00313609" w:rsidP="00E87F29">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9) </w:t>
            </w:r>
            <w:proofErr w:type="spellStart"/>
            <w:r w:rsidRPr="00684853">
              <w:rPr>
                <w:rFonts w:ascii="Times New Roman" w:hAnsi="Times New Roman" w:cs="Times New Roman"/>
                <w:b/>
                <w:bCs/>
                <w:color w:val="000000" w:themeColor="text1"/>
                <w:sz w:val="20"/>
                <w:szCs w:val="20"/>
                <w:lang w:val="ro-RO"/>
              </w:rPr>
              <w:t>obligaţie</w:t>
            </w:r>
            <w:proofErr w:type="spellEnd"/>
            <w:r w:rsidRPr="00684853">
              <w:rPr>
                <w:rFonts w:ascii="Times New Roman" w:hAnsi="Times New Roman" w:cs="Times New Roman"/>
                <w:b/>
                <w:bCs/>
                <w:color w:val="000000" w:themeColor="text1"/>
                <w:sz w:val="20"/>
                <w:szCs w:val="20"/>
                <w:lang w:val="ro-RO"/>
              </w:rPr>
              <w:t xml:space="preserve"> de </w:t>
            </w:r>
            <w:proofErr w:type="spellStart"/>
            <w:r w:rsidRPr="00684853">
              <w:rPr>
                <w:rFonts w:ascii="Times New Roman" w:hAnsi="Times New Roman" w:cs="Times New Roman"/>
                <w:b/>
                <w:bCs/>
                <w:color w:val="000000" w:themeColor="text1"/>
                <w:sz w:val="20"/>
                <w:szCs w:val="20"/>
                <w:lang w:val="ro-RO"/>
              </w:rPr>
              <w:t>referinţă</w:t>
            </w:r>
            <w:proofErr w:type="spellEnd"/>
            <w:r w:rsidRPr="00684853">
              <w:rPr>
                <w:rFonts w:ascii="Times New Roman" w:hAnsi="Times New Roman" w:cs="Times New Roman"/>
                <w:color w:val="000000" w:themeColor="text1"/>
                <w:sz w:val="20"/>
                <w:szCs w:val="20"/>
                <w:lang w:val="ro-RO"/>
              </w:rPr>
              <w:t xml:space="preserve"> – reprezintă o </w:t>
            </w:r>
            <w:proofErr w:type="spellStart"/>
            <w:r w:rsidRPr="00684853">
              <w:rPr>
                <w:rFonts w:ascii="Times New Roman" w:hAnsi="Times New Roman" w:cs="Times New Roman"/>
                <w:color w:val="000000" w:themeColor="text1"/>
                <w:sz w:val="20"/>
                <w:szCs w:val="20"/>
                <w:lang w:val="ro-RO"/>
              </w:rPr>
              <w:t>obligaţie</w:t>
            </w:r>
            <w:proofErr w:type="spellEnd"/>
            <w:r w:rsidRPr="00684853">
              <w:rPr>
                <w:rFonts w:ascii="Times New Roman" w:hAnsi="Times New Roman" w:cs="Times New Roman"/>
                <w:color w:val="000000" w:themeColor="text1"/>
                <w:sz w:val="20"/>
                <w:szCs w:val="20"/>
                <w:lang w:val="ro-RO"/>
              </w:rPr>
              <w:t xml:space="preserve"> folosită în vederea stabilirii valorii de decontare în numerar a unui instrument financiar derivat de credit;</w:t>
            </w:r>
          </w:p>
        </w:tc>
        <w:tc>
          <w:tcPr>
            <w:tcW w:w="562" w:type="pct"/>
            <w:tcBorders>
              <w:top w:val="single" w:sz="4" w:space="0" w:color="auto"/>
              <w:left w:val="single" w:sz="4" w:space="0" w:color="auto"/>
              <w:bottom w:val="single" w:sz="4" w:space="0" w:color="auto"/>
              <w:right w:val="single" w:sz="4" w:space="0" w:color="auto"/>
            </w:tcBorders>
          </w:tcPr>
          <w:p w14:paraId="5D54FB44"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03847DB"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2A296278" w14:textId="569F1F44" w:rsidR="00395381" w:rsidRPr="00684853" w:rsidRDefault="00395381" w:rsidP="00E87F29">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Transpusă în p.8 subp.9) din</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07A3E3D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77139D1" w14:textId="78692059" w:rsidR="00395381" w:rsidRPr="00684853" w:rsidRDefault="00395381" w:rsidP="0076387A">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98.</w:t>
            </w:r>
            <w:r w:rsidRPr="00684853">
              <w:rPr>
                <w:rFonts w:ascii="Times New Roman" w:eastAsia="Arial Unicode MS" w:hAnsi="Times New Roman"/>
                <w:color w:val="000000" w:themeColor="text1"/>
                <w:sz w:val="20"/>
                <w:szCs w:val="20"/>
                <w:lang w:val="ro-RO"/>
              </w:rPr>
              <w:t xml:space="preserve"> „instituție externă de evaluare a creditului” sau „ECAI” înseamnă o agenție de rating de credit care este înregistrată sau certificată în conformitate cu Regulamentul (CE) nr. 1060/2009 al Parlamentului European și al Consiliului din 16 septembrie 2009 privind agențiile de rating de credit ( 25 ) sau o bancă centrală care acordă ratinguri de credit exceptate de la aplicarea dispozițiilor Regulamentului (CE) nr. 1060/2009;</w:t>
            </w:r>
          </w:p>
        </w:tc>
        <w:tc>
          <w:tcPr>
            <w:tcW w:w="1636" w:type="pct"/>
          </w:tcPr>
          <w:p w14:paraId="309F7C95" w14:textId="77777777" w:rsidR="00313609" w:rsidRPr="00684853" w:rsidRDefault="00313609" w:rsidP="00313609">
            <w:pPr>
              <w:spacing w:after="0"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societate de evaluare externă a creditului (ECAI)</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i/>
                <w:iCs/>
                <w:color w:val="000000" w:themeColor="text1"/>
                <w:sz w:val="20"/>
                <w:szCs w:val="20"/>
                <w:lang w:val="ro-RO"/>
              </w:rPr>
              <w:t>external</w:t>
            </w:r>
            <w:proofErr w:type="spellEnd"/>
            <w:r w:rsidRPr="00684853">
              <w:rPr>
                <w:rFonts w:ascii="Times New Roman" w:hAnsi="Times New Roman" w:cs="Times New Roman"/>
                <w:i/>
                <w:iCs/>
                <w:color w:val="000000" w:themeColor="text1"/>
                <w:sz w:val="20"/>
                <w:szCs w:val="20"/>
                <w:lang w:val="ro-RO"/>
              </w:rPr>
              <w:t xml:space="preserve"> credit </w:t>
            </w:r>
            <w:proofErr w:type="spellStart"/>
            <w:r w:rsidRPr="00684853">
              <w:rPr>
                <w:rFonts w:ascii="Times New Roman" w:hAnsi="Times New Roman" w:cs="Times New Roman"/>
                <w:i/>
                <w:iCs/>
                <w:color w:val="000000" w:themeColor="text1"/>
                <w:sz w:val="20"/>
                <w:szCs w:val="20"/>
                <w:lang w:val="ro-RO"/>
              </w:rPr>
              <w:t>assessment</w:t>
            </w:r>
            <w:proofErr w:type="spellEnd"/>
            <w:r w:rsidRPr="00684853">
              <w:rPr>
                <w:rFonts w:ascii="Times New Roman" w:hAnsi="Times New Roman" w:cs="Times New Roman"/>
                <w:i/>
                <w:iCs/>
                <w:color w:val="000000" w:themeColor="text1"/>
                <w:sz w:val="20"/>
                <w:szCs w:val="20"/>
                <w:lang w:val="ro-RO"/>
              </w:rPr>
              <w:t xml:space="preserve"> </w:t>
            </w:r>
            <w:proofErr w:type="spellStart"/>
            <w:r w:rsidRPr="00684853">
              <w:rPr>
                <w:rFonts w:ascii="Times New Roman" w:hAnsi="Times New Roman" w:cs="Times New Roman"/>
                <w:i/>
                <w:iCs/>
                <w:color w:val="000000" w:themeColor="text1"/>
                <w:sz w:val="20"/>
                <w:szCs w:val="20"/>
                <w:lang w:val="ro-RO"/>
              </w:rPr>
              <w:t>institution</w:t>
            </w:r>
            <w:proofErr w:type="spellEnd"/>
            <w:r w:rsidRPr="00684853">
              <w:rPr>
                <w:rFonts w:ascii="Times New Roman" w:hAnsi="Times New Roman" w:cs="Times New Roman"/>
                <w:color w:val="000000" w:themeColor="text1"/>
                <w:sz w:val="20"/>
                <w:szCs w:val="20"/>
                <w:lang w:val="ro-RO"/>
              </w:rPr>
              <w:t>:</w:t>
            </w:r>
          </w:p>
          <w:p w14:paraId="717B3791" w14:textId="77777777" w:rsidR="00313609" w:rsidRPr="00684853" w:rsidRDefault="00313609" w:rsidP="00313609">
            <w:pPr>
              <w:spacing w:after="0"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 O persoană juridică a cărei activitate include acordarea, cu titlu profesional, de evaluări (ratinguri) de credit (</w:t>
            </w:r>
            <w:proofErr w:type="spellStart"/>
            <w:r w:rsidRPr="00684853">
              <w:rPr>
                <w:rFonts w:ascii="Times New Roman" w:hAnsi="Times New Roman" w:cs="Times New Roman"/>
                <w:color w:val="000000" w:themeColor="text1"/>
                <w:sz w:val="20"/>
                <w:szCs w:val="20"/>
                <w:lang w:val="ro-RO"/>
              </w:rPr>
              <w:t>agenţia</w:t>
            </w:r>
            <w:proofErr w:type="spellEnd"/>
            <w:r w:rsidRPr="00684853">
              <w:rPr>
                <w:rFonts w:ascii="Times New Roman" w:hAnsi="Times New Roman" w:cs="Times New Roman"/>
                <w:color w:val="000000" w:themeColor="text1"/>
                <w:sz w:val="20"/>
                <w:szCs w:val="20"/>
                <w:lang w:val="ro-RO"/>
              </w:rPr>
              <w:t xml:space="preserve"> de rating de credit) care este înregistrată sau certificată conform </w:t>
            </w:r>
            <w:proofErr w:type="spellStart"/>
            <w:r w:rsidRPr="00684853">
              <w:rPr>
                <w:rFonts w:ascii="Times New Roman" w:hAnsi="Times New Roman" w:cs="Times New Roman"/>
                <w:color w:val="000000" w:themeColor="text1"/>
                <w:sz w:val="20"/>
                <w:szCs w:val="20"/>
                <w:lang w:val="ro-RO"/>
              </w:rPr>
              <w:t>legislaţiei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naţionale</w:t>
            </w:r>
            <w:proofErr w:type="spellEnd"/>
            <w:r w:rsidRPr="00684853">
              <w:rPr>
                <w:rFonts w:ascii="Times New Roman" w:hAnsi="Times New Roman" w:cs="Times New Roman"/>
                <w:color w:val="000000" w:themeColor="text1"/>
                <w:sz w:val="20"/>
                <w:szCs w:val="20"/>
                <w:lang w:val="ro-RO"/>
              </w:rPr>
              <w:t xml:space="preserve"> a statului străin respectiv sau</w:t>
            </w:r>
          </w:p>
          <w:p w14:paraId="7DC3F464" w14:textId="1F0FB4E8" w:rsidR="00395381" w:rsidRPr="00684853" w:rsidRDefault="00313609" w:rsidP="00313609">
            <w:pPr>
              <w:spacing w:after="0"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O bancă centrală din statul străin care, în temeiul </w:t>
            </w:r>
            <w:proofErr w:type="spellStart"/>
            <w:r w:rsidRPr="00684853">
              <w:rPr>
                <w:rFonts w:ascii="Times New Roman" w:hAnsi="Times New Roman" w:cs="Times New Roman"/>
                <w:color w:val="000000" w:themeColor="text1"/>
                <w:sz w:val="20"/>
                <w:szCs w:val="20"/>
                <w:lang w:val="ro-RO"/>
              </w:rPr>
              <w:t>legislaţiei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naţionale</w:t>
            </w:r>
            <w:proofErr w:type="spellEnd"/>
            <w:r w:rsidRPr="00684853">
              <w:rPr>
                <w:rFonts w:ascii="Times New Roman" w:hAnsi="Times New Roman" w:cs="Times New Roman"/>
                <w:color w:val="000000" w:themeColor="text1"/>
                <w:sz w:val="20"/>
                <w:szCs w:val="20"/>
                <w:lang w:val="ro-RO"/>
              </w:rPr>
              <w:t xml:space="preserve"> a statului respectiv, acordă ratinguri de credit.</w:t>
            </w:r>
          </w:p>
        </w:tc>
        <w:tc>
          <w:tcPr>
            <w:tcW w:w="562" w:type="pct"/>
          </w:tcPr>
          <w:p w14:paraId="6183AEFD"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13DD1A1F" w14:textId="7E528232" w:rsidR="00395381" w:rsidRPr="00684853" w:rsidRDefault="00395381" w:rsidP="00E87F29">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Regulamentul cu privire la tratamentul riscului de credit potrivit abordării standardizate, </w:t>
            </w:r>
            <w:r w:rsidRPr="00684853">
              <w:rPr>
                <w:rFonts w:ascii="Times New Roman" w:hAnsi="Times New Roman" w:cs="Times New Roman"/>
                <w:color w:val="000000" w:themeColor="text1"/>
                <w:sz w:val="20"/>
                <w:szCs w:val="20"/>
                <w:lang w:val="ro-RO"/>
              </w:rPr>
              <w:t>aprobat prin HCE al BNM nr.111/2018, prin noțiunea „societate de evaluare externă a creditului (ECAI)”</w:t>
            </w:r>
            <w:r w:rsidRPr="00684853">
              <w:rPr>
                <w:rFonts w:ascii="Times New Roman" w:hAnsi="Times New Roman" w:cs="Times New Roman"/>
                <w:b/>
                <w:color w:val="000000" w:themeColor="text1"/>
                <w:sz w:val="20"/>
                <w:szCs w:val="20"/>
                <w:lang w:val="ro-RO"/>
              </w:rPr>
              <w:t>.</w:t>
            </w:r>
          </w:p>
          <w:p w14:paraId="243FD48E" w14:textId="77777777" w:rsidR="00395381" w:rsidRPr="00684853" w:rsidRDefault="00395381" w:rsidP="00E87F29">
            <w:pPr>
              <w:jc w:val="both"/>
              <w:rPr>
                <w:rFonts w:ascii="Times New Roman" w:hAnsi="Times New Roman" w:cs="Times New Roman"/>
                <w:color w:val="000000" w:themeColor="text1"/>
                <w:sz w:val="20"/>
                <w:szCs w:val="20"/>
                <w:lang w:val="ro-RO"/>
              </w:rPr>
            </w:pPr>
          </w:p>
        </w:tc>
      </w:tr>
      <w:tr w:rsidR="00EA59FA" w:rsidRPr="00684853" w14:paraId="4103CF0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5691357" w14:textId="77777777" w:rsidR="00395381" w:rsidRPr="00684853" w:rsidRDefault="00395381" w:rsidP="00E87F29">
            <w:pPr>
              <w:pStyle w:val="CM4"/>
              <w:spacing w:after="120"/>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99.</w:t>
            </w:r>
            <w:r w:rsidRPr="00684853">
              <w:rPr>
                <w:rFonts w:ascii="Times New Roman" w:eastAsia="Arial Unicode MS" w:hAnsi="Times New Roman"/>
                <w:color w:val="000000" w:themeColor="text1"/>
                <w:sz w:val="20"/>
                <w:szCs w:val="20"/>
                <w:lang w:val="ro-RO"/>
              </w:rPr>
              <w:t xml:space="preserve"> „ECAI desemnată” înseamnă o ECAI desemnată de către o instituție;</w:t>
            </w:r>
          </w:p>
        </w:tc>
        <w:tc>
          <w:tcPr>
            <w:tcW w:w="1636" w:type="pct"/>
          </w:tcPr>
          <w:p w14:paraId="1B17AEB9" w14:textId="1A865FB1" w:rsidR="00395381" w:rsidRPr="00684853" w:rsidRDefault="00313609" w:rsidP="00E87F29">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ECAI desemnată</w:t>
            </w:r>
            <w:r w:rsidRPr="00684853">
              <w:rPr>
                <w:rFonts w:ascii="Times New Roman" w:hAnsi="Times New Roman" w:cs="Times New Roman"/>
                <w:color w:val="000000" w:themeColor="text1"/>
                <w:sz w:val="20"/>
                <w:szCs w:val="20"/>
                <w:lang w:val="ro-RO"/>
              </w:rPr>
              <w:t xml:space="preserve"> – o societate de evaluare externă a creditului desemnată de către o bancă;</w:t>
            </w:r>
          </w:p>
        </w:tc>
        <w:tc>
          <w:tcPr>
            <w:tcW w:w="562" w:type="pct"/>
          </w:tcPr>
          <w:p w14:paraId="7696B8EF" w14:textId="77777777" w:rsidR="00395381" w:rsidRPr="00684853" w:rsidRDefault="00395381"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0F419ED7" w14:textId="129584D0" w:rsidR="00395381" w:rsidRPr="00684853" w:rsidRDefault="00395381" w:rsidP="00957E7C">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w:t>
            </w:r>
            <w:r w:rsidRPr="00684853">
              <w:rPr>
                <w:rFonts w:ascii="Times New Roman" w:hAnsi="Times New Roman" w:cs="Times New Roman"/>
                <w:b/>
                <w:color w:val="000000" w:themeColor="text1"/>
                <w:sz w:val="20"/>
                <w:szCs w:val="20"/>
                <w:lang w:val="ro-RO"/>
              </w:rPr>
              <w:t xml:space="preserve">Regulamentul cu privire la tratamentul riscului de credit potrivit abordării standardizate, </w:t>
            </w:r>
            <w:r w:rsidRPr="00684853">
              <w:rPr>
                <w:rFonts w:ascii="Times New Roman" w:hAnsi="Times New Roman" w:cs="Times New Roman"/>
                <w:color w:val="000000" w:themeColor="text1"/>
                <w:sz w:val="20"/>
                <w:szCs w:val="20"/>
                <w:lang w:val="ro-RO"/>
              </w:rPr>
              <w:t xml:space="preserve">aprobat prin HCE al BNM </w:t>
            </w:r>
            <w:r w:rsidRPr="00684853">
              <w:rPr>
                <w:rFonts w:ascii="Times New Roman" w:hAnsi="Times New Roman" w:cs="Times New Roman"/>
                <w:color w:val="000000" w:themeColor="text1"/>
                <w:sz w:val="20"/>
                <w:szCs w:val="20"/>
                <w:lang w:val="ro-RO"/>
              </w:rPr>
              <w:lastRenderedPageBreak/>
              <w:t>nr.111/2018, prin noțiunea „ECAI desemnată”</w:t>
            </w:r>
            <w:r w:rsidRPr="00684853">
              <w:rPr>
                <w:rFonts w:ascii="Times New Roman" w:hAnsi="Times New Roman" w:cs="Times New Roman"/>
                <w:b/>
                <w:color w:val="000000" w:themeColor="text1"/>
                <w:sz w:val="20"/>
                <w:szCs w:val="20"/>
                <w:lang w:val="ro-RO"/>
              </w:rPr>
              <w:t>.</w:t>
            </w:r>
          </w:p>
        </w:tc>
      </w:tr>
      <w:tr w:rsidR="00EA59FA" w:rsidRPr="00684853" w14:paraId="6D00008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A2B0482" w14:textId="77777777" w:rsidR="00395381" w:rsidRPr="00684853" w:rsidRDefault="00395381" w:rsidP="00E87F29">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100.</w:t>
            </w:r>
            <w:r w:rsidRPr="00684853">
              <w:rPr>
                <w:rFonts w:ascii="Times New Roman" w:hAnsi="Times New Roman"/>
                <w:color w:val="000000" w:themeColor="text1"/>
                <w:sz w:val="20"/>
                <w:szCs w:val="20"/>
                <w:lang w:val="ro-RO"/>
              </w:rPr>
              <w:t xml:space="preserve"> „alte elemente ale rezultatului global acumulate” are același înțeles ca în Standardul Internațional de Contabilitate (IAS) 1, aplicabil în conformitate cu Regulamentul (CE) nr. 1606/2002;</w:t>
            </w:r>
          </w:p>
        </w:tc>
        <w:tc>
          <w:tcPr>
            <w:tcW w:w="1636" w:type="pct"/>
          </w:tcPr>
          <w:p w14:paraId="6F58C072" w14:textId="77777777" w:rsidR="00395381" w:rsidRPr="00684853" w:rsidRDefault="00395381" w:rsidP="00E87F29">
            <w:pPr>
              <w:spacing w:line="276" w:lineRule="auto"/>
              <w:rPr>
                <w:rFonts w:ascii="Times New Roman" w:hAnsi="Times New Roman" w:cs="Times New Roman"/>
                <w:color w:val="000000" w:themeColor="text1"/>
                <w:sz w:val="20"/>
                <w:szCs w:val="20"/>
                <w:lang w:val="ro-RO"/>
              </w:rPr>
            </w:pPr>
          </w:p>
        </w:tc>
        <w:tc>
          <w:tcPr>
            <w:tcW w:w="562" w:type="pct"/>
          </w:tcPr>
          <w:p w14:paraId="3ADBD1B9" w14:textId="3B60D08B" w:rsidR="00395381" w:rsidRPr="00684853" w:rsidRDefault="000B42A1" w:rsidP="00E87F29">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w:t>
            </w:r>
            <w:r w:rsidR="002A6E97" w:rsidRPr="00684853">
              <w:rPr>
                <w:rFonts w:ascii="Times New Roman" w:hAnsi="Times New Roman" w:cs="Times New Roman"/>
                <w:color w:val="000000" w:themeColor="text1"/>
                <w:sz w:val="20"/>
                <w:szCs w:val="20"/>
                <w:lang w:val="ro-RO"/>
              </w:rPr>
              <w:t>transpuse</w:t>
            </w:r>
          </w:p>
          <w:p w14:paraId="1E0966DF" w14:textId="77777777" w:rsidR="00395381" w:rsidRPr="00684853" w:rsidRDefault="00395381" w:rsidP="00E87F29">
            <w:pPr>
              <w:jc w:val="both"/>
              <w:rPr>
                <w:rFonts w:ascii="Times New Roman" w:hAnsi="Times New Roman" w:cs="Times New Roman"/>
                <w:color w:val="000000" w:themeColor="text1"/>
                <w:sz w:val="20"/>
                <w:szCs w:val="20"/>
                <w:lang w:val="ro-RO"/>
              </w:rPr>
            </w:pPr>
          </w:p>
        </w:tc>
        <w:tc>
          <w:tcPr>
            <w:tcW w:w="885" w:type="pct"/>
          </w:tcPr>
          <w:p w14:paraId="69BC497C" w14:textId="3E27C1A4" w:rsidR="00395381" w:rsidRPr="00684853" w:rsidRDefault="00522803" w:rsidP="00E87F29">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Având în vedere că potrivit Legii contabilității</w:t>
            </w:r>
            <w:r w:rsidR="005E1AAE" w:rsidRPr="00684853">
              <w:rPr>
                <w:rFonts w:ascii="Times New Roman" w:hAnsi="Times New Roman" w:cs="Times New Roman"/>
                <w:color w:val="000000" w:themeColor="text1"/>
                <w:sz w:val="20"/>
                <w:szCs w:val="20"/>
                <w:lang w:val="ro-RO"/>
              </w:rPr>
              <w:t xml:space="preserve"> și raportării financiare</w:t>
            </w:r>
            <w:r w:rsidRPr="00684853">
              <w:rPr>
                <w:rFonts w:ascii="Times New Roman" w:hAnsi="Times New Roman" w:cs="Times New Roman"/>
                <w:color w:val="000000" w:themeColor="text1"/>
                <w:sz w:val="20"/>
                <w:szCs w:val="20"/>
                <w:lang w:val="ro-RO"/>
              </w:rPr>
              <w:t xml:space="preserve"> nr.</w:t>
            </w:r>
            <w:r w:rsidR="005E1AAE" w:rsidRPr="00684853">
              <w:rPr>
                <w:rFonts w:ascii="Times New Roman" w:hAnsi="Times New Roman" w:cs="Times New Roman"/>
                <w:color w:val="000000" w:themeColor="text1"/>
                <w:sz w:val="20"/>
                <w:szCs w:val="20"/>
                <w:lang w:val="ro-RO"/>
              </w:rPr>
              <w:t xml:space="preserve"> </w:t>
            </w:r>
            <w:r w:rsidR="00A41C8F" w:rsidRPr="00684853">
              <w:rPr>
                <w:rFonts w:ascii="Times New Roman" w:hAnsi="Times New Roman" w:cs="Times New Roman"/>
                <w:color w:val="000000" w:themeColor="text1"/>
                <w:sz w:val="20"/>
                <w:szCs w:val="20"/>
                <w:lang w:val="ro-RO"/>
              </w:rPr>
              <w:t>287</w:t>
            </w:r>
            <w:r w:rsidRPr="00684853">
              <w:rPr>
                <w:rFonts w:ascii="Times New Roman" w:hAnsi="Times New Roman" w:cs="Times New Roman"/>
                <w:color w:val="000000" w:themeColor="text1"/>
                <w:sz w:val="20"/>
                <w:szCs w:val="20"/>
                <w:lang w:val="ro-RO"/>
              </w:rPr>
              <w:t>/20</w:t>
            </w:r>
            <w:r w:rsidR="00A41C8F" w:rsidRPr="00684853">
              <w:rPr>
                <w:rFonts w:ascii="Times New Roman" w:hAnsi="Times New Roman" w:cs="Times New Roman"/>
                <w:color w:val="000000" w:themeColor="text1"/>
                <w:sz w:val="20"/>
                <w:szCs w:val="20"/>
                <w:lang w:val="ro-RO"/>
              </w:rPr>
              <w:t>1</w:t>
            </w:r>
            <w:r w:rsidRPr="00684853">
              <w:rPr>
                <w:rFonts w:ascii="Times New Roman" w:hAnsi="Times New Roman" w:cs="Times New Roman"/>
                <w:color w:val="000000" w:themeColor="text1"/>
                <w:sz w:val="20"/>
                <w:szCs w:val="20"/>
                <w:lang w:val="ro-RO"/>
              </w:rPr>
              <w:t xml:space="preserve">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(IFRS), nu este necesară transpunerea noțiunii.</w:t>
            </w:r>
          </w:p>
        </w:tc>
      </w:tr>
      <w:tr w:rsidR="00EA59FA" w:rsidRPr="00684853" w14:paraId="1238E68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4207F8D" w14:textId="621BBAC5" w:rsidR="00A639CB" w:rsidRPr="00684853" w:rsidRDefault="00395381" w:rsidP="00650ADE">
            <w:pPr>
              <w:pStyle w:val="CM4"/>
              <w:spacing w:after="120"/>
              <w:jc w:val="both"/>
              <w:rPr>
                <w:color w:val="000000" w:themeColor="text1"/>
                <w:lang w:val="ro-RO"/>
              </w:rPr>
            </w:pPr>
            <w:r w:rsidRPr="00684853">
              <w:rPr>
                <w:rFonts w:ascii="Times New Roman" w:hAnsi="Times New Roman"/>
                <w:b/>
                <w:color w:val="000000" w:themeColor="text1"/>
                <w:sz w:val="20"/>
                <w:szCs w:val="20"/>
                <w:lang w:val="ro-RO"/>
              </w:rPr>
              <w:t>101.</w:t>
            </w:r>
            <w:r w:rsidRPr="00684853">
              <w:rPr>
                <w:rFonts w:ascii="Times New Roman" w:hAnsi="Times New Roman"/>
                <w:color w:val="000000" w:themeColor="text1"/>
                <w:sz w:val="20"/>
                <w:szCs w:val="20"/>
                <w:lang w:val="ro-RO"/>
              </w:rPr>
              <w:t xml:space="preserve"> „fonduri proprii de bază” înseamnă fondurile proprii de bază în sensul articolului 88 din Directiva 2009/138/CE;</w:t>
            </w:r>
          </w:p>
        </w:tc>
        <w:tc>
          <w:tcPr>
            <w:tcW w:w="1636" w:type="pct"/>
          </w:tcPr>
          <w:p w14:paraId="5DCA15AB"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vMerge w:val="restart"/>
          </w:tcPr>
          <w:p w14:paraId="2CAE2BF8" w14:textId="163C7A16" w:rsidR="00395381" w:rsidRPr="00684853" w:rsidRDefault="000B42A1"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30D9A3AF"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vMerge w:val="restart"/>
          </w:tcPr>
          <w:p w14:paraId="28693B34" w14:textId="509AEF0A" w:rsidR="00395381" w:rsidRPr="00684853" w:rsidRDefault="00A14C16"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că potrivit Legii contabilității și raportării financiare nr. 287/2017,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(IFRS), nu este necesară transpunerea noțiunii.</w:t>
            </w:r>
          </w:p>
        </w:tc>
      </w:tr>
      <w:tr w:rsidR="00EA59FA" w:rsidRPr="00684853" w14:paraId="33A3443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E738301" w14:textId="10875786"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102.</w:t>
            </w:r>
            <w:r w:rsidRPr="00684853">
              <w:rPr>
                <w:rFonts w:ascii="Times New Roman" w:hAnsi="Times New Roman" w:cs="Times New Roman"/>
                <w:color w:val="000000" w:themeColor="text1"/>
                <w:sz w:val="20"/>
                <w:szCs w:val="20"/>
                <w:lang w:val="ro-RO"/>
              </w:rPr>
              <w:t xml:space="preserve"> „elemente ale fondurilor proprii de nivel 1 specifice întreprinderilor de asigurare” înseamnă elementele fondurilor proprii de bază ale întreprinderilor care fac obiectul cerințelor Directivei 2009/138/CE, atunci când aceste elemente sunt clasificate de nivel 1 în sensul Directivei 2009/138/CE, în conformitate cu articolul 94 alineatul (1) din directiva menționată;</w:t>
            </w:r>
          </w:p>
        </w:tc>
        <w:tc>
          <w:tcPr>
            <w:tcW w:w="1636" w:type="pct"/>
          </w:tcPr>
          <w:p w14:paraId="20757723"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vMerge/>
          </w:tcPr>
          <w:p w14:paraId="55682EEA"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vMerge/>
          </w:tcPr>
          <w:p w14:paraId="18DC9F80" w14:textId="177F3821" w:rsidR="00395381" w:rsidRPr="00684853" w:rsidRDefault="00395381" w:rsidP="0079002D">
            <w:pPr>
              <w:jc w:val="both"/>
              <w:rPr>
                <w:rFonts w:ascii="Times New Roman" w:hAnsi="Times New Roman" w:cs="Times New Roman"/>
                <w:color w:val="000000" w:themeColor="text1"/>
                <w:sz w:val="20"/>
                <w:szCs w:val="20"/>
                <w:lang w:val="ro-RO"/>
              </w:rPr>
            </w:pPr>
          </w:p>
        </w:tc>
      </w:tr>
      <w:tr w:rsidR="00EA59FA" w:rsidRPr="00684853" w14:paraId="728E660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D098595" w14:textId="63F8E53B" w:rsidR="00395381" w:rsidRPr="00684853" w:rsidRDefault="00395381" w:rsidP="00AF5939">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103.</w:t>
            </w:r>
            <w:r w:rsidRPr="00684853">
              <w:rPr>
                <w:rFonts w:ascii="Times New Roman" w:hAnsi="Times New Roman" w:cs="Times New Roman"/>
                <w:color w:val="000000" w:themeColor="text1"/>
                <w:sz w:val="20"/>
                <w:szCs w:val="20"/>
                <w:lang w:val="ro-RO"/>
              </w:rPr>
              <w:t xml:space="preserve"> „elemente ale fondurilor proprii de nivel 1 suplimentar specifice întreprinderilor de asigurare” înseamnă elementele fondurilor proprii de bază ale întreprinderilor care fac obiectul cerințelor Directivei 2009/138/CE unde respectivele elemente sunt clasificate drept capital de nivel 1, în sensul Directivei 2009/138/CE în conformitate cu articolul 94 alineatul (1) din directiva menționată, iar includerea </w:t>
            </w:r>
            <w:r w:rsidRPr="00684853">
              <w:rPr>
                <w:rFonts w:ascii="Times New Roman" w:hAnsi="Times New Roman" w:cs="Times New Roman"/>
                <w:color w:val="000000" w:themeColor="text1"/>
                <w:sz w:val="20"/>
                <w:szCs w:val="20"/>
                <w:lang w:val="ro-RO"/>
              </w:rPr>
              <w:lastRenderedPageBreak/>
              <w:t>acestor elemente este limitată prin actele delegate adoptate în conformitate cu articolul 99 din directiva menționată;</w:t>
            </w:r>
          </w:p>
        </w:tc>
        <w:tc>
          <w:tcPr>
            <w:tcW w:w="1636" w:type="pct"/>
          </w:tcPr>
          <w:p w14:paraId="31568AA8"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vMerge/>
          </w:tcPr>
          <w:p w14:paraId="60122D97"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vMerge/>
          </w:tcPr>
          <w:p w14:paraId="346BDC89" w14:textId="357A38D4" w:rsidR="00395381" w:rsidRPr="00684853" w:rsidRDefault="00395381" w:rsidP="0079002D">
            <w:pPr>
              <w:jc w:val="both"/>
              <w:rPr>
                <w:rFonts w:ascii="Times New Roman" w:hAnsi="Times New Roman" w:cs="Times New Roman"/>
                <w:color w:val="000000" w:themeColor="text1"/>
                <w:sz w:val="20"/>
                <w:szCs w:val="20"/>
                <w:lang w:val="ro-RO"/>
              </w:rPr>
            </w:pPr>
          </w:p>
        </w:tc>
      </w:tr>
      <w:tr w:rsidR="00EA59FA" w:rsidRPr="00684853" w14:paraId="6ED6C85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BEC068F" w14:textId="77777777" w:rsidR="00395381" w:rsidRPr="00684853" w:rsidRDefault="00395381" w:rsidP="0079002D">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104.</w:t>
            </w:r>
            <w:r w:rsidRPr="00684853">
              <w:rPr>
                <w:rFonts w:ascii="Times New Roman" w:hAnsi="Times New Roman" w:cs="Times New Roman"/>
                <w:color w:val="000000" w:themeColor="text1"/>
                <w:sz w:val="20"/>
                <w:szCs w:val="20"/>
                <w:lang w:val="ro-RO"/>
              </w:rPr>
              <w:t xml:space="preserve"> „elemente ale fondurilor proprii de nivel 2 specifice întreprinderilor de asigurare” înseamnă elementele fondurilor proprii de bază ale întreprinderilor care fac obiectul cerințelor Directivei 2009/138/CE, atunci când aceste elemente sunt clasificate de nivel 2 în sensul Directivei 2009/138/CE, în conformitate cu articolul 94 alineatul (2) din directiva menționată;</w:t>
            </w:r>
          </w:p>
        </w:tc>
        <w:tc>
          <w:tcPr>
            <w:tcW w:w="1636" w:type="pct"/>
          </w:tcPr>
          <w:p w14:paraId="08C47FD5"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vMerge/>
          </w:tcPr>
          <w:p w14:paraId="7568C6B9"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vMerge/>
          </w:tcPr>
          <w:p w14:paraId="4F9C97D3" w14:textId="16B288F0" w:rsidR="00395381" w:rsidRPr="00684853" w:rsidRDefault="00395381" w:rsidP="0079002D">
            <w:pPr>
              <w:jc w:val="both"/>
              <w:rPr>
                <w:rFonts w:ascii="Times New Roman" w:hAnsi="Times New Roman" w:cs="Times New Roman"/>
                <w:color w:val="000000" w:themeColor="text1"/>
                <w:sz w:val="20"/>
                <w:szCs w:val="20"/>
                <w:lang w:val="ro-RO"/>
              </w:rPr>
            </w:pPr>
          </w:p>
        </w:tc>
      </w:tr>
      <w:tr w:rsidR="00EA59FA" w:rsidRPr="00684853" w14:paraId="76481B1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0D18DDF" w14:textId="77777777" w:rsidR="00395381" w:rsidRPr="00684853" w:rsidRDefault="00395381" w:rsidP="0079002D">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105.</w:t>
            </w:r>
            <w:r w:rsidRPr="00684853">
              <w:rPr>
                <w:rFonts w:ascii="Times New Roman" w:hAnsi="Times New Roman" w:cs="Times New Roman"/>
                <w:color w:val="000000" w:themeColor="text1"/>
                <w:sz w:val="20"/>
                <w:szCs w:val="20"/>
                <w:lang w:val="ro-RO"/>
              </w:rPr>
              <w:t xml:space="preserve"> „elemente ale fondurilor proprii de nivel 3 specifice întreprinderilor de asigurare” înseamnă elementele ale fondurilor proprii de bază ale întreprinderilor care fac obiectul cerințelor Directivei 2009/138/CE, atunci când aceste elemente sunt clasificate de nivel 3 în sensul Directivei 2009/138/CE, în conformitate cu articolul 94 alineatul (3) din directiva menționată;</w:t>
            </w:r>
          </w:p>
        </w:tc>
        <w:tc>
          <w:tcPr>
            <w:tcW w:w="1636" w:type="pct"/>
          </w:tcPr>
          <w:p w14:paraId="423C880B"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vMerge/>
          </w:tcPr>
          <w:p w14:paraId="273BD448"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vMerge/>
          </w:tcPr>
          <w:p w14:paraId="3D4B902B" w14:textId="4D73F7A1" w:rsidR="00395381" w:rsidRPr="00684853" w:rsidRDefault="00395381" w:rsidP="0079002D">
            <w:pPr>
              <w:jc w:val="both"/>
              <w:rPr>
                <w:rFonts w:ascii="Times New Roman" w:hAnsi="Times New Roman" w:cs="Times New Roman"/>
                <w:color w:val="000000" w:themeColor="text1"/>
                <w:sz w:val="20"/>
                <w:szCs w:val="20"/>
                <w:lang w:val="ro-RO"/>
              </w:rPr>
            </w:pPr>
          </w:p>
        </w:tc>
      </w:tr>
      <w:tr w:rsidR="00EA59FA" w:rsidRPr="00684853" w14:paraId="478A557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744878A"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106.</w:t>
            </w:r>
            <w:r w:rsidRPr="00684853">
              <w:rPr>
                <w:rFonts w:ascii="Times New Roman" w:hAnsi="Times New Roman"/>
                <w:color w:val="000000" w:themeColor="text1"/>
                <w:sz w:val="20"/>
                <w:szCs w:val="20"/>
                <w:lang w:val="ro-RO"/>
              </w:rPr>
              <w:t xml:space="preserve"> „creanțe privind impozitul amânat” au același înțeles ca în cadrul contabil aplicabil;</w:t>
            </w:r>
          </w:p>
        </w:tc>
        <w:tc>
          <w:tcPr>
            <w:tcW w:w="1636" w:type="pct"/>
          </w:tcPr>
          <w:p w14:paraId="2B10A3E8"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tcPr>
          <w:p w14:paraId="386CCEE7" w14:textId="095AF6C4" w:rsidR="00395381" w:rsidRPr="00684853" w:rsidRDefault="002630FA"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002A6E97" w:rsidRPr="00684853">
              <w:rPr>
                <w:rFonts w:ascii="Times New Roman" w:hAnsi="Times New Roman" w:cs="Times New Roman"/>
                <w:color w:val="000000" w:themeColor="text1"/>
                <w:sz w:val="20"/>
                <w:szCs w:val="20"/>
                <w:lang w:val="ro-RO"/>
              </w:rPr>
              <w:t>netranspus</w:t>
            </w:r>
            <w:r w:rsidR="00C87444" w:rsidRPr="00684853">
              <w:rPr>
                <w:rFonts w:ascii="Times New Roman" w:hAnsi="Times New Roman" w:cs="Times New Roman"/>
                <w:color w:val="000000" w:themeColor="text1"/>
                <w:sz w:val="20"/>
                <w:szCs w:val="20"/>
                <w:lang w:val="ro-RO"/>
              </w:rPr>
              <w:t>e</w:t>
            </w:r>
          </w:p>
          <w:p w14:paraId="414A42AB" w14:textId="77777777" w:rsidR="00395381" w:rsidRPr="00684853" w:rsidRDefault="00395381" w:rsidP="0079002D">
            <w:pPr>
              <w:ind w:right="-85"/>
              <w:jc w:val="both"/>
              <w:rPr>
                <w:rFonts w:ascii="Times New Roman" w:hAnsi="Times New Roman" w:cs="Times New Roman"/>
                <w:color w:val="000000" w:themeColor="text1"/>
                <w:sz w:val="20"/>
                <w:szCs w:val="20"/>
                <w:lang w:val="ro-RO"/>
              </w:rPr>
            </w:pPr>
          </w:p>
        </w:tc>
        <w:tc>
          <w:tcPr>
            <w:tcW w:w="885" w:type="pct"/>
          </w:tcPr>
          <w:p w14:paraId="58EC704A" w14:textId="42ABAECE" w:rsidR="00395381" w:rsidRPr="00684853" w:rsidRDefault="002630FA"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că potrivit Legii contabilității </w:t>
            </w:r>
            <w:r w:rsidR="005E1AAE" w:rsidRPr="00684853">
              <w:rPr>
                <w:rFonts w:ascii="Times New Roman" w:hAnsi="Times New Roman" w:cs="Times New Roman"/>
                <w:color w:val="000000" w:themeColor="text1"/>
                <w:sz w:val="20"/>
                <w:szCs w:val="20"/>
                <w:lang w:val="ro-RO"/>
              </w:rPr>
              <w:t xml:space="preserve">și raportării financiare </w:t>
            </w:r>
            <w:r w:rsidRPr="00684853">
              <w:rPr>
                <w:rFonts w:ascii="Times New Roman" w:hAnsi="Times New Roman" w:cs="Times New Roman"/>
                <w:color w:val="000000" w:themeColor="text1"/>
                <w:sz w:val="20"/>
                <w:szCs w:val="20"/>
                <w:lang w:val="ro-RO"/>
              </w:rPr>
              <w:t xml:space="preserve">nr. </w:t>
            </w:r>
            <w:r w:rsidR="00A41C8F" w:rsidRPr="00684853">
              <w:rPr>
                <w:rFonts w:ascii="Times New Roman" w:hAnsi="Times New Roman" w:cs="Times New Roman"/>
                <w:color w:val="000000" w:themeColor="text1"/>
                <w:sz w:val="20"/>
                <w:szCs w:val="20"/>
                <w:lang w:val="ro-RO"/>
              </w:rPr>
              <w:t>287</w:t>
            </w:r>
            <w:r w:rsidR="00522803" w:rsidRPr="00684853">
              <w:rPr>
                <w:rFonts w:ascii="Times New Roman" w:hAnsi="Times New Roman" w:cs="Times New Roman"/>
                <w:color w:val="000000" w:themeColor="text1"/>
                <w:sz w:val="20"/>
                <w:szCs w:val="20"/>
                <w:lang w:val="ro-RO"/>
              </w:rPr>
              <w:t>/</w:t>
            </w:r>
            <w:r w:rsidRPr="00684853">
              <w:rPr>
                <w:rFonts w:ascii="Times New Roman" w:hAnsi="Times New Roman" w:cs="Times New Roman"/>
                <w:color w:val="000000" w:themeColor="text1"/>
                <w:sz w:val="20"/>
                <w:szCs w:val="20"/>
                <w:lang w:val="ro-RO"/>
              </w:rPr>
              <w:t>20</w:t>
            </w:r>
            <w:r w:rsidR="00A41C8F" w:rsidRPr="00684853">
              <w:rPr>
                <w:rFonts w:ascii="Times New Roman" w:hAnsi="Times New Roman" w:cs="Times New Roman"/>
                <w:color w:val="000000" w:themeColor="text1"/>
                <w:sz w:val="20"/>
                <w:szCs w:val="20"/>
                <w:lang w:val="ro-RO"/>
              </w:rPr>
              <w:t>1</w:t>
            </w:r>
            <w:r w:rsidRPr="00684853">
              <w:rPr>
                <w:rFonts w:ascii="Times New Roman" w:hAnsi="Times New Roman" w:cs="Times New Roman"/>
                <w:color w:val="000000" w:themeColor="text1"/>
                <w:sz w:val="20"/>
                <w:szCs w:val="20"/>
                <w:lang w:val="ro-RO"/>
              </w:rPr>
              <w:t xml:space="preserve">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w:t>
            </w:r>
            <w:r w:rsidR="00522803" w:rsidRPr="00684853">
              <w:rPr>
                <w:rFonts w:ascii="Times New Roman" w:hAnsi="Times New Roman" w:cs="Times New Roman"/>
                <w:color w:val="000000" w:themeColor="text1"/>
                <w:sz w:val="20"/>
                <w:szCs w:val="20"/>
                <w:lang w:val="ro-RO"/>
              </w:rPr>
              <w:t xml:space="preserve"> (IFRS)</w:t>
            </w:r>
            <w:r w:rsidRPr="00684853">
              <w:rPr>
                <w:rFonts w:ascii="Times New Roman" w:hAnsi="Times New Roman" w:cs="Times New Roman"/>
                <w:color w:val="000000" w:themeColor="text1"/>
                <w:sz w:val="20"/>
                <w:szCs w:val="20"/>
                <w:lang w:val="ro-RO"/>
              </w:rPr>
              <w:t>, nu este necesară transpunerea noțiunii.</w:t>
            </w:r>
          </w:p>
        </w:tc>
      </w:tr>
      <w:tr w:rsidR="00EA59FA" w:rsidRPr="00684853" w14:paraId="76BCFAD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0FDC712"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107.</w:t>
            </w:r>
            <w:r w:rsidRPr="00684853">
              <w:rPr>
                <w:rFonts w:ascii="Times New Roman" w:hAnsi="Times New Roman"/>
                <w:color w:val="000000" w:themeColor="text1"/>
                <w:sz w:val="20"/>
                <w:szCs w:val="20"/>
                <w:lang w:val="ro-RO"/>
              </w:rPr>
              <w:t xml:space="preserve"> „creanțe privind impozitul amânat care se bazează pe profitabilitatea viitoare” înseamnă creanțele privind impozitul </w:t>
            </w:r>
            <w:r w:rsidRPr="00684853">
              <w:rPr>
                <w:rFonts w:ascii="Times New Roman" w:hAnsi="Times New Roman"/>
                <w:color w:val="000000" w:themeColor="text1"/>
                <w:sz w:val="20"/>
                <w:szCs w:val="20"/>
                <w:lang w:val="ro-RO"/>
              </w:rPr>
              <w:lastRenderedPageBreak/>
              <w:t>amânat a căror valoare viitoare poate fi realizată numai dacă instituția generează profit impozabil în viitor;</w:t>
            </w:r>
          </w:p>
        </w:tc>
        <w:tc>
          <w:tcPr>
            <w:tcW w:w="1636" w:type="pct"/>
          </w:tcPr>
          <w:p w14:paraId="42CAB549" w14:textId="1E21DD4B" w:rsidR="00395381" w:rsidRPr="00684853" w:rsidRDefault="00AA0043" w:rsidP="0079002D">
            <w:pPr>
              <w:spacing w:line="276" w:lineRule="auto"/>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lastRenderedPageBreak/>
              <w:t>creanţe</w:t>
            </w:r>
            <w:proofErr w:type="spellEnd"/>
            <w:r w:rsidRPr="00684853">
              <w:rPr>
                <w:rFonts w:ascii="Times New Roman" w:hAnsi="Times New Roman" w:cs="Times New Roman"/>
                <w:b/>
                <w:bCs/>
                <w:color w:val="000000" w:themeColor="text1"/>
                <w:sz w:val="20"/>
                <w:szCs w:val="20"/>
                <w:lang w:val="ro-RO"/>
              </w:rPr>
              <w:t xml:space="preserve"> privind impozitul amânat care se bazează pe profitabilitatea viitoare</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creanţele</w:t>
            </w:r>
            <w:proofErr w:type="spellEnd"/>
            <w:r w:rsidRPr="00684853">
              <w:rPr>
                <w:rFonts w:ascii="Times New Roman" w:hAnsi="Times New Roman" w:cs="Times New Roman"/>
                <w:color w:val="000000" w:themeColor="text1"/>
                <w:sz w:val="20"/>
                <w:szCs w:val="20"/>
                <w:lang w:val="ro-RO"/>
              </w:rPr>
              <w:t xml:space="preserve"> privind impozitul </w:t>
            </w:r>
            <w:r w:rsidRPr="00684853">
              <w:rPr>
                <w:rFonts w:ascii="Times New Roman" w:hAnsi="Times New Roman" w:cs="Times New Roman"/>
                <w:color w:val="000000" w:themeColor="text1"/>
                <w:sz w:val="20"/>
                <w:szCs w:val="20"/>
                <w:lang w:val="ro-RO"/>
              </w:rPr>
              <w:lastRenderedPageBreak/>
              <w:t>amânat a căror valoare viitoare poate fi realizată numai dacă banca generează profit impozabil în viitor;</w:t>
            </w:r>
          </w:p>
        </w:tc>
        <w:tc>
          <w:tcPr>
            <w:tcW w:w="562" w:type="pct"/>
          </w:tcPr>
          <w:p w14:paraId="759990C0"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1F5310C9" w14:textId="77777777" w:rsidR="00395381" w:rsidRPr="00684853" w:rsidRDefault="00395381" w:rsidP="0079002D">
            <w:pPr>
              <w:jc w:val="both"/>
              <w:rPr>
                <w:rFonts w:ascii="Times New Roman" w:hAnsi="Times New Roman" w:cs="Times New Roman"/>
                <w:color w:val="000000" w:themeColor="text1"/>
                <w:sz w:val="20"/>
                <w:szCs w:val="20"/>
                <w:highlight w:val="yellow"/>
                <w:lang w:val="ro-RO"/>
              </w:rPr>
            </w:pPr>
          </w:p>
        </w:tc>
        <w:tc>
          <w:tcPr>
            <w:tcW w:w="885" w:type="pct"/>
          </w:tcPr>
          <w:p w14:paraId="50B7AC63" w14:textId="0F7282DA"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Transpus în p.4 din </w:t>
            </w:r>
            <w:r w:rsidRPr="00684853">
              <w:rPr>
                <w:rFonts w:ascii="Times New Roman" w:hAnsi="Times New Roman" w:cs="Times New Roman"/>
                <w:b/>
                <w:color w:val="000000" w:themeColor="text1"/>
                <w:sz w:val="20"/>
                <w:szCs w:val="20"/>
                <w:lang w:val="ro-RO"/>
              </w:rPr>
              <w:t xml:space="preserve">Regulamentul cu privire la fondurile proprii ale </w:t>
            </w:r>
            <w:r w:rsidRPr="00684853">
              <w:rPr>
                <w:rFonts w:ascii="Times New Roman" w:hAnsi="Times New Roman" w:cs="Times New Roman"/>
                <w:b/>
                <w:color w:val="000000" w:themeColor="text1"/>
                <w:sz w:val="20"/>
                <w:szCs w:val="20"/>
                <w:lang w:val="ro-RO"/>
              </w:rPr>
              <w:lastRenderedPageBreak/>
              <w:t xml:space="preserve">băncilor și cerințele de capital, </w:t>
            </w:r>
            <w:r w:rsidRPr="00684853">
              <w:rPr>
                <w:rFonts w:ascii="Times New Roman" w:hAnsi="Times New Roman" w:cs="Times New Roman"/>
                <w:color w:val="000000" w:themeColor="text1"/>
                <w:sz w:val="20"/>
                <w:szCs w:val="20"/>
                <w:lang w:val="ro-RO"/>
              </w:rPr>
              <w:t>aprobat prin HCE al BNM nr.109/2018, prin noțiunea „creanțe privind impozitul amânat care se bazează pe profitabilitatea viitoare”.</w:t>
            </w:r>
          </w:p>
        </w:tc>
      </w:tr>
      <w:tr w:rsidR="00EA59FA" w:rsidRPr="00684853" w14:paraId="51D0297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AF01E17"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108.</w:t>
            </w:r>
            <w:r w:rsidRPr="00684853">
              <w:rPr>
                <w:rFonts w:ascii="Times New Roman" w:hAnsi="Times New Roman"/>
                <w:color w:val="000000" w:themeColor="text1"/>
                <w:sz w:val="20"/>
                <w:szCs w:val="20"/>
                <w:lang w:val="ro-RO"/>
              </w:rPr>
              <w:t xml:space="preserve"> „datorii privind impozitul amânat” au același înțeles ca în cadrul contabil aplicabil;</w:t>
            </w:r>
          </w:p>
        </w:tc>
        <w:tc>
          <w:tcPr>
            <w:tcW w:w="1636" w:type="pct"/>
          </w:tcPr>
          <w:p w14:paraId="78BF284D"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tcPr>
          <w:p w14:paraId="587A0AE8" w14:textId="4F5DEC5B" w:rsidR="00395381" w:rsidRPr="00684853" w:rsidRDefault="002A6E97"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w:t>
            </w:r>
            <w:r w:rsidR="00BB036A" w:rsidRPr="00684853">
              <w:rPr>
                <w:rFonts w:ascii="Times New Roman" w:hAnsi="Times New Roman" w:cs="Times New Roman"/>
                <w:color w:val="000000" w:themeColor="text1"/>
                <w:sz w:val="20"/>
                <w:szCs w:val="20"/>
                <w:lang w:val="ro-RO"/>
              </w:rPr>
              <w:t>netranspuse</w:t>
            </w:r>
          </w:p>
          <w:p w14:paraId="5D0146B6" w14:textId="77777777" w:rsidR="00395381" w:rsidRPr="00684853" w:rsidRDefault="00395381" w:rsidP="0079002D">
            <w:pPr>
              <w:ind w:right="-85"/>
              <w:jc w:val="both"/>
              <w:rPr>
                <w:rFonts w:ascii="Times New Roman" w:hAnsi="Times New Roman" w:cs="Times New Roman"/>
                <w:color w:val="000000" w:themeColor="text1"/>
                <w:sz w:val="20"/>
                <w:szCs w:val="20"/>
                <w:lang w:val="ro-RO"/>
              </w:rPr>
            </w:pPr>
          </w:p>
        </w:tc>
        <w:tc>
          <w:tcPr>
            <w:tcW w:w="885" w:type="pct"/>
          </w:tcPr>
          <w:p w14:paraId="1502AB8E" w14:textId="72445320" w:rsidR="00395381" w:rsidRPr="00684853" w:rsidRDefault="002A6E97"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Având în vedere că 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EA59FA" w:rsidRPr="00684853" w14:paraId="2CBC6F1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9D41579"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109.</w:t>
            </w:r>
            <w:r w:rsidRPr="00684853">
              <w:rPr>
                <w:rFonts w:ascii="Times New Roman" w:hAnsi="Times New Roman"/>
                <w:color w:val="000000" w:themeColor="text1"/>
                <w:sz w:val="20"/>
                <w:szCs w:val="20"/>
                <w:lang w:val="ro-RO"/>
              </w:rPr>
              <w:t xml:space="preserve"> „activele fondului de pensii cu beneficii determinate” înseamnă activele unui plan sau fond de pensii cu beneficii determinate, după caz, calculate după ce s-a scăzut cuantumul obligațiilor care decurg din același fond sau plan;</w:t>
            </w:r>
          </w:p>
        </w:tc>
        <w:tc>
          <w:tcPr>
            <w:tcW w:w="1636" w:type="pct"/>
          </w:tcPr>
          <w:p w14:paraId="184888DE" w14:textId="6A8D5462" w:rsidR="00395381" w:rsidRPr="00684853" w:rsidRDefault="00BB036A" w:rsidP="0079002D">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activele fondului de pensii cu beneficii determinate</w:t>
            </w:r>
            <w:r w:rsidRPr="00684853">
              <w:rPr>
                <w:rFonts w:ascii="Times New Roman" w:hAnsi="Times New Roman" w:cs="Times New Roman"/>
                <w:color w:val="000000" w:themeColor="text1"/>
                <w:sz w:val="20"/>
                <w:szCs w:val="20"/>
                <w:lang w:val="ro-RO"/>
              </w:rPr>
              <w:t xml:space="preserve"> - activele unui plan sau fond de pensii cu beneficii determinate, după caz, calculate după ce s-a scăzut cuantumul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care decurg din </w:t>
            </w:r>
            <w:proofErr w:type="spellStart"/>
            <w:r w:rsidRPr="00684853">
              <w:rPr>
                <w:rFonts w:ascii="Times New Roman" w:hAnsi="Times New Roman" w:cs="Times New Roman"/>
                <w:color w:val="000000" w:themeColor="text1"/>
                <w:sz w:val="20"/>
                <w:szCs w:val="20"/>
                <w:lang w:val="ro-RO"/>
              </w:rPr>
              <w:t>acelaşi</w:t>
            </w:r>
            <w:proofErr w:type="spellEnd"/>
            <w:r w:rsidRPr="00684853">
              <w:rPr>
                <w:rFonts w:ascii="Times New Roman" w:hAnsi="Times New Roman" w:cs="Times New Roman"/>
                <w:color w:val="000000" w:themeColor="text1"/>
                <w:sz w:val="20"/>
                <w:szCs w:val="20"/>
                <w:lang w:val="ro-RO"/>
              </w:rPr>
              <w:t xml:space="preserve"> plan sau fond;</w:t>
            </w:r>
          </w:p>
        </w:tc>
        <w:tc>
          <w:tcPr>
            <w:tcW w:w="562" w:type="pct"/>
          </w:tcPr>
          <w:p w14:paraId="31B7722F"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5A43E21"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tcPr>
          <w:p w14:paraId="68F055A5" w14:textId="76241081"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p.4 din </w:t>
            </w:r>
            <w:r w:rsidRPr="00684853">
              <w:rPr>
                <w:rFonts w:ascii="Times New Roman" w:hAnsi="Times New Roman" w:cs="Times New Roman"/>
                <w:b/>
                <w:color w:val="000000" w:themeColor="text1"/>
                <w:sz w:val="20"/>
                <w:szCs w:val="20"/>
                <w:lang w:val="ro-RO"/>
              </w:rPr>
              <w:t xml:space="preserve">Regulamentul cu privire la fondurile proprii ale băncilor și cerințele de capital </w:t>
            </w:r>
            <w:r w:rsidRPr="00684853">
              <w:rPr>
                <w:rFonts w:ascii="Times New Roman" w:hAnsi="Times New Roman" w:cs="Times New Roman"/>
                <w:color w:val="000000" w:themeColor="text1"/>
                <w:sz w:val="20"/>
                <w:szCs w:val="20"/>
                <w:lang w:val="ro-RO"/>
              </w:rPr>
              <w:t>aprobat prin HCE al BNM nr.109/2018, prin noțiunea „activele fondului de pensii cu beneficii determinate”.</w:t>
            </w:r>
          </w:p>
        </w:tc>
      </w:tr>
      <w:tr w:rsidR="00EA59FA" w:rsidRPr="00684853" w14:paraId="3544E9F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3FE5098" w14:textId="77777777" w:rsidR="00395381" w:rsidRPr="00684853" w:rsidRDefault="00395381" w:rsidP="0079002D">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110.</w:t>
            </w:r>
            <w:r w:rsidRPr="00684853">
              <w:rPr>
                <w:rFonts w:ascii="Times New Roman" w:hAnsi="Times New Roman"/>
                <w:color w:val="000000" w:themeColor="text1"/>
                <w:sz w:val="20"/>
                <w:szCs w:val="20"/>
                <w:lang w:val="ro-RO"/>
              </w:rPr>
              <w:t xml:space="preserve"> „distribuire” înseamnă plata de dividende sau de dobândă sub orice formă;</w:t>
            </w:r>
          </w:p>
        </w:tc>
        <w:tc>
          <w:tcPr>
            <w:tcW w:w="1636" w:type="pct"/>
          </w:tcPr>
          <w:p w14:paraId="5E66BA7F" w14:textId="6E82E039" w:rsidR="00395381" w:rsidRPr="00684853" w:rsidRDefault="00F80D84" w:rsidP="0079002D">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distribuire</w:t>
            </w:r>
            <w:r w:rsidRPr="00684853">
              <w:rPr>
                <w:rFonts w:ascii="Times New Roman" w:hAnsi="Times New Roman" w:cs="Times New Roman"/>
                <w:color w:val="000000" w:themeColor="text1"/>
                <w:sz w:val="20"/>
                <w:szCs w:val="20"/>
                <w:lang w:val="ro-RO"/>
              </w:rPr>
              <w:t xml:space="preserve"> - plata de dividende sau de dobândă sub orice formă;</w:t>
            </w:r>
          </w:p>
        </w:tc>
        <w:tc>
          <w:tcPr>
            <w:tcW w:w="562" w:type="pct"/>
          </w:tcPr>
          <w:p w14:paraId="260D8DD4"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106C2DF"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tcPr>
          <w:p w14:paraId="2B6EE271" w14:textId="14EE8A8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p.4 din </w:t>
            </w:r>
            <w:r w:rsidRPr="00684853">
              <w:rPr>
                <w:rFonts w:ascii="Times New Roman" w:hAnsi="Times New Roman" w:cs="Times New Roman"/>
                <w:b/>
                <w:color w:val="000000" w:themeColor="text1"/>
                <w:sz w:val="20"/>
                <w:szCs w:val="20"/>
                <w:lang w:val="ro-RO"/>
              </w:rPr>
              <w:t xml:space="preserve">Regulamentul cu privire la fondurile proprii ale </w:t>
            </w:r>
            <w:r w:rsidRPr="00684853">
              <w:rPr>
                <w:rFonts w:ascii="Times New Roman" w:hAnsi="Times New Roman" w:cs="Times New Roman"/>
                <w:b/>
                <w:color w:val="000000" w:themeColor="text1"/>
                <w:sz w:val="20"/>
                <w:szCs w:val="20"/>
                <w:lang w:val="ro-RO"/>
              </w:rPr>
              <w:lastRenderedPageBreak/>
              <w:t xml:space="preserve">băncilor și cerințele de capital, </w:t>
            </w:r>
            <w:r w:rsidRPr="00684853">
              <w:rPr>
                <w:rFonts w:ascii="Times New Roman" w:hAnsi="Times New Roman" w:cs="Times New Roman"/>
                <w:color w:val="000000" w:themeColor="text1"/>
                <w:sz w:val="20"/>
                <w:szCs w:val="20"/>
                <w:lang w:val="ro-RO"/>
              </w:rPr>
              <w:t>aprobat prin HCE al BNM nr.109/2018, prin noțiunea „distribuire”</w:t>
            </w:r>
            <w:r w:rsidRPr="00684853">
              <w:rPr>
                <w:rFonts w:ascii="Times New Roman" w:hAnsi="Times New Roman" w:cs="Times New Roman"/>
                <w:b/>
                <w:color w:val="000000" w:themeColor="text1"/>
                <w:sz w:val="20"/>
                <w:szCs w:val="20"/>
                <w:lang w:val="ro-RO"/>
              </w:rPr>
              <w:t>.</w:t>
            </w:r>
          </w:p>
        </w:tc>
      </w:tr>
      <w:tr w:rsidR="00EA59FA" w:rsidRPr="00684853" w14:paraId="0ADFF78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FD0116E" w14:textId="77777777" w:rsidR="00395381" w:rsidRPr="00684853" w:rsidRDefault="00395381" w:rsidP="0079002D">
            <w:pPr>
              <w:pStyle w:val="CM1"/>
              <w:spacing w:before="200" w:after="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111. </w:t>
            </w:r>
            <w:r w:rsidRPr="00684853">
              <w:rPr>
                <w:rFonts w:ascii="Times New Roman" w:eastAsia="Calibri" w:hAnsi="Times New Roman"/>
                <w:color w:val="000000" w:themeColor="text1"/>
                <w:sz w:val="20"/>
                <w:szCs w:val="20"/>
                <w:lang w:val="ro-RO"/>
              </w:rPr>
              <w:t>„întreprindere financiară” are același înțeles ca la articolul 13 punctul 25 literele (b) și (d) din Directiva 2009/138/CE;</w:t>
            </w:r>
          </w:p>
        </w:tc>
        <w:tc>
          <w:tcPr>
            <w:tcW w:w="1636" w:type="pct"/>
          </w:tcPr>
          <w:p w14:paraId="5C396FFE"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tcPr>
          <w:p w14:paraId="228A449B" w14:textId="4235DEBF" w:rsidR="00395381" w:rsidRPr="00684853" w:rsidRDefault="0054698A"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2D76C647" w14:textId="77777777" w:rsidR="00395381" w:rsidRPr="00684853" w:rsidRDefault="00395381" w:rsidP="0079002D">
            <w:pPr>
              <w:jc w:val="both"/>
              <w:rPr>
                <w:rFonts w:ascii="Times New Roman" w:hAnsi="Times New Roman" w:cs="Times New Roman"/>
                <w:color w:val="000000" w:themeColor="text1"/>
                <w:sz w:val="20"/>
                <w:szCs w:val="20"/>
                <w:highlight w:val="yellow"/>
                <w:lang w:val="ro-RO"/>
              </w:rPr>
            </w:pPr>
          </w:p>
        </w:tc>
        <w:tc>
          <w:tcPr>
            <w:tcW w:w="885" w:type="pct"/>
          </w:tcPr>
          <w:p w14:paraId="40A14EB6" w14:textId="549E9F6B" w:rsidR="00395381" w:rsidRPr="00684853" w:rsidRDefault="00536978" w:rsidP="00536978">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nr.112/2018 cu privire la tehnicile de diminuare a riscului de credit utilizate de bănci.</w:t>
            </w:r>
          </w:p>
        </w:tc>
      </w:tr>
      <w:tr w:rsidR="00EA59FA" w:rsidRPr="00684853" w14:paraId="2DC0853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D269FAC" w14:textId="4FF92C01" w:rsidR="00395381" w:rsidRPr="00684853" w:rsidRDefault="00395381" w:rsidP="0079002D">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112.</w:t>
            </w:r>
            <w:r w:rsidRPr="00684853">
              <w:rPr>
                <w:rFonts w:ascii="Times New Roman" w:hAnsi="Times New Roman"/>
                <w:color w:val="000000" w:themeColor="text1"/>
                <w:sz w:val="20"/>
                <w:szCs w:val="20"/>
                <w:lang w:val="ro-RO"/>
              </w:rPr>
              <w:t xml:space="preserve"> „fonduri pentru riscuri bancare generale” au același înțeles ca la articolul 38 din Directiva 86/635/CEE;</w:t>
            </w:r>
          </w:p>
        </w:tc>
        <w:tc>
          <w:tcPr>
            <w:tcW w:w="1636" w:type="pct"/>
          </w:tcPr>
          <w:p w14:paraId="5DC86FD6"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tcPr>
          <w:p w14:paraId="6D774339" w14:textId="560F0D4A" w:rsidR="00395381" w:rsidRPr="00684853" w:rsidRDefault="008A1FF1" w:rsidP="0079002D">
            <w:pPr>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p w14:paraId="135AE3C9" w14:textId="77777777" w:rsidR="00395381" w:rsidRPr="00684853" w:rsidRDefault="00395381" w:rsidP="0079002D">
            <w:pPr>
              <w:ind w:right="-85"/>
              <w:jc w:val="both"/>
              <w:rPr>
                <w:rFonts w:ascii="Times New Roman" w:hAnsi="Times New Roman" w:cs="Times New Roman"/>
                <w:color w:val="000000" w:themeColor="text1"/>
                <w:sz w:val="20"/>
                <w:szCs w:val="20"/>
                <w:highlight w:val="yellow"/>
                <w:lang w:val="ro-RO"/>
              </w:rPr>
            </w:pPr>
          </w:p>
        </w:tc>
        <w:tc>
          <w:tcPr>
            <w:tcW w:w="885" w:type="pct"/>
          </w:tcPr>
          <w:p w14:paraId="20E15616" w14:textId="634C3FB6" w:rsidR="00395381" w:rsidRPr="00684853" w:rsidRDefault="009B11F1" w:rsidP="0079002D">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EA59FA" w:rsidRPr="00684853" w14:paraId="21F932C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DC39E3E" w14:textId="07080830" w:rsidR="00395381" w:rsidRPr="00684853" w:rsidRDefault="00395381" w:rsidP="0013784F">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113. </w:t>
            </w:r>
            <w:r w:rsidRPr="00684853">
              <w:rPr>
                <w:rFonts w:ascii="Times New Roman" w:hAnsi="Times New Roman"/>
                <w:color w:val="000000" w:themeColor="text1"/>
                <w:sz w:val="20"/>
                <w:szCs w:val="20"/>
                <w:lang w:val="ro-RO"/>
              </w:rPr>
              <w:t>„fond comercial” are același înțeles ca în cadrul contabil aplicabil (</w:t>
            </w:r>
            <w:proofErr w:type="spellStart"/>
            <w:r w:rsidRPr="00684853">
              <w:rPr>
                <w:rFonts w:ascii="Times New Roman" w:hAnsi="Times New Roman"/>
                <w:color w:val="000000" w:themeColor="text1"/>
                <w:sz w:val="20"/>
                <w:szCs w:val="20"/>
                <w:lang w:val="ro-RO"/>
              </w:rPr>
              <w:t>Goodwill</w:t>
            </w:r>
            <w:proofErr w:type="spellEnd"/>
            <w:r w:rsidRPr="00684853">
              <w:rPr>
                <w:rFonts w:ascii="Times New Roman" w:hAnsi="Times New Roman"/>
                <w:color w:val="000000" w:themeColor="text1"/>
                <w:sz w:val="20"/>
                <w:szCs w:val="20"/>
                <w:lang w:val="ro-RO"/>
              </w:rPr>
              <w:t>);</w:t>
            </w:r>
          </w:p>
        </w:tc>
        <w:tc>
          <w:tcPr>
            <w:tcW w:w="1636" w:type="pct"/>
          </w:tcPr>
          <w:p w14:paraId="649A95C0"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tcPr>
          <w:p w14:paraId="7183B845" w14:textId="32F83D8F" w:rsidR="00395381" w:rsidRPr="00684853" w:rsidRDefault="009B11F1" w:rsidP="009B11F1">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Norme UE neaplicabile</w:t>
            </w:r>
          </w:p>
        </w:tc>
        <w:tc>
          <w:tcPr>
            <w:tcW w:w="885" w:type="pct"/>
          </w:tcPr>
          <w:p w14:paraId="6541363C" w14:textId="5B057C73" w:rsidR="00395381" w:rsidRPr="00684853" w:rsidRDefault="009B11F1" w:rsidP="0079002D">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w:t>
            </w:r>
            <w:r w:rsidRPr="00684853">
              <w:rPr>
                <w:rFonts w:ascii="Times New Roman" w:hAnsi="Times New Roman" w:cs="Times New Roman"/>
                <w:color w:val="000000" w:themeColor="text1"/>
                <w:sz w:val="20"/>
                <w:szCs w:val="20"/>
                <w:lang w:val="ro-RO"/>
              </w:rPr>
              <w:lastRenderedPageBreak/>
              <w:t>necesară transpunerea noțiunii.</w:t>
            </w:r>
          </w:p>
        </w:tc>
      </w:tr>
      <w:tr w:rsidR="00EA59FA" w:rsidRPr="00684853" w14:paraId="4CF35C1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A54DB4E" w14:textId="77777777" w:rsidR="00B54694" w:rsidRPr="00684853" w:rsidRDefault="00B54694" w:rsidP="0079002D">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701EE658" w14:textId="5C7B3454" w:rsidR="00395381" w:rsidRPr="00684853" w:rsidRDefault="00395381" w:rsidP="0079002D">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114. </w:t>
            </w:r>
            <w:r w:rsidRPr="00684853">
              <w:rPr>
                <w:rFonts w:ascii="Times New Roman" w:hAnsi="Times New Roman"/>
                <w:color w:val="000000" w:themeColor="text1"/>
                <w:sz w:val="20"/>
                <w:szCs w:val="20"/>
                <w:lang w:val="ro-RO"/>
              </w:rPr>
              <w:t xml:space="preserve">„deținere indirectă” înseamnă orice expunere față de o entitate intermediară care deține o expunere față de instrumentele de capital emise de o entitate din sectorul financiar </w:t>
            </w:r>
            <w:bookmarkStart w:id="6" w:name="_Hlk193386778"/>
            <w:r w:rsidR="00B54694" w:rsidRPr="00684853">
              <w:rPr>
                <w:rFonts w:ascii="Times New Roman" w:hAnsi="Times New Roman"/>
                <w:color w:val="000000" w:themeColor="text1"/>
                <w:sz w:val="20"/>
                <w:szCs w:val="20"/>
                <w:lang w:val="ro-RO"/>
              </w:rPr>
              <w:t>sau față de pasive emise de o instituție în cazul căreia, dacă</w:t>
            </w:r>
            <w:bookmarkEnd w:id="6"/>
            <w:r w:rsidRPr="00684853">
              <w:rPr>
                <w:rFonts w:ascii="Times New Roman" w:hAnsi="Times New Roman"/>
                <w:color w:val="000000" w:themeColor="text1"/>
                <w:sz w:val="20"/>
                <w:szCs w:val="20"/>
                <w:lang w:val="ro-RO"/>
              </w:rPr>
              <w:t xml:space="preserve"> valoarea instrumentele de capital emise de entitatea din sectorul financiar </w:t>
            </w:r>
            <w:bookmarkStart w:id="7" w:name="_Hlk193386825"/>
            <w:r w:rsidR="00B54694" w:rsidRPr="00684853">
              <w:rPr>
                <w:rFonts w:ascii="Times New Roman" w:hAnsi="Times New Roman"/>
                <w:color w:val="000000" w:themeColor="text1"/>
                <w:sz w:val="20"/>
                <w:szCs w:val="20"/>
                <w:lang w:val="ro-RO"/>
              </w:rPr>
              <w:t xml:space="preserve">sau a pasivelor emise de instituție </w:t>
            </w:r>
            <w:bookmarkEnd w:id="7"/>
            <w:r w:rsidRPr="00684853">
              <w:rPr>
                <w:rFonts w:ascii="Times New Roman" w:hAnsi="Times New Roman"/>
                <w:color w:val="000000" w:themeColor="text1"/>
                <w:sz w:val="20"/>
                <w:szCs w:val="20"/>
                <w:lang w:val="ro-RO"/>
              </w:rPr>
              <w:t xml:space="preserve">ar fi </w:t>
            </w:r>
            <w:bookmarkStart w:id="8" w:name="_Hlk193386816"/>
            <w:r w:rsidR="00B54694" w:rsidRPr="00684853">
              <w:rPr>
                <w:rFonts w:ascii="Times New Roman" w:hAnsi="Times New Roman"/>
                <w:color w:val="000000" w:themeColor="text1"/>
                <w:sz w:val="20"/>
                <w:szCs w:val="20"/>
                <w:lang w:val="ro-RO"/>
              </w:rPr>
              <w:t>scoasă în afara bilanțului definitiv</w:t>
            </w:r>
            <w:bookmarkEnd w:id="8"/>
            <w:r w:rsidRPr="00684853">
              <w:rPr>
                <w:rFonts w:ascii="Times New Roman" w:hAnsi="Times New Roman"/>
                <w:color w:val="000000" w:themeColor="text1"/>
                <w:sz w:val="20"/>
                <w:szCs w:val="20"/>
                <w:lang w:val="ro-RO"/>
              </w:rPr>
              <w:t>, pierderile înregistrate în consecință de respectiva instituție nu ar fi semnificativ diferite de pierderile pe care instituția le-ar înregistra ca urmare a deținerii directe a acelor instrumente de capital emise de entitatea din sectorul financiar</w:t>
            </w:r>
            <w:r w:rsidR="00B54694" w:rsidRPr="00684853">
              <w:rPr>
                <w:color w:val="000000" w:themeColor="text1"/>
              </w:rPr>
              <w:t xml:space="preserve"> </w:t>
            </w:r>
            <w:bookmarkStart w:id="9" w:name="_Hlk193386837"/>
            <w:r w:rsidR="00B54694" w:rsidRPr="00684853">
              <w:rPr>
                <w:rFonts w:ascii="Times New Roman" w:hAnsi="Times New Roman"/>
                <w:color w:val="000000" w:themeColor="text1"/>
                <w:sz w:val="20"/>
                <w:szCs w:val="20"/>
                <w:lang w:val="ro-RO"/>
              </w:rPr>
              <w:t>sau a acelor pasive emise de instituție</w:t>
            </w:r>
            <w:bookmarkEnd w:id="9"/>
            <w:r w:rsidRPr="00684853">
              <w:rPr>
                <w:rFonts w:ascii="Times New Roman" w:hAnsi="Times New Roman"/>
                <w:color w:val="000000" w:themeColor="text1"/>
                <w:sz w:val="20"/>
                <w:szCs w:val="20"/>
                <w:lang w:val="ro-RO"/>
              </w:rPr>
              <w:t>;</w:t>
            </w:r>
          </w:p>
        </w:tc>
        <w:tc>
          <w:tcPr>
            <w:tcW w:w="1636" w:type="pct"/>
          </w:tcPr>
          <w:p w14:paraId="270FC015" w14:textId="44A7EBFE" w:rsidR="00395381" w:rsidRPr="00684853" w:rsidRDefault="00D34BAD" w:rsidP="009B11F1">
            <w:pPr>
              <w:spacing w:line="276"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deținere indirectă</w:t>
            </w:r>
            <w:r w:rsidRPr="00684853">
              <w:rPr>
                <w:rFonts w:ascii="Times New Roman" w:eastAsia="Times New Roman" w:hAnsi="Times New Roman" w:cs="Times New Roman"/>
                <w:color w:val="000000" w:themeColor="text1"/>
                <w:sz w:val="20"/>
                <w:szCs w:val="20"/>
                <w:lang w:val="ro-RO" w:eastAsia="ro-MD"/>
              </w:rPr>
              <w:t xml:space="preserve"> - orice expunere față de o entitate intermediară care deține o expunere față de instrumentele de capital emise de o entitate din sectorul financiar sau față de pasive emise de o banc</w:t>
            </w:r>
            <w:r w:rsidRPr="00684853">
              <w:rPr>
                <w:rFonts w:ascii="Times New Roman" w:eastAsia="Times New Roman" w:hAnsi="Times New Roman" w:cs="Times New Roman"/>
                <w:color w:val="000000" w:themeColor="text1"/>
                <w:sz w:val="20"/>
                <w:szCs w:val="20"/>
                <w:lang w:eastAsia="ro-MD"/>
              </w:rPr>
              <w:t>ă</w:t>
            </w:r>
            <w:r w:rsidRPr="00684853">
              <w:rPr>
                <w:rFonts w:ascii="Times New Roman" w:eastAsia="Times New Roman" w:hAnsi="Times New Roman" w:cs="Times New Roman"/>
                <w:color w:val="000000" w:themeColor="text1"/>
                <w:sz w:val="20"/>
                <w:szCs w:val="20"/>
                <w:lang w:val="ro-RO" w:eastAsia="ro-MD"/>
              </w:rPr>
              <w:t xml:space="preserve"> în cazul căreia, dacă valoarea instrumentelor de capital emise de entitatea din sectorul financiar sau a pasivelor emise de bancă ar fi scoasă în afara bilanțului definitiv, pierderile înregistrate în consecință de respectiva bancă nu ar fi semnificativ diferite de pierderile pe care aceasta le-ar înregistra ca urmare a deținerii directe a acelor instrumente de capital emise de entitatea din sectorul financiar</w:t>
            </w:r>
            <w:r w:rsidRPr="00684853">
              <w:rPr>
                <w:color w:val="000000" w:themeColor="text1"/>
                <w:sz w:val="20"/>
                <w:szCs w:val="20"/>
              </w:rPr>
              <w:t xml:space="preserve"> </w:t>
            </w:r>
            <w:r w:rsidRPr="00684853">
              <w:rPr>
                <w:rFonts w:ascii="Times New Roman" w:eastAsia="Times New Roman" w:hAnsi="Times New Roman" w:cs="Times New Roman"/>
                <w:color w:val="000000" w:themeColor="text1"/>
                <w:sz w:val="20"/>
                <w:szCs w:val="20"/>
                <w:lang w:val="ro-RO" w:eastAsia="ro-MD"/>
              </w:rPr>
              <w:t>sau a acelor pasive emise de bancă;</w:t>
            </w:r>
          </w:p>
          <w:p w14:paraId="6C77B22E" w14:textId="41355671" w:rsidR="00F55F2B" w:rsidRPr="00684853" w:rsidRDefault="000E596B" w:rsidP="000E596B">
            <w:pPr>
              <w:rPr>
                <w:rFonts w:ascii="Times New Roman" w:hAnsi="Times New Roman" w:cs="Times New Roman"/>
                <w:color w:val="000000" w:themeColor="text1"/>
                <w:sz w:val="20"/>
                <w:szCs w:val="20"/>
              </w:rPr>
            </w:pPr>
            <w:proofErr w:type="spellStart"/>
            <w:r w:rsidRPr="00684853">
              <w:rPr>
                <w:rFonts w:ascii="Times New Roman" w:hAnsi="Times New Roman" w:cs="Times New Roman"/>
                <w:i/>
                <w:iCs/>
                <w:color w:val="000000" w:themeColor="text1"/>
                <w:sz w:val="20"/>
                <w:szCs w:val="20"/>
              </w:rPr>
              <w:t>Modificat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62" w:type="pct"/>
          </w:tcPr>
          <w:p w14:paraId="46FB846C" w14:textId="585938A9" w:rsidR="00395381" w:rsidRPr="00684853" w:rsidRDefault="00F55F2B"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w:t>
            </w:r>
            <w:r w:rsidR="00395381" w:rsidRPr="00684853">
              <w:rPr>
                <w:rFonts w:ascii="Times New Roman" w:hAnsi="Times New Roman" w:cs="Times New Roman"/>
                <w:color w:val="000000" w:themeColor="text1"/>
                <w:sz w:val="20"/>
                <w:szCs w:val="20"/>
                <w:lang w:val="ro-RO"/>
              </w:rPr>
              <w:t>ompatibil</w:t>
            </w:r>
          </w:p>
          <w:p w14:paraId="3A140ADC"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tcPr>
          <w:p w14:paraId="2DF17BC8" w14:textId="686D93F0"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p.4 din </w:t>
            </w:r>
            <w:r w:rsidRPr="00684853">
              <w:rPr>
                <w:rFonts w:ascii="Times New Roman" w:hAnsi="Times New Roman" w:cs="Times New Roman"/>
                <w:b/>
                <w:color w:val="000000" w:themeColor="text1"/>
                <w:sz w:val="20"/>
                <w:szCs w:val="20"/>
                <w:lang w:val="ro-RO"/>
              </w:rPr>
              <w:t xml:space="preserve">Regulamentul cu privire la fondurile proprii ale băncilor și cerințele de capital, </w:t>
            </w:r>
            <w:r w:rsidRPr="00684853">
              <w:rPr>
                <w:rFonts w:ascii="Times New Roman" w:hAnsi="Times New Roman" w:cs="Times New Roman"/>
                <w:color w:val="000000" w:themeColor="text1"/>
                <w:sz w:val="20"/>
                <w:szCs w:val="20"/>
                <w:lang w:val="ro-RO"/>
              </w:rPr>
              <w:t>aprobat prin HCE al BNM nr.109/2018 prin noțiunea „deținere indirectă”.</w:t>
            </w:r>
          </w:p>
        </w:tc>
      </w:tr>
      <w:tr w:rsidR="00EA59FA" w:rsidRPr="00684853" w14:paraId="42FD417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F214A75" w14:textId="77777777" w:rsidR="00395381" w:rsidRPr="00684853" w:rsidRDefault="00395381" w:rsidP="0079002D">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115. </w:t>
            </w:r>
            <w:r w:rsidRPr="00684853">
              <w:rPr>
                <w:rFonts w:ascii="Times New Roman" w:hAnsi="Times New Roman"/>
                <w:color w:val="000000" w:themeColor="text1"/>
                <w:sz w:val="20"/>
                <w:szCs w:val="20"/>
                <w:lang w:val="ro-RO"/>
              </w:rPr>
              <w:t>„imobilizări necorporale” au același înțeles ca în cadrul contabil aplicabil;</w:t>
            </w:r>
          </w:p>
        </w:tc>
        <w:tc>
          <w:tcPr>
            <w:tcW w:w="1636" w:type="pct"/>
          </w:tcPr>
          <w:p w14:paraId="2B322B65" w14:textId="77777777" w:rsidR="00395381" w:rsidRPr="00684853" w:rsidRDefault="00395381" w:rsidP="0079002D">
            <w:pPr>
              <w:spacing w:line="276" w:lineRule="auto"/>
              <w:rPr>
                <w:rFonts w:ascii="Times New Roman" w:hAnsi="Times New Roman" w:cs="Times New Roman"/>
                <w:color w:val="000000" w:themeColor="text1"/>
                <w:sz w:val="20"/>
                <w:szCs w:val="20"/>
                <w:lang w:val="ro-RO"/>
              </w:rPr>
            </w:pPr>
          </w:p>
        </w:tc>
        <w:tc>
          <w:tcPr>
            <w:tcW w:w="562" w:type="pct"/>
          </w:tcPr>
          <w:p w14:paraId="3EB780B5" w14:textId="12ECCAAA" w:rsidR="00395381" w:rsidRPr="00684853" w:rsidRDefault="00F706F5" w:rsidP="0079002D">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p w14:paraId="20D17061" w14:textId="77777777" w:rsidR="00395381" w:rsidRPr="00684853" w:rsidRDefault="00395381" w:rsidP="0079002D">
            <w:pPr>
              <w:ind w:right="-85"/>
              <w:jc w:val="both"/>
              <w:rPr>
                <w:rFonts w:ascii="Times New Roman" w:hAnsi="Times New Roman" w:cs="Times New Roman"/>
                <w:color w:val="000000" w:themeColor="text1"/>
                <w:sz w:val="20"/>
                <w:szCs w:val="20"/>
                <w:highlight w:val="yellow"/>
                <w:lang w:val="ro-RO"/>
              </w:rPr>
            </w:pPr>
          </w:p>
        </w:tc>
        <w:tc>
          <w:tcPr>
            <w:tcW w:w="885" w:type="pct"/>
          </w:tcPr>
          <w:p w14:paraId="1DD0FDCD" w14:textId="0B60A273" w:rsidR="00395381" w:rsidRPr="00684853" w:rsidRDefault="009B11F1" w:rsidP="0079002D">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EA59FA" w:rsidRPr="00684853" w14:paraId="106380F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8C5E11B" w14:textId="77777777" w:rsidR="00395381" w:rsidRPr="00684853" w:rsidRDefault="00395381" w:rsidP="00B13923">
            <w:pPr>
              <w:pStyle w:val="CM1"/>
              <w:spacing w:before="200" w:after="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116. </w:t>
            </w:r>
            <w:r w:rsidRPr="00684853">
              <w:rPr>
                <w:rFonts w:ascii="Times New Roman" w:eastAsia="Calibri" w:hAnsi="Times New Roman"/>
                <w:color w:val="000000" w:themeColor="text1"/>
                <w:sz w:val="20"/>
                <w:szCs w:val="20"/>
                <w:lang w:val="ro-RO"/>
              </w:rPr>
              <w:t>„alte instrumente de capital” înseamnă instrumente de capital emise de entități din sectorul financiar care nu pot fi considerate drept instrumente de fonduri proprii de nivel 1 de bază, instrumente de fonduri proprii de nivel 1 suplimentar sau instrumente de fonduri proprii de nivel 2, elemente ale fondurilor proprii de nivel 1 specifice întreprinderilor de asigurare, elemente ale fondurilor proprii de nivel 1 suplimentar specifice întreprinderilor de asigurare, elemente ale fondurilor proprii de nivel 2 specifice întreprinderilor de asigurare sau elemente ale fondurilor proprii de nivel 3 specifice întreprinderilor de asigurare;</w:t>
            </w:r>
          </w:p>
        </w:tc>
        <w:tc>
          <w:tcPr>
            <w:tcW w:w="1636" w:type="pct"/>
          </w:tcPr>
          <w:p w14:paraId="3202CB3E" w14:textId="77777777" w:rsidR="00395381" w:rsidRPr="00684853" w:rsidRDefault="00BF36FE" w:rsidP="00BF36FE">
            <w:pPr>
              <w:spacing w:line="276" w:lineRule="auto"/>
              <w:jc w:val="both"/>
              <w:rPr>
                <w:rFonts w:ascii="Times New Roman" w:hAnsi="Times New Roman" w:cs="Times New Roman"/>
                <w:color w:val="000000" w:themeColor="text1"/>
                <w:sz w:val="20"/>
                <w:szCs w:val="20"/>
                <w:lang w:val="ro-RO"/>
              </w:rPr>
            </w:pPr>
            <w:bookmarkStart w:id="10" w:name="_Hlk209442990"/>
            <w:r w:rsidRPr="00684853">
              <w:rPr>
                <w:rFonts w:ascii="Times New Roman" w:hAnsi="Times New Roman" w:cs="Times New Roman"/>
                <w:b/>
                <w:bCs/>
                <w:color w:val="000000" w:themeColor="text1"/>
                <w:sz w:val="20"/>
                <w:szCs w:val="20"/>
                <w:lang w:val="ro-RO"/>
              </w:rPr>
              <w:t>alte instrumente de capital</w:t>
            </w:r>
            <w:r w:rsidRPr="00684853">
              <w:rPr>
                <w:rFonts w:ascii="Times New Roman" w:hAnsi="Times New Roman" w:cs="Times New Roman"/>
                <w:color w:val="000000" w:themeColor="text1"/>
                <w:sz w:val="20"/>
                <w:szCs w:val="20"/>
                <w:lang w:val="ro-RO"/>
              </w:rPr>
              <w:t xml:space="preserve"> - instrumente de capital emise de entități din sectorul financiar care nu pot fi considerate drept instrumente de fonduri proprii de nivel 1 de bază, instrumente de fonduri proprii de nivel 1 suplimentar sau instrumente de fonduri proprii de nivel 2, elemente ale fondurilor proprii de nivel 1 specifice întreprinderilor de asigurare, elemente ale fondurilor proprii de nivel 1 suplimentar specifice întreprinderilor de asigurare, elemente ale fondurilor proprii de nivel 2 specifice întreprinderilor de asigurare sau elemente ale fondurilor proprii de nivel 3 specifice întreprinderilor de asigurare;</w:t>
            </w:r>
          </w:p>
          <w:bookmarkEnd w:id="10"/>
          <w:p w14:paraId="2A597EFC" w14:textId="5DAFF8D9" w:rsidR="00BF36FE" w:rsidRPr="00684853" w:rsidRDefault="00BF36FE" w:rsidP="00BF36FE">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62" w:type="pct"/>
          </w:tcPr>
          <w:p w14:paraId="064ED769" w14:textId="77777777" w:rsidR="000E596B" w:rsidRPr="00684853" w:rsidRDefault="000E596B" w:rsidP="000E596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5036EB41" w14:textId="77777777" w:rsidR="00395381" w:rsidRPr="00684853" w:rsidRDefault="00395381" w:rsidP="000E596B">
            <w:pPr>
              <w:ind w:right="-85"/>
              <w:jc w:val="both"/>
              <w:rPr>
                <w:rFonts w:ascii="Times New Roman" w:hAnsi="Times New Roman" w:cs="Times New Roman"/>
                <w:color w:val="000000" w:themeColor="text1"/>
                <w:sz w:val="20"/>
                <w:szCs w:val="20"/>
                <w:highlight w:val="yellow"/>
                <w:lang w:val="ro-RO"/>
              </w:rPr>
            </w:pPr>
          </w:p>
        </w:tc>
        <w:tc>
          <w:tcPr>
            <w:tcW w:w="885" w:type="pct"/>
          </w:tcPr>
          <w:p w14:paraId="65EBF853" w14:textId="501BA8E9" w:rsidR="00395381" w:rsidRPr="00684853" w:rsidRDefault="00395381" w:rsidP="00813242">
            <w:pPr>
              <w:jc w:val="both"/>
              <w:rPr>
                <w:rFonts w:ascii="Times New Roman" w:hAnsi="Times New Roman" w:cs="Times New Roman"/>
                <w:color w:val="000000" w:themeColor="text1"/>
                <w:sz w:val="20"/>
                <w:szCs w:val="20"/>
                <w:highlight w:val="yellow"/>
                <w:lang w:val="ro-RO"/>
              </w:rPr>
            </w:pPr>
          </w:p>
        </w:tc>
      </w:tr>
      <w:tr w:rsidR="00EA59FA" w:rsidRPr="00684853" w14:paraId="6FD3ABF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45637B3" w14:textId="77777777" w:rsidR="00395381" w:rsidRPr="00684853" w:rsidRDefault="00395381" w:rsidP="00B13923">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117. </w:t>
            </w:r>
            <w:r w:rsidRPr="00684853">
              <w:rPr>
                <w:rFonts w:ascii="Times New Roman" w:hAnsi="Times New Roman"/>
                <w:color w:val="000000" w:themeColor="text1"/>
                <w:sz w:val="20"/>
                <w:szCs w:val="20"/>
                <w:lang w:val="ro-RO"/>
              </w:rPr>
              <w:t>„alte rezerve” înseamnă rezerve în sensul cadrului contabil aplicabil care fac obiectul obligațiilor de publicare în temeiul respectivului standard contabil aplicabil, cu excepția sumelor deja incluse în alte elemente ale rezultatului global acumulate sau în rezultatul reportat;</w:t>
            </w:r>
          </w:p>
        </w:tc>
        <w:tc>
          <w:tcPr>
            <w:tcW w:w="1636" w:type="pct"/>
          </w:tcPr>
          <w:p w14:paraId="0AA3B6EE" w14:textId="7C57F900" w:rsidR="00395381" w:rsidRPr="00684853" w:rsidRDefault="00395381" w:rsidP="00B13923">
            <w:pPr>
              <w:pStyle w:val="CM4"/>
              <w:spacing w:after="120"/>
              <w:jc w:val="both"/>
              <w:rPr>
                <w:rFonts w:ascii="Times New Roman" w:hAnsi="Times New Roman"/>
                <w:color w:val="000000" w:themeColor="text1"/>
                <w:sz w:val="20"/>
                <w:szCs w:val="20"/>
                <w:lang w:val="ro-RO"/>
              </w:rPr>
            </w:pPr>
            <w:r w:rsidRPr="00684853">
              <w:rPr>
                <w:rFonts w:ascii="Times New Roman" w:hAnsi="Times New Roman"/>
                <w:b/>
                <w:bCs/>
                <w:color w:val="000000" w:themeColor="text1"/>
                <w:sz w:val="20"/>
                <w:szCs w:val="20"/>
                <w:lang w:val="ro-RO"/>
              </w:rPr>
              <w:t>11.</w:t>
            </w:r>
            <w:r w:rsidRPr="00684853">
              <w:rPr>
                <w:rFonts w:ascii="Times New Roman" w:hAnsi="Times New Roman"/>
                <w:color w:val="000000" w:themeColor="text1"/>
                <w:sz w:val="20"/>
                <w:szCs w:val="20"/>
                <w:lang w:val="ro-RO"/>
              </w:rPr>
              <w:t xml:space="preserve"> În sensul punctului 10 subpunctul 5) prin alte rezerve se </w:t>
            </w:r>
            <w:proofErr w:type="spellStart"/>
            <w:r w:rsidRPr="00684853">
              <w:rPr>
                <w:rFonts w:ascii="Times New Roman" w:hAnsi="Times New Roman"/>
                <w:color w:val="000000" w:themeColor="text1"/>
                <w:sz w:val="20"/>
                <w:szCs w:val="20"/>
                <w:lang w:val="ro-RO"/>
              </w:rPr>
              <w:t>subînţeleg</w:t>
            </w:r>
            <w:proofErr w:type="spellEnd"/>
            <w:r w:rsidRPr="00684853">
              <w:rPr>
                <w:rFonts w:ascii="Times New Roman" w:hAnsi="Times New Roman"/>
                <w:color w:val="000000" w:themeColor="text1"/>
                <w:sz w:val="20"/>
                <w:szCs w:val="20"/>
                <w:lang w:val="ro-RO"/>
              </w:rPr>
              <w:t xml:space="preserve"> rezervele în sensul cadrului contabil care fac obiectul </w:t>
            </w:r>
            <w:proofErr w:type="spellStart"/>
            <w:r w:rsidRPr="00684853">
              <w:rPr>
                <w:rFonts w:ascii="Times New Roman" w:hAnsi="Times New Roman"/>
                <w:color w:val="000000" w:themeColor="text1"/>
                <w:sz w:val="20"/>
                <w:szCs w:val="20"/>
                <w:lang w:val="ro-RO"/>
              </w:rPr>
              <w:t>obligaţiilor</w:t>
            </w:r>
            <w:proofErr w:type="spellEnd"/>
            <w:r w:rsidRPr="00684853">
              <w:rPr>
                <w:rFonts w:ascii="Times New Roman" w:hAnsi="Times New Roman"/>
                <w:color w:val="000000" w:themeColor="text1"/>
                <w:sz w:val="20"/>
                <w:szCs w:val="20"/>
                <w:lang w:val="ro-RO"/>
              </w:rPr>
              <w:t xml:space="preserve"> de publicare în temeiul Standardului </w:t>
            </w:r>
            <w:proofErr w:type="spellStart"/>
            <w:r w:rsidRPr="00684853">
              <w:rPr>
                <w:rFonts w:ascii="Times New Roman" w:hAnsi="Times New Roman"/>
                <w:color w:val="000000" w:themeColor="text1"/>
                <w:sz w:val="20"/>
                <w:szCs w:val="20"/>
                <w:lang w:val="ro-RO"/>
              </w:rPr>
              <w:t>Internaţional</w:t>
            </w:r>
            <w:proofErr w:type="spellEnd"/>
            <w:r w:rsidRPr="00684853">
              <w:rPr>
                <w:rFonts w:ascii="Times New Roman" w:hAnsi="Times New Roman"/>
                <w:color w:val="000000" w:themeColor="text1"/>
                <w:sz w:val="20"/>
                <w:szCs w:val="20"/>
                <w:lang w:val="ro-RO"/>
              </w:rPr>
              <w:t xml:space="preserve"> de Raportare Financiară aplicabil, cu </w:t>
            </w:r>
            <w:proofErr w:type="spellStart"/>
            <w:r w:rsidRPr="00684853">
              <w:rPr>
                <w:rFonts w:ascii="Times New Roman" w:hAnsi="Times New Roman"/>
                <w:color w:val="000000" w:themeColor="text1"/>
                <w:sz w:val="20"/>
                <w:szCs w:val="20"/>
                <w:lang w:val="ro-RO"/>
              </w:rPr>
              <w:t>excepţia</w:t>
            </w:r>
            <w:proofErr w:type="spellEnd"/>
            <w:r w:rsidRPr="00684853">
              <w:rPr>
                <w:rFonts w:ascii="Times New Roman" w:hAnsi="Times New Roman"/>
                <w:color w:val="000000" w:themeColor="text1"/>
                <w:sz w:val="20"/>
                <w:szCs w:val="20"/>
                <w:lang w:val="ro-RO"/>
              </w:rPr>
              <w:t xml:space="preserve"> sumelor deja incluse în alte elemente ale rezultatului global acumulate sau în rezultatul reportat.</w:t>
            </w:r>
          </w:p>
        </w:tc>
        <w:tc>
          <w:tcPr>
            <w:tcW w:w="562" w:type="pct"/>
          </w:tcPr>
          <w:p w14:paraId="45AD8753"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D2D6434"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tcPr>
          <w:p w14:paraId="4169EBB1" w14:textId="4F39BB4B" w:rsidR="00395381" w:rsidRPr="00684853" w:rsidRDefault="00395381" w:rsidP="00813242">
            <w:pPr>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Regulamentul </w:t>
            </w:r>
            <w:r w:rsidR="001357D0" w:rsidRPr="00684853">
              <w:rPr>
                <w:rFonts w:ascii="Times New Roman" w:hAnsi="Times New Roman" w:cs="Times New Roman"/>
                <w:bCs/>
                <w:color w:val="000000" w:themeColor="text1"/>
                <w:sz w:val="20"/>
                <w:szCs w:val="20"/>
                <w:lang w:val="ro-RO"/>
              </w:rPr>
              <w:t xml:space="preserve">nr.109/2018 </w:t>
            </w:r>
            <w:r w:rsidRPr="00684853">
              <w:rPr>
                <w:rFonts w:ascii="Times New Roman" w:hAnsi="Times New Roman" w:cs="Times New Roman"/>
                <w:bCs/>
                <w:color w:val="000000" w:themeColor="text1"/>
                <w:sz w:val="20"/>
                <w:szCs w:val="20"/>
                <w:lang w:val="ro-RO"/>
              </w:rPr>
              <w:t>cu privire la fondurile proprii ale băncilor și cerințele de capital</w:t>
            </w:r>
          </w:p>
        </w:tc>
      </w:tr>
      <w:tr w:rsidR="00EA59FA" w:rsidRPr="00684853" w14:paraId="0237F25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6793A2A" w14:textId="77777777" w:rsidR="00395381" w:rsidRPr="00684853" w:rsidRDefault="00395381" w:rsidP="0079002D">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118. </w:t>
            </w:r>
            <w:r w:rsidRPr="00684853">
              <w:rPr>
                <w:rFonts w:ascii="Times New Roman" w:hAnsi="Times New Roman"/>
                <w:color w:val="000000" w:themeColor="text1"/>
                <w:sz w:val="20"/>
                <w:szCs w:val="20"/>
                <w:lang w:val="ro-RO"/>
              </w:rPr>
              <w:t>„fonduri proprii” înseamnă suma fondurilor proprii  de nivel 1 și a fondurilor proprii de nivel 2;</w:t>
            </w:r>
          </w:p>
        </w:tc>
        <w:tc>
          <w:tcPr>
            <w:tcW w:w="1636" w:type="pct"/>
          </w:tcPr>
          <w:p w14:paraId="13B9147C" w14:textId="510F2B72" w:rsidR="00395381" w:rsidRPr="00684853" w:rsidRDefault="00B13923" w:rsidP="00B13923">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5.</w:t>
            </w:r>
            <w:r w:rsidRPr="00684853">
              <w:rPr>
                <w:rFonts w:ascii="Times New Roman" w:hAnsi="Times New Roman" w:cs="Times New Roman"/>
                <w:color w:val="000000" w:themeColor="text1"/>
                <w:sz w:val="20"/>
                <w:szCs w:val="20"/>
                <w:lang w:val="ro-RO"/>
              </w:rPr>
              <w:t xml:space="preserve"> Fondurile proprii ale unei bănci sunt constituite din suma fondurilor proprii de nivel 1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 fondurilor proprii de nivel 2.</w:t>
            </w:r>
          </w:p>
        </w:tc>
        <w:tc>
          <w:tcPr>
            <w:tcW w:w="562" w:type="pct"/>
          </w:tcPr>
          <w:p w14:paraId="3E538781"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5822B05"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tcPr>
          <w:p w14:paraId="0DB9196A" w14:textId="761DFC5E" w:rsidR="00395381" w:rsidRPr="00684853" w:rsidRDefault="00851079"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EA59FA" w:rsidRPr="00684853" w14:paraId="0972829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75856FC" w14:textId="77777777" w:rsidR="00395381" w:rsidRPr="00684853" w:rsidRDefault="00395381" w:rsidP="00B13923">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119. </w:t>
            </w:r>
            <w:r w:rsidRPr="00684853">
              <w:rPr>
                <w:rFonts w:ascii="Times New Roman" w:hAnsi="Times New Roman"/>
                <w:color w:val="000000" w:themeColor="text1"/>
                <w:sz w:val="20"/>
                <w:szCs w:val="20"/>
                <w:lang w:val="ro-RO"/>
              </w:rPr>
              <w:t>„instrumente de fonduri proprii” înseamnă instrumentele de capital emise de instituție care se califică drept instrumente de fonduri proprii de nivel 1 de bază, instrumente de fonduri proprii de nivel 1 suplimentar sau instrumente de fonduri proprii de nivel 2;</w:t>
            </w:r>
          </w:p>
        </w:tc>
        <w:tc>
          <w:tcPr>
            <w:tcW w:w="1636" w:type="pct"/>
          </w:tcPr>
          <w:p w14:paraId="530DCC8D" w14:textId="4F5922F7" w:rsidR="00395381" w:rsidRPr="00684853" w:rsidRDefault="00B13923" w:rsidP="00B13923">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instrumente de fonduri proprii</w:t>
            </w:r>
            <w:r w:rsidRPr="00684853">
              <w:rPr>
                <w:rFonts w:ascii="Times New Roman" w:hAnsi="Times New Roman" w:cs="Times New Roman"/>
                <w:color w:val="000000" w:themeColor="text1"/>
                <w:sz w:val="20"/>
                <w:szCs w:val="20"/>
                <w:lang w:val="ro-RO"/>
              </w:rPr>
              <w:t xml:space="preserve"> - instrumentele de capital emise de bancă care se califică drept instrumente de fonduri proprii de nivel 1 de bază, instrumente de fonduri </w:t>
            </w:r>
            <w:r w:rsidRPr="00684853">
              <w:rPr>
                <w:rFonts w:ascii="Times New Roman" w:hAnsi="Times New Roman" w:cs="Times New Roman"/>
                <w:color w:val="000000" w:themeColor="text1"/>
                <w:sz w:val="20"/>
                <w:szCs w:val="20"/>
                <w:lang w:val="ro-RO"/>
              </w:rPr>
              <w:lastRenderedPageBreak/>
              <w:t>proprii de nivel 1 suplimentar sau instrumente de fonduri proprii de nivel 2;</w:t>
            </w:r>
          </w:p>
        </w:tc>
        <w:tc>
          <w:tcPr>
            <w:tcW w:w="562" w:type="pct"/>
          </w:tcPr>
          <w:p w14:paraId="536D273F" w14:textId="77777777" w:rsidR="00395381" w:rsidRPr="00684853" w:rsidRDefault="00395381"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1D87768D" w14:textId="77777777" w:rsidR="00395381" w:rsidRPr="00684853" w:rsidRDefault="00395381" w:rsidP="0079002D">
            <w:pPr>
              <w:jc w:val="both"/>
              <w:rPr>
                <w:rFonts w:ascii="Times New Roman" w:hAnsi="Times New Roman" w:cs="Times New Roman"/>
                <w:color w:val="000000" w:themeColor="text1"/>
                <w:sz w:val="20"/>
                <w:szCs w:val="20"/>
                <w:lang w:val="ro-RO"/>
              </w:rPr>
            </w:pPr>
          </w:p>
        </w:tc>
        <w:tc>
          <w:tcPr>
            <w:tcW w:w="885" w:type="pct"/>
          </w:tcPr>
          <w:p w14:paraId="70DBD0D1" w14:textId="5CEBF287" w:rsidR="00395381" w:rsidRPr="00684853" w:rsidRDefault="00851079" w:rsidP="0079002D">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EA59FA" w:rsidRPr="00684853" w14:paraId="2BD6178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9096A2D" w14:textId="77777777" w:rsidR="00395381" w:rsidRPr="00684853" w:rsidRDefault="00395381" w:rsidP="00B13923">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120. </w:t>
            </w:r>
            <w:r w:rsidRPr="00684853">
              <w:rPr>
                <w:rFonts w:ascii="Times New Roman" w:hAnsi="Times New Roman"/>
                <w:color w:val="000000" w:themeColor="text1"/>
                <w:sz w:val="20"/>
                <w:szCs w:val="20"/>
                <w:lang w:val="ro-RO"/>
              </w:rPr>
              <w:t>„interes minoritar” înseamnă valoarea fondurilor proprii de nivel 1 de bază ale unei filiale a unei instituții care poate fi atribuită unor persoane fizice sau juridice altele decât cele incluse domeniul de aplicare al consolidării prudențiale a instituției;</w:t>
            </w:r>
          </w:p>
        </w:tc>
        <w:tc>
          <w:tcPr>
            <w:tcW w:w="1636" w:type="pct"/>
          </w:tcPr>
          <w:p w14:paraId="493AE91C" w14:textId="048626B2" w:rsidR="00395381" w:rsidRPr="00684853" w:rsidRDefault="00395381" w:rsidP="00B13923">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interes minoritar</w:t>
            </w:r>
            <w:r w:rsidRPr="00684853">
              <w:rPr>
                <w:rFonts w:ascii="Times New Roman" w:hAnsi="Times New Roman"/>
                <w:color w:val="000000" w:themeColor="text1"/>
                <w:sz w:val="20"/>
                <w:szCs w:val="20"/>
                <w:lang w:val="ro-RO"/>
              </w:rPr>
              <w:t xml:space="preserve"> - cuantumul fondurilor proprii de nivel 1 de bază ale unei filiale a unei bănci care poate fi atribuit unor persoane fizice sau juridice altele decât cele incluse în domeniul de aplicare al consolidării prudențiale a băncii;</w:t>
            </w:r>
          </w:p>
        </w:tc>
        <w:tc>
          <w:tcPr>
            <w:tcW w:w="562" w:type="pct"/>
          </w:tcPr>
          <w:p w14:paraId="740DA9D1" w14:textId="6CFFA377" w:rsidR="00395381" w:rsidRPr="00684853" w:rsidRDefault="00395381" w:rsidP="00967ABE">
            <w:pPr>
              <w:pStyle w:val="CM4"/>
              <w:spacing w:after="120"/>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Compatibil</w:t>
            </w:r>
          </w:p>
        </w:tc>
        <w:tc>
          <w:tcPr>
            <w:tcW w:w="885" w:type="pct"/>
          </w:tcPr>
          <w:p w14:paraId="4B389E2D" w14:textId="1740914E" w:rsidR="00395381" w:rsidRPr="00684853" w:rsidRDefault="00851079" w:rsidP="00DF039A">
            <w:pPr>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EA59FA" w:rsidRPr="00684853" w14:paraId="3AC4C47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F50922B" w14:textId="77777777" w:rsidR="00395381" w:rsidRPr="00684853" w:rsidRDefault="00395381" w:rsidP="00967ABE">
            <w:pPr>
              <w:pStyle w:val="CM4"/>
              <w:spacing w:after="12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121. </w:t>
            </w:r>
            <w:r w:rsidRPr="00684853">
              <w:rPr>
                <w:rFonts w:ascii="Times New Roman" w:hAnsi="Times New Roman"/>
                <w:color w:val="000000" w:themeColor="text1"/>
                <w:sz w:val="20"/>
                <w:szCs w:val="20"/>
                <w:lang w:val="ro-RO"/>
              </w:rPr>
              <w:t>„profit” are același înțeles ca în cadrul contabil  aplicabil;</w:t>
            </w:r>
          </w:p>
        </w:tc>
        <w:tc>
          <w:tcPr>
            <w:tcW w:w="1636" w:type="pct"/>
          </w:tcPr>
          <w:p w14:paraId="61046172"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001B4CDA" w14:textId="0752667D" w:rsidR="00395381" w:rsidRPr="00684853" w:rsidRDefault="00851079" w:rsidP="00967ABE">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p w14:paraId="325FF308" w14:textId="77777777" w:rsidR="00395381" w:rsidRPr="00684853" w:rsidRDefault="00395381" w:rsidP="00967ABE">
            <w:pPr>
              <w:ind w:right="-85"/>
              <w:jc w:val="both"/>
              <w:rPr>
                <w:rFonts w:ascii="Times New Roman" w:hAnsi="Times New Roman" w:cs="Times New Roman"/>
                <w:color w:val="000000" w:themeColor="text1"/>
                <w:sz w:val="20"/>
                <w:szCs w:val="20"/>
                <w:highlight w:val="yellow"/>
                <w:lang w:val="ro-RO"/>
              </w:rPr>
            </w:pPr>
          </w:p>
        </w:tc>
        <w:tc>
          <w:tcPr>
            <w:tcW w:w="885" w:type="pct"/>
          </w:tcPr>
          <w:p w14:paraId="25FB375A" w14:textId="7567DB24" w:rsidR="00395381" w:rsidRPr="00684853" w:rsidRDefault="00764CE3" w:rsidP="00967ABE">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EA59FA" w:rsidRPr="00684853" w14:paraId="2E13C8E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9B2D4B7" w14:textId="77777777"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122. </w:t>
            </w:r>
            <w:r w:rsidRPr="00684853">
              <w:rPr>
                <w:rFonts w:ascii="Times New Roman" w:hAnsi="Times New Roman"/>
                <w:color w:val="000000" w:themeColor="text1"/>
                <w:sz w:val="20"/>
                <w:szCs w:val="20"/>
                <w:lang w:val="ro-RO"/>
              </w:rPr>
              <w:t>„deținere reciprocă” înseamnă deținerea de către o instituție a unor instrumente de fonduri proprii sau a altor instrumente de capital emise de entități din sectorul financiar, atunci când acestea dețin ele însele instrumente de fonduri proprii emise de instituția respectivă;</w:t>
            </w:r>
          </w:p>
        </w:tc>
        <w:tc>
          <w:tcPr>
            <w:tcW w:w="1636" w:type="pct"/>
          </w:tcPr>
          <w:p w14:paraId="4C973A22" w14:textId="07F1354D" w:rsidR="00395381" w:rsidRPr="00684853" w:rsidRDefault="00DC52AE" w:rsidP="00967ABE">
            <w:pPr>
              <w:spacing w:line="276" w:lineRule="auto"/>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t>deţinere</w:t>
            </w:r>
            <w:proofErr w:type="spellEnd"/>
            <w:r w:rsidRPr="00684853">
              <w:rPr>
                <w:rFonts w:ascii="Times New Roman" w:hAnsi="Times New Roman" w:cs="Times New Roman"/>
                <w:b/>
                <w:bCs/>
                <w:color w:val="000000" w:themeColor="text1"/>
                <w:sz w:val="20"/>
                <w:szCs w:val="20"/>
                <w:lang w:val="ro-RO"/>
              </w:rPr>
              <w:t xml:space="preserve"> reciprocă</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deţinerea</w:t>
            </w:r>
            <w:proofErr w:type="spellEnd"/>
            <w:r w:rsidRPr="00684853">
              <w:rPr>
                <w:rFonts w:ascii="Times New Roman" w:hAnsi="Times New Roman" w:cs="Times New Roman"/>
                <w:color w:val="000000" w:themeColor="text1"/>
                <w:sz w:val="20"/>
                <w:szCs w:val="20"/>
                <w:lang w:val="ro-RO"/>
              </w:rPr>
              <w:t xml:space="preserve"> de către o bancă a unor instrumente de fonduri proprii sau a altor instrumente de capital emise de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din sectorul financiar, atunci când acestea </w:t>
            </w:r>
            <w:proofErr w:type="spellStart"/>
            <w:r w:rsidRPr="00684853">
              <w:rPr>
                <w:rFonts w:ascii="Times New Roman" w:hAnsi="Times New Roman" w:cs="Times New Roman"/>
                <w:color w:val="000000" w:themeColor="text1"/>
                <w:sz w:val="20"/>
                <w:szCs w:val="20"/>
                <w:lang w:val="ro-RO"/>
              </w:rPr>
              <w:t>deţin</w:t>
            </w:r>
            <w:proofErr w:type="spellEnd"/>
            <w:r w:rsidRPr="00684853">
              <w:rPr>
                <w:rFonts w:ascii="Times New Roman" w:hAnsi="Times New Roman" w:cs="Times New Roman"/>
                <w:color w:val="000000" w:themeColor="text1"/>
                <w:sz w:val="20"/>
                <w:szCs w:val="20"/>
                <w:lang w:val="ro-RO"/>
              </w:rPr>
              <w:t xml:space="preserve"> ele însele instrumente de fonduri proprii emise de banca respectivă;</w:t>
            </w:r>
          </w:p>
        </w:tc>
        <w:tc>
          <w:tcPr>
            <w:tcW w:w="562" w:type="pct"/>
          </w:tcPr>
          <w:p w14:paraId="609E1965"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C4118E0" w14:textId="77777777" w:rsidR="00395381" w:rsidRPr="00684853" w:rsidRDefault="00395381" w:rsidP="00967ABE">
            <w:pPr>
              <w:jc w:val="both"/>
              <w:rPr>
                <w:rFonts w:ascii="Times New Roman" w:hAnsi="Times New Roman" w:cs="Times New Roman"/>
                <w:color w:val="000000" w:themeColor="text1"/>
                <w:sz w:val="20"/>
                <w:szCs w:val="20"/>
                <w:lang w:val="ro-RO"/>
              </w:rPr>
            </w:pPr>
          </w:p>
        </w:tc>
        <w:tc>
          <w:tcPr>
            <w:tcW w:w="885" w:type="pct"/>
          </w:tcPr>
          <w:p w14:paraId="58641367" w14:textId="504F723B" w:rsidR="00395381" w:rsidRPr="00684853" w:rsidRDefault="00851079"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EA59FA" w:rsidRPr="00684853" w14:paraId="1C11358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80EACBE" w14:textId="77777777"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123. </w:t>
            </w:r>
            <w:r w:rsidRPr="00684853">
              <w:rPr>
                <w:rFonts w:ascii="Times New Roman" w:hAnsi="Times New Roman"/>
                <w:color w:val="000000" w:themeColor="text1"/>
                <w:sz w:val="20"/>
                <w:szCs w:val="20"/>
                <w:lang w:val="ro-RO"/>
              </w:rPr>
              <w:t>„rezultat reportat” înseamnă profiturile și pierderile reportate ca urmare a determinării finale a profitului sau pierderii în conformitate cu cadrul contabil aplicabil;</w:t>
            </w:r>
          </w:p>
        </w:tc>
        <w:tc>
          <w:tcPr>
            <w:tcW w:w="1636" w:type="pct"/>
          </w:tcPr>
          <w:p w14:paraId="7605CDA9"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57AFC806" w14:textId="7F61F6C4" w:rsidR="00395381" w:rsidRPr="00684853" w:rsidRDefault="00851079" w:rsidP="00967ABE">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tc>
        <w:tc>
          <w:tcPr>
            <w:tcW w:w="885" w:type="pct"/>
          </w:tcPr>
          <w:p w14:paraId="0D99834C" w14:textId="79E3C836" w:rsidR="00395381" w:rsidRPr="00684853" w:rsidRDefault="009318E7" w:rsidP="00967ABE">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w:t>
            </w:r>
            <w:r w:rsidRPr="00684853">
              <w:rPr>
                <w:rFonts w:ascii="Times New Roman" w:hAnsi="Times New Roman" w:cs="Times New Roman"/>
                <w:color w:val="000000" w:themeColor="text1"/>
                <w:sz w:val="20"/>
                <w:szCs w:val="20"/>
                <w:lang w:val="ro-RO"/>
              </w:rPr>
              <w:lastRenderedPageBreak/>
              <w:t>Raportare Financiară, nu este necesară transpunerea noțiunii.</w:t>
            </w:r>
          </w:p>
        </w:tc>
      </w:tr>
      <w:tr w:rsidR="00EA59FA" w:rsidRPr="00684853" w14:paraId="2146422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B3E7818" w14:textId="77777777"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124. </w:t>
            </w:r>
            <w:r w:rsidRPr="00684853">
              <w:rPr>
                <w:rFonts w:ascii="Times New Roman" w:hAnsi="Times New Roman"/>
                <w:color w:val="000000" w:themeColor="text1"/>
                <w:sz w:val="20"/>
                <w:szCs w:val="20"/>
                <w:lang w:val="ro-RO"/>
              </w:rPr>
              <w:t>„cont de prime de emisiune”</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are același înțeles ca în cadrul contabil  aplicabil;</w:t>
            </w:r>
          </w:p>
        </w:tc>
        <w:tc>
          <w:tcPr>
            <w:tcW w:w="1636" w:type="pct"/>
          </w:tcPr>
          <w:p w14:paraId="06920F95"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vMerge w:val="restart"/>
          </w:tcPr>
          <w:p w14:paraId="2C6C78F5" w14:textId="1AA4F1F3" w:rsidR="00395381" w:rsidRPr="00684853" w:rsidRDefault="00851079" w:rsidP="00967ABE">
            <w:pPr>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tc>
        <w:tc>
          <w:tcPr>
            <w:tcW w:w="885" w:type="pct"/>
            <w:vMerge w:val="restart"/>
          </w:tcPr>
          <w:p w14:paraId="586920D3" w14:textId="3463AA03" w:rsidR="00395381" w:rsidRPr="00684853" w:rsidRDefault="009318E7" w:rsidP="00967ABE">
            <w:pPr>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 xml:space="preserve">Potrivit Legii contabilității nr. 113-XVI din 27.04.2007, băncile din Republica </w:t>
            </w:r>
            <w:proofErr w:type="spellStart"/>
            <w:r w:rsidRPr="00684853">
              <w:rPr>
                <w:rFonts w:ascii="Times New Roman" w:hAnsi="Times New Roman" w:cs="Times New Roman"/>
                <w:color w:val="000000" w:themeColor="text1"/>
                <w:sz w:val="20"/>
                <w:szCs w:val="20"/>
                <w:lang w:val="ro-RO"/>
              </w:rPr>
              <w:t>Molodva</w:t>
            </w:r>
            <w:proofErr w:type="spellEnd"/>
            <w:r w:rsidRPr="00684853">
              <w:rPr>
                <w:rFonts w:ascii="Times New Roman" w:hAnsi="Times New Roman" w:cs="Times New Roman"/>
                <w:color w:val="000000" w:themeColor="text1"/>
                <w:sz w:val="20"/>
                <w:szCs w:val="20"/>
                <w:lang w:val="ro-RO"/>
              </w:rPr>
              <w:t xml:space="preserve">, în calitate de entități de interes public, </w:t>
            </w:r>
            <w:proofErr w:type="spellStart"/>
            <w:r w:rsidRPr="00684853">
              <w:rPr>
                <w:rFonts w:ascii="Times New Roman" w:hAnsi="Times New Roman" w:cs="Times New Roman"/>
                <w:color w:val="000000" w:themeColor="text1"/>
                <w:sz w:val="20"/>
                <w:szCs w:val="20"/>
                <w:lang w:val="ro-RO"/>
              </w:rPr>
              <w:t>ţin</w:t>
            </w:r>
            <w:proofErr w:type="spellEnd"/>
            <w:r w:rsidRPr="00684853">
              <w:rPr>
                <w:rFonts w:ascii="Times New Roman" w:hAnsi="Times New Roman" w:cs="Times New Roman"/>
                <w:color w:val="000000" w:themeColor="text1"/>
                <w:sz w:val="20"/>
                <w:szCs w:val="20"/>
                <w:lang w:val="ro-RO"/>
              </w:rPr>
              <w:t xml:space="preserve"> contabilitatea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întocmesc </w:t>
            </w:r>
            <w:proofErr w:type="spellStart"/>
            <w:r w:rsidRPr="00684853">
              <w:rPr>
                <w:rFonts w:ascii="Times New Roman" w:hAnsi="Times New Roman" w:cs="Times New Roman"/>
                <w:color w:val="000000" w:themeColor="text1"/>
                <w:sz w:val="20"/>
                <w:szCs w:val="20"/>
                <w:lang w:val="ro-RO"/>
              </w:rPr>
              <w:t>situaţiile</w:t>
            </w:r>
            <w:proofErr w:type="spellEnd"/>
            <w:r w:rsidRPr="00684853">
              <w:rPr>
                <w:rFonts w:ascii="Times New Roman" w:hAnsi="Times New Roman" w:cs="Times New Roman"/>
                <w:color w:val="000000" w:themeColor="text1"/>
                <w:sz w:val="20"/>
                <w:szCs w:val="20"/>
                <w:lang w:val="ro-RO"/>
              </w:rPr>
              <w:t xml:space="preserve"> financiare conform Standardelor Internaționale de Raportare Financiară, nu este necesară transpunerea noțiunii.</w:t>
            </w:r>
          </w:p>
        </w:tc>
      </w:tr>
      <w:tr w:rsidR="00EA59FA" w:rsidRPr="00684853" w14:paraId="32689FE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F638AA3" w14:textId="77777777"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125. </w:t>
            </w:r>
            <w:r w:rsidRPr="00684853">
              <w:rPr>
                <w:rFonts w:ascii="Times New Roman" w:hAnsi="Times New Roman"/>
                <w:color w:val="000000" w:themeColor="text1"/>
                <w:sz w:val="20"/>
                <w:szCs w:val="20"/>
                <w:lang w:val="ro-RO"/>
              </w:rPr>
              <w:t>„diferențe temporare” are același înțeles ca în cadrul contabil  aplicabil;</w:t>
            </w:r>
          </w:p>
        </w:tc>
        <w:tc>
          <w:tcPr>
            <w:tcW w:w="1636" w:type="pct"/>
          </w:tcPr>
          <w:p w14:paraId="48CA4DDB"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vMerge/>
          </w:tcPr>
          <w:p w14:paraId="14199EB5" w14:textId="77777777" w:rsidR="00395381" w:rsidRPr="00684853" w:rsidRDefault="00395381" w:rsidP="00967ABE">
            <w:pPr>
              <w:jc w:val="both"/>
              <w:rPr>
                <w:rFonts w:ascii="Times New Roman" w:hAnsi="Times New Roman" w:cs="Times New Roman"/>
                <w:color w:val="000000" w:themeColor="text1"/>
                <w:sz w:val="20"/>
                <w:szCs w:val="20"/>
                <w:lang w:val="ro-RO"/>
              </w:rPr>
            </w:pPr>
          </w:p>
        </w:tc>
        <w:tc>
          <w:tcPr>
            <w:tcW w:w="885" w:type="pct"/>
            <w:vMerge/>
          </w:tcPr>
          <w:p w14:paraId="35EA388E" w14:textId="5983D254" w:rsidR="00395381" w:rsidRPr="00684853" w:rsidRDefault="00395381" w:rsidP="00967ABE">
            <w:pPr>
              <w:jc w:val="both"/>
              <w:rPr>
                <w:rFonts w:ascii="Times New Roman" w:hAnsi="Times New Roman" w:cs="Times New Roman"/>
                <w:color w:val="000000" w:themeColor="text1"/>
                <w:sz w:val="20"/>
                <w:szCs w:val="20"/>
                <w:lang w:val="ro-RO"/>
              </w:rPr>
            </w:pPr>
          </w:p>
        </w:tc>
      </w:tr>
      <w:tr w:rsidR="00EA59FA" w:rsidRPr="00684853" w14:paraId="48E95AD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7F50D83" w14:textId="77777777" w:rsidR="00F67A6A" w:rsidRPr="00684853" w:rsidRDefault="00F67A6A" w:rsidP="00967ABE">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72CC328B" w14:textId="50FA9363"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126. </w:t>
            </w:r>
            <w:r w:rsidRPr="00684853">
              <w:rPr>
                <w:rFonts w:ascii="Times New Roman" w:hAnsi="Times New Roman"/>
                <w:color w:val="000000" w:themeColor="text1"/>
                <w:sz w:val="20"/>
                <w:szCs w:val="20"/>
                <w:lang w:val="ro-RO"/>
              </w:rPr>
              <w:t>„deținere sintetică” înseamnă o investiție a unei instituții într-un instrument financiar a cărui valoare este direct legată de valoarea instrumentelor de capital emise de  o entitate din sectorul  financiar</w:t>
            </w:r>
            <w:r w:rsidR="00F67A6A" w:rsidRPr="00684853">
              <w:rPr>
                <w:color w:val="000000" w:themeColor="text1"/>
              </w:rPr>
              <w:t xml:space="preserve"> </w:t>
            </w:r>
            <w:r w:rsidR="00F67A6A" w:rsidRPr="00684853">
              <w:rPr>
                <w:rFonts w:ascii="Times New Roman" w:hAnsi="Times New Roman"/>
                <w:color w:val="000000" w:themeColor="text1"/>
                <w:sz w:val="20"/>
                <w:szCs w:val="20"/>
                <w:lang w:val="ro-RO"/>
              </w:rPr>
              <w:t>sau de valoarea pasivelor emise de o instituție</w:t>
            </w:r>
            <w:r w:rsidRPr="00684853">
              <w:rPr>
                <w:rFonts w:ascii="Times New Roman" w:hAnsi="Times New Roman"/>
                <w:color w:val="000000" w:themeColor="text1"/>
                <w:sz w:val="20"/>
                <w:szCs w:val="20"/>
                <w:lang w:val="ro-RO"/>
              </w:rPr>
              <w:t>;</w:t>
            </w:r>
          </w:p>
        </w:tc>
        <w:tc>
          <w:tcPr>
            <w:tcW w:w="1636" w:type="pct"/>
          </w:tcPr>
          <w:p w14:paraId="008DAD4F" w14:textId="7045C80F" w:rsidR="00F67A6A" w:rsidRPr="00684853" w:rsidRDefault="00F67A6A" w:rsidP="00F67A6A">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deținere sintetică</w:t>
            </w:r>
            <w:r w:rsidRPr="00684853">
              <w:rPr>
                <w:rFonts w:ascii="Times New Roman" w:eastAsia="Times New Roman" w:hAnsi="Times New Roman" w:cs="Times New Roman"/>
                <w:color w:val="000000" w:themeColor="text1"/>
                <w:sz w:val="20"/>
                <w:szCs w:val="20"/>
                <w:lang w:val="ro-RO" w:eastAsia="ro-MD"/>
              </w:rPr>
              <w:t xml:space="preserve"> - o investiție a unei bănci într-un instrument financiar a cărui valoare este direct legată de valoarea instrumentelor de capital emise de o entitate din sectorul financiar</w:t>
            </w:r>
            <w:r w:rsidRPr="00684853">
              <w:rPr>
                <w:color w:val="000000" w:themeColor="text1"/>
                <w:sz w:val="20"/>
                <w:szCs w:val="20"/>
              </w:rPr>
              <w:t xml:space="preserve"> </w:t>
            </w:r>
            <w:r w:rsidRPr="00684853">
              <w:rPr>
                <w:rFonts w:ascii="Times New Roman" w:eastAsia="Times New Roman" w:hAnsi="Times New Roman" w:cs="Times New Roman"/>
                <w:color w:val="000000" w:themeColor="text1"/>
                <w:sz w:val="20"/>
                <w:szCs w:val="20"/>
                <w:lang w:val="ro-RO" w:eastAsia="ro-MD"/>
              </w:rPr>
              <w:t xml:space="preserve">sau de valoarea pasivelor emise de o </w:t>
            </w:r>
            <w:r w:rsidR="00851079" w:rsidRPr="00684853">
              <w:rPr>
                <w:rFonts w:ascii="Times New Roman" w:eastAsia="Times New Roman" w:hAnsi="Times New Roman" w:cs="Times New Roman"/>
                <w:color w:val="000000" w:themeColor="text1"/>
                <w:sz w:val="20"/>
                <w:szCs w:val="20"/>
                <w:lang w:val="ro-RO" w:eastAsia="ro-MD"/>
              </w:rPr>
              <w:t>bancă</w:t>
            </w:r>
            <w:r w:rsidRPr="00684853">
              <w:rPr>
                <w:rFonts w:ascii="Times New Roman" w:eastAsia="Times New Roman" w:hAnsi="Times New Roman" w:cs="Times New Roman"/>
                <w:color w:val="000000" w:themeColor="text1"/>
                <w:sz w:val="20"/>
                <w:szCs w:val="20"/>
                <w:lang w:val="ro-RO" w:eastAsia="ro-MD"/>
              </w:rPr>
              <w:t>;</w:t>
            </w:r>
          </w:p>
          <w:p w14:paraId="1EBBEA78" w14:textId="14E29BD8" w:rsidR="00395381" w:rsidRPr="00684853" w:rsidRDefault="00851079" w:rsidP="00851079">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Completat</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prin</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unor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acte</w:t>
            </w:r>
            <w:proofErr w:type="spellEnd"/>
            <w:r w:rsidRPr="00684853">
              <w:rPr>
                <w:rFonts w:ascii="Times New Roman" w:hAnsi="Times New Roman" w:cs="Times New Roman"/>
                <w:i/>
                <w:iCs/>
                <w:color w:val="000000" w:themeColor="text1"/>
                <w:sz w:val="20"/>
                <w:szCs w:val="20"/>
              </w:rPr>
              <w:t xml:space="preserve"> normative ale </w:t>
            </w:r>
            <w:proofErr w:type="spellStart"/>
            <w:r w:rsidRPr="00684853">
              <w:rPr>
                <w:rFonts w:ascii="Times New Roman" w:hAnsi="Times New Roman" w:cs="Times New Roman"/>
                <w:i/>
                <w:iCs/>
                <w:color w:val="000000" w:themeColor="text1"/>
                <w:sz w:val="20"/>
                <w:szCs w:val="20"/>
              </w:rPr>
              <w:t>Băncii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Naționale</w:t>
            </w:r>
            <w:proofErr w:type="spellEnd"/>
            <w:r w:rsidRPr="00684853">
              <w:rPr>
                <w:rFonts w:ascii="Times New Roman" w:hAnsi="Times New Roman" w:cs="Times New Roman"/>
                <w:i/>
                <w:iCs/>
                <w:color w:val="000000" w:themeColor="text1"/>
                <w:sz w:val="20"/>
                <w:szCs w:val="20"/>
              </w:rPr>
              <w:t xml:space="preserve"> a </w:t>
            </w:r>
            <w:proofErr w:type="spellStart"/>
            <w:r w:rsidRPr="00684853">
              <w:rPr>
                <w:rFonts w:ascii="Times New Roman" w:hAnsi="Times New Roman" w:cs="Times New Roman"/>
                <w:i/>
                <w:iCs/>
                <w:color w:val="000000" w:themeColor="text1"/>
                <w:sz w:val="20"/>
                <w:szCs w:val="20"/>
              </w:rPr>
              <w:t>Moldovei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fondurile</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proprii</w:t>
            </w:r>
            <w:proofErr w:type="spellEnd"/>
            <w:r w:rsidRPr="00684853">
              <w:rPr>
                <w:rFonts w:ascii="Times New Roman" w:hAnsi="Times New Roman" w:cs="Times New Roman"/>
                <w:i/>
                <w:iCs/>
                <w:color w:val="000000" w:themeColor="text1"/>
                <w:sz w:val="20"/>
                <w:szCs w:val="20"/>
              </w:rPr>
              <w:t xml:space="preserve"> ale </w:t>
            </w:r>
            <w:proofErr w:type="spellStart"/>
            <w:r w:rsidRPr="00684853">
              <w:rPr>
                <w:rFonts w:ascii="Times New Roman" w:hAnsi="Times New Roman" w:cs="Times New Roman"/>
                <w:i/>
                <w:iCs/>
                <w:color w:val="000000" w:themeColor="text1"/>
                <w:sz w:val="20"/>
                <w:szCs w:val="20"/>
              </w:rPr>
              <w:t>băncilor</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și</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cerințele</w:t>
            </w:r>
            <w:proofErr w:type="spellEnd"/>
            <w:r w:rsidRPr="00684853">
              <w:rPr>
                <w:rFonts w:ascii="Times New Roman" w:hAnsi="Times New Roman" w:cs="Times New Roman"/>
                <w:i/>
                <w:iCs/>
                <w:color w:val="000000" w:themeColor="text1"/>
                <w:sz w:val="20"/>
                <w:szCs w:val="20"/>
              </w:rPr>
              <w:t xml:space="preserve"> de capital)</w:t>
            </w:r>
          </w:p>
        </w:tc>
        <w:tc>
          <w:tcPr>
            <w:tcW w:w="562" w:type="pct"/>
          </w:tcPr>
          <w:p w14:paraId="2A1ECDB2"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AC5DFCE" w14:textId="77777777" w:rsidR="00395381" w:rsidRPr="00684853" w:rsidRDefault="00395381" w:rsidP="00967ABE">
            <w:pPr>
              <w:jc w:val="both"/>
              <w:rPr>
                <w:rFonts w:ascii="Times New Roman" w:hAnsi="Times New Roman" w:cs="Times New Roman"/>
                <w:color w:val="000000" w:themeColor="text1"/>
                <w:sz w:val="20"/>
                <w:szCs w:val="20"/>
                <w:lang w:val="ro-RO"/>
              </w:rPr>
            </w:pPr>
          </w:p>
        </w:tc>
        <w:tc>
          <w:tcPr>
            <w:tcW w:w="885" w:type="pct"/>
          </w:tcPr>
          <w:p w14:paraId="1427E03E" w14:textId="04900F11"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p.4 din </w:t>
            </w:r>
            <w:r w:rsidRPr="00684853">
              <w:rPr>
                <w:rFonts w:ascii="Times New Roman" w:hAnsi="Times New Roman" w:cs="Times New Roman"/>
                <w:b/>
                <w:color w:val="000000" w:themeColor="text1"/>
                <w:sz w:val="20"/>
                <w:szCs w:val="20"/>
                <w:lang w:val="ro-RO"/>
              </w:rPr>
              <w:t xml:space="preserve">Regulamentul cu privire la fondurile proprii ale băncilor și cerințele de capital, </w:t>
            </w:r>
            <w:r w:rsidRPr="00684853">
              <w:rPr>
                <w:rFonts w:ascii="Times New Roman" w:hAnsi="Times New Roman" w:cs="Times New Roman"/>
                <w:color w:val="000000" w:themeColor="text1"/>
                <w:sz w:val="20"/>
                <w:szCs w:val="20"/>
                <w:lang w:val="ro-RO"/>
              </w:rPr>
              <w:t>aprobat prin HCE al BNM nr.109/2018, prin noțiunea de „deținere sintetică”.</w:t>
            </w:r>
          </w:p>
        </w:tc>
      </w:tr>
      <w:tr w:rsidR="00EA59FA" w:rsidRPr="00684853" w14:paraId="064A3F3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B4DFE36"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127.</w:t>
            </w:r>
            <w:r w:rsidRPr="00684853">
              <w:rPr>
                <w:rFonts w:ascii="Times New Roman" w:hAnsi="Times New Roman" w:cs="Times New Roman"/>
                <w:color w:val="000000" w:themeColor="text1"/>
                <w:sz w:val="20"/>
                <w:szCs w:val="20"/>
                <w:lang w:val="ro-RO"/>
              </w:rPr>
              <w:t xml:space="preserve"> „sistem de garanții încrucișate” înseamnă un sistem care îndeplinește toate condițiile următoare:</w:t>
            </w:r>
          </w:p>
          <w:p w14:paraId="3A1E21E1" w14:textId="0DA56D81"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instituțiile se încadrează în același sistem instituțional de protecție menționat la articolul 113 alineatul (7) sau sunt permanent afiliate unei case centrale în cadrul unei rețele;</w:t>
            </w:r>
          </w:p>
          <w:p w14:paraId="7E734579" w14:textId="77777777" w:rsidR="00411ED5" w:rsidRPr="00684853" w:rsidRDefault="00411ED5"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31067A6C" w14:textId="7499B76F"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(b) instituțiile sunt consolidate </w:t>
            </w:r>
            <w:r w:rsidR="00411ED5" w:rsidRPr="00684853">
              <w:rPr>
                <w:rFonts w:ascii="Times New Roman" w:hAnsi="Times New Roman" w:cs="Times New Roman"/>
                <w:color w:val="000000" w:themeColor="text1"/>
                <w:sz w:val="20"/>
                <w:szCs w:val="20"/>
                <w:lang w:val="ro-RO"/>
              </w:rPr>
              <w:t>integral în conformitate cu articolul 22 din Directiva 2013/34/UE</w:t>
            </w:r>
            <w:r w:rsidRPr="00684853">
              <w:rPr>
                <w:rFonts w:ascii="Times New Roman" w:hAnsi="Times New Roman" w:cs="Times New Roman"/>
                <w:color w:val="000000" w:themeColor="text1"/>
                <w:sz w:val="20"/>
                <w:szCs w:val="20"/>
                <w:lang w:val="ro-RO"/>
              </w:rPr>
              <w:t xml:space="preserve"> și sunt incluse în supravegherea pe bază consolidată a instituției care este instituția-mamă dintr-un stat membru în conformitate cu partea întâi titlul II capitolul 2 din prezentul regulament și care face obiectul unei cerințe de fonduri proprii;</w:t>
            </w:r>
          </w:p>
          <w:p w14:paraId="60935839"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instituția-mamă dintr-un stat membru și filialele sunt stabilite în același stat membru și fac obiectul autorizării și supravegherii de către aceeași autoritate competentă;</w:t>
            </w:r>
          </w:p>
          <w:p w14:paraId="0FAC7E7E"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instituția-mamă dintr-un stat membru și filialele au încheiat un acord de stabilire contractuală sau legală a responsabilităților care protejează instituțiile respective și le garantează, în speță, lichiditatea și solvabilitatea pentru a evita falimentul, în cazul în care este necesar;</w:t>
            </w:r>
          </w:p>
          <w:p w14:paraId="677D5DF2"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sunt instituite mecanisme pentru a asigura furnizarea promptă a mijloacelor financiare sub formă de capital și lichiditate dacă acest lucru este impus în acordul de stabilire contractuală sau legală a responsabilităților menționat la litera (d);</w:t>
            </w:r>
          </w:p>
          <w:p w14:paraId="4F89F344"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 adecvarea mecanismelor menționate la literele (d) și (e) este monitorizată în mod regulat de către autoritatea competentă;</w:t>
            </w:r>
          </w:p>
          <w:p w14:paraId="7A46562F" w14:textId="77777777"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(g) perioada minimă de preaviz pentru ieșirea voluntară a unei filiale din acordul de stabilire a responsabilităților este de 10 ani;</w:t>
            </w:r>
          </w:p>
          <w:p w14:paraId="77654B26" w14:textId="001AC876" w:rsidR="00395381" w:rsidRPr="00684853" w:rsidRDefault="00395381" w:rsidP="00967ABE">
            <w:pPr>
              <w:spacing w:before="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(h) autoritatea competentă este împuternicită să interzică o ieșire voluntară a unei filiale din acordul de stabilire a responsabilităților;</w:t>
            </w:r>
          </w:p>
        </w:tc>
        <w:tc>
          <w:tcPr>
            <w:tcW w:w="1636" w:type="pct"/>
          </w:tcPr>
          <w:p w14:paraId="0400D73C"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2F4DD7F6" w14:textId="481F064C" w:rsidR="00395381" w:rsidRPr="00684853" w:rsidRDefault="009318E7" w:rsidP="0085181C">
            <w:pPr>
              <w:ind w:right="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 Norme UE neaplicabile</w:t>
            </w:r>
          </w:p>
        </w:tc>
        <w:tc>
          <w:tcPr>
            <w:tcW w:w="885" w:type="pct"/>
          </w:tcPr>
          <w:p w14:paraId="5862D6ED" w14:textId="561E4C7C"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Legislația RM nu prevede și nu reglementează sistemele instituționale de protecție, care reprezintă una din condițiile prevăzute în cadrul european.</w:t>
            </w:r>
          </w:p>
          <w:p w14:paraId="62DC24C7" w14:textId="77777777" w:rsidR="00395381" w:rsidRPr="00684853" w:rsidRDefault="00395381" w:rsidP="00967ABE">
            <w:pPr>
              <w:jc w:val="both"/>
              <w:rPr>
                <w:rFonts w:ascii="Times New Roman" w:hAnsi="Times New Roman" w:cs="Times New Roman"/>
                <w:color w:val="000000" w:themeColor="text1"/>
                <w:sz w:val="20"/>
                <w:szCs w:val="20"/>
                <w:lang w:val="ro-RO"/>
              </w:rPr>
            </w:pPr>
          </w:p>
        </w:tc>
      </w:tr>
      <w:tr w:rsidR="00EA59FA" w:rsidRPr="00684853" w14:paraId="389FA87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A435DAD" w14:textId="77777777" w:rsidR="00B10BED" w:rsidRPr="00684853" w:rsidRDefault="00B10BED" w:rsidP="00E97DD7">
            <w:pPr>
              <w:pStyle w:val="CM4"/>
              <w:spacing w:after="12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M8</w:t>
            </w:r>
          </w:p>
          <w:p w14:paraId="6967F32D" w14:textId="353841DC" w:rsidR="00395381" w:rsidRPr="00684853" w:rsidRDefault="00395381" w:rsidP="00E97DD7">
            <w:pPr>
              <w:pStyle w:val="CM4"/>
              <w:spacing w:after="120"/>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128. </w:t>
            </w:r>
            <w:r w:rsidRPr="00684853">
              <w:rPr>
                <w:rFonts w:ascii="Times New Roman" w:hAnsi="Times New Roman"/>
                <w:color w:val="000000" w:themeColor="text1"/>
                <w:sz w:val="20"/>
                <w:szCs w:val="20"/>
                <w:lang w:val="ro-RO"/>
              </w:rPr>
              <w:t xml:space="preserve">„elemente care pot fi distribuite” înseamnă cuantumul profiturilor de la sfârșitul ultimului exercițiu financiar plus eventualele profituri reportate și rezerve disponibile în acest scop </w:t>
            </w:r>
            <w:r w:rsidRPr="00684853">
              <w:rPr>
                <w:rFonts w:ascii="Times New Roman" w:hAnsi="Times New Roman"/>
                <w:color w:val="000000" w:themeColor="text1"/>
                <w:sz w:val="20"/>
                <w:szCs w:val="20"/>
                <w:lang w:val="ro-RO"/>
              </w:rPr>
              <w:lastRenderedPageBreak/>
              <w:t>înainte de distribuirile către deținătorii instrumentelor de fonduri proprii, minus pierderile reportate, profituri</w:t>
            </w:r>
            <w:r w:rsidR="00960137" w:rsidRPr="00684853">
              <w:rPr>
                <w:rFonts w:ascii="Times New Roman" w:hAnsi="Times New Roman"/>
                <w:color w:val="000000" w:themeColor="text1"/>
                <w:sz w:val="20"/>
                <w:szCs w:val="20"/>
                <w:lang w:val="ro-RO"/>
              </w:rPr>
              <w:t>le</w:t>
            </w:r>
            <w:r w:rsidRPr="00684853">
              <w:rPr>
                <w:rFonts w:ascii="Times New Roman" w:hAnsi="Times New Roman"/>
                <w:color w:val="000000" w:themeColor="text1"/>
                <w:sz w:val="20"/>
                <w:szCs w:val="20"/>
                <w:lang w:val="ro-RO"/>
              </w:rPr>
              <w:t xml:space="preserve"> care nu pot fi distribuite în temeiul dreptului Uniunii sau al dreptului intern sau al actului constitutiv al instituției și eventualele sume plasate în rezerve care nu pot fi distribuite în conformitate cu </w:t>
            </w:r>
            <w:r w:rsidR="00960137" w:rsidRPr="00684853">
              <w:rPr>
                <w:rFonts w:ascii="Times New Roman" w:hAnsi="Times New Roman"/>
                <w:color w:val="000000" w:themeColor="text1"/>
                <w:sz w:val="20"/>
                <w:szCs w:val="20"/>
                <w:lang w:val="ro-RO"/>
              </w:rPr>
              <w:t xml:space="preserve">dreptul intern sau statutul instituției, în fiecare caz în ceea ce </w:t>
            </w:r>
            <w:proofErr w:type="spellStart"/>
            <w:r w:rsidR="00960137" w:rsidRPr="00684853">
              <w:rPr>
                <w:rFonts w:ascii="Times New Roman" w:hAnsi="Times New Roman"/>
                <w:color w:val="000000" w:themeColor="text1"/>
                <w:sz w:val="20"/>
                <w:szCs w:val="20"/>
                <w:lang w:val="ro-RO"/>
              </w:rPr>
              <w:t>priveste</w:t>
            </w:r>
            <w:proofErr w:type="spellEnd"/>
            <w:r w:rsidR="00960137" w:rsidRPr="00684853">
              <w:rPr>
                <w:rFonts w:ascii="Times New Roman" w:hAnsi="Times New Roman"/>
                <w:color w:val="000000" w:themeColor="text1"/>
                <w:sz w:val="20"/>
                <w:szCs w:val="20"/>
                <w:lang w:val="ro-RO"/>
              </w:rPr>
              <w:t xml:space="preserve"> categoria specifică de instrumente de fonduri proprii la care se referă dreptul Uniunii sau dreptul intern, </w:t>
            </w:r>
            <w:r w:rsidRPr="00684853">
              <w:rPr>
                <w:rFonts w:ascii="Times New Roman" w:hAnsi="Times New Roman"/>
                <w:color w:val="000000" w:themeColor="text1"/>
                <w:sz w:val="20"/>
                <w:szCs w:val="20"/>
                <w:lang w:val="ro-RO"/>
              </w:rPr>
              <w:t xml:space="preserve">actul constitutiv </w:t>
            </w:r>
            <w:r w:rsidR="00960137" w:rsidRPr="00684853">
              <w:rPr>
                <w:rFonts w:ascii="Times New Roman" w:hAnsi="Times New Roman"/>
                <w:color w:val="000000" w:themeColor="text1"/>
                <w:sz w:val="20"/>
                <w:szCs w:val="20"/>
                <w:lang w:val="ro-RO"/>
              </w:rPr>
              <w:t xml:space="preserve">sau statutul </w:t>
            </w:r>
            <w:proofErr w:type="spellStart"/>
            <w:r w:rsidRPr="00684853">
              <w:rPr>
                <w:rFonts w:ascii="Times New Roman" w:hAnsi="Times New Roman"/>
                <w:color w:val="000000" w:themeColor="text1"/>
                <w:sz w:val="20"/>
                <w:szCs w:val="20"/>
                <w:lang w:val="ro-RO"/>
              </w:rPr>
              <w:t>instituției</w:t>
            </w:r>
            <w:r w:rsidR="00960137" w:rsidRPr="00684853">
              <w:rPr>
                <w:rFonts w:ascii="Times New Roman" w:hAnsi="Times New Roman"/>
                <w:color w:val="000000" w:themeColor="text1"/>
                <w:sz w:val="20"/>
                <w:szCs w:val="20"/>
                <w:lang w:val="ro-RO"/>
              </w:rPr>
              <w:t>;profiturile</w:t>
            </w:r>
            <w:proofErr w:type="spellEnd"/>
            <w:r w:rsidR="00960137" w:rsidRPr="00684853">
              <w:rPr>
                <w:rFonts w:ascii="Times New Roman" w:hAnsi="Times New Roman"/>
                <w:color w:val="000000" w:themeColor="text1"/>
                <w:sz w:val="20"/>
                <w:szCs w:val="20"/>
                <w:lang w:val="ro-RO"/>
              </w:rPr>
              <w:t xml:space="preserve">, </w:t>
            </w:r>
            <w:r w:rsidRPr="00684853">
              <w:rPr>
                <w:rFonts w:ascii="Times New Roman" w:hAnsi="Times New Roman"/>
                <w:color w:val="000000" w:themeColor="text1"/>
                <w:sz w:val="20"/>
                <w:szCs w:val="20"/>
                <w:lang w:val="ro-RO"/>
              </w:rPr>
              <w:t>pierderi</w:t>
            </w:r>
            <w:r w:rsidR="00960137" w:rsidRPr="00684853">
              <w:rPr>
                <w:rFonts w:ascii="Times New Roman" w:hAnsi="Times New Roman"/>
                <w:color w:val="000000" w:themeColor="text1"/>
                <w:sz w:val="20"/>
                <w:szCs w:val="20"/>
                <w:lang w:val="ro-RO"/>
              </w:rPr>
              <w:t>le</w:t>
            </w:r>
            <w:r w:rsidRPr="00684853">
              <w:rPr>
                <w:rFonts w:ascii="Times New Roman" w:hAnsi="Times New Roman"/>
                <w:color w:val="000000" w:themeColor="text1"/>
                <w:sz w:val="20"/>
                <w:szCs w:val="20"/>
                <w:lang w:val="ro-RO"/>
              </w:rPr>
              <w:t xml:space="preserve"> și rezerve</w:t>
            </w:r>
            <w:r w:rsidR="00960137" w:rsidRPr="00684853">
              <w:rPr>
                <w:rFonts w:ascii="Times New Roman" w:hAnsi="Times New Roman"/>
                <w:color w:val="000000" w:themeColor="text1"/>
                <w:sz w:val="20"/>
                <w:szCs w:val="20"/>
                <w:lang w:val="ro-RO"/>
              </w:rPr>
              <w:t>le</w:t>
            </w:r>
            <w:r w:rsidRPr="00684853">
              <w:rPr>
                <w:rFonts w:ascii="Times New Roman" w:hAnsi="Times New Roman"/>
                <w:color w:val="000000" w:themeColor="text1"/>
                <w:sz w:val="20"/>
                <w:szCs w:val="20"/>
                <w:lang w:val="ro-RO"/>
              </w:rPr>
              <w:t xml:space="preserve"> </w:t>
            </w:r>
            <w:r w:rsidR="00960137" w:rsidRPr="00684853">
              <w:rPr>
                <w:rFonts w:ascii="Times New Roman" w:hAnsi="Times New Roman"/>
                <w:color w:val="000000" w:themeColor="text1"/>
                <w:sz w:val="20"/>
                <w:szCs w:val="20"/>
                <w:lang w:val="ro-RO"/>
              </w:rPr>
              <w:t>respective</w:t>
            </w:r>
            <w:r w:rsidR="00960137" w:rsidRPr="00684853" w:rsidDel="00D87560">
              <w:rPr>
                <w:rFonts w:ascii="Times New Roman" w:hAnsi="Times New Roman"/>
                <w:color w:val="000000" w:themeColor="text1"/>
                <w:sz w:val="20"/>
                <w:szCs w:val="20"/>
                <w:lang w:val="ro-RO"/>
              </w:rPr>
              <w:t xml:space="preserve"> </w:t>
            </w:r>
            <w:r w:rsidR="00960137" w:rsidRPr="00684853">
              <w:rPr>
                <w:rFonts w:ascii="Times New Roman" w:hAnsi="Times New Roman"/>
                <w:color w:val="000000" w:themeColor="text1"/>
                <w:sz w:val="20"/>
                <w:szCs w:val="20"/>
                <w:lang w:val="ro-RO"/>
              </w:rPr>
              <w:t xml:space="preserve">fiind </w:t>
            </w:r>
            <w:r w:rsidRPr="00684853">
              <w:rPr>
                <w:rFonts w:ascii="Times New Roman" w:hAnsi="Times New Roman"/>
                <w:color w:val="000000" w:themeColor="text1"/>
                <w:sz w:val="20"/>
                <w:szCs w:val="20"/>
                <w:lang w:val="ro-RO"/>
              </w:rPr>
              <w:t xml:space="preserve">determinate pe baza </w:t>
            </w:r>
            <w:r w:rsidR="00960137" w:rsidRPr="00684853">
              <w:rPr>
                <w:rFonts w:ascii="Times New Roman" w:hAnsi="Times New Roman"/>
                <w:color w:val="000000" w:themeColor="text1"/>
                <w:sz w:val="20"/>
                <w:szCs w:val="20"/>
                <w:lang w:val="ro-RO"/>
              </w:rPr>
              <w:t xml:space="preserve">conturilor </w:t>
            </w:r>
            <w:r w:rsidRPr="00684853">
              <w:rPr>
                <w:rFonts w:ascii="Times New Roman" w:hAnsi="Times New Roman"/>
                <w:color w:val="000000" w:themeColor="text1"/>
                <w:sz w:val="20"/>
                <w:szCs w:val="20"/>
                <w:lang w:val="ro-RO"/>
              </w:rPr>
              <w:t xml:space="preserve">individuale ale  instituției,  și  nu  pe  baza  </w:t>
            </w:r>
            <w:r w:rsidR="00960137" w:rsidRPr="00684853">
              <w:rPr>
                <w:rFonts w:ascii="Times New Roman" w:hAnsi="Times New Roman"/>
                <w:color w:val="000000" w:themeColor="text1"/>
                <w:sz w:val="20"/>
                <w:szCs w:val="20"/>
                <w:lang w:val="ro-RO"/>
              </w:rPr>
              <w:t xml:space="preserve"> conturilor</w:t>
            </w:r>
            <w:r w:rsidRPr="00684853">
              <w:rPr>
                <w:rFonts w:ascii="Times New Roman" w:hAnsi="Times New Roman"/>
                <w:color w:val="000000" w:themeColor="text1"/>
                <w:sz w:val="20"/>
                <w:szCs w:val="20"/>
                <w:lang w:val="ro-RO"/>
              </w:rPr>
              <w:t xml:space="preserve"> consolidate;</w:t>
            </w:r>
          </w:p>
        </w:tc>
        <w:tc>
          <w:tcPr>
            <w:tcW w:w="1636" w:type="pct"/>
          </w:tcPr>
          <w:p w14:paraId="7BD0D84C" w14:textId="08D97FA8" w:rsidR="00B10BED" w:rsidRPr="00684853" w:rsidRDefault="009318E7" w:rsidP="00B10BED">
            <w:pPr>
              <w:spacing w:after="0" w:line="240" w:lineRule="auto"/>
              <w:jc w:val="both"/>
              <w:rPr>
                <w:rFonts w:ascii="Times New Roman" w:eastAsia="Times New Roman" w:hAnsi="Times New Roman" w:cs="Times New Roman"/>
                <w:color w:val="000000" w:themeColor="text1"/>
                <w:sz w:val="20"/>
                <w:szCs w:val="20"/>
                <w:lang w:eastAsia="ro-MD"/>
              </w:rPr>
            </w:pPr>
            <w:r w:rsidRPr="00684853">
              <w:rPr>
                <w:rFonts w:ascii="Times New Roman" w:hAnsi="Times New Roman" w:cs="Times New Roman"/>
                <w:b/>
                <w:bCs/>
                <w:color w:val="000000" w:themeColor="text1"/>
                <w:sz w:val="20"/>
                <w:szCs w:val="20"/>
                <w:lang w:val="ro-RO"/>
              </w:rPr>
              <w:lastRenderedPageBreak/>
              <w:t>elemente care pot fi distribuite</w:t>
            </w:r>
            <w:r w:rsidRPr="00684853">
              <w:rPr>
                <w:rFonts w:ascii="Times New Roman" w:hAnsi="Times New Roman" w:cs="Times New Roman"/>
                <w:color w:val="000000" w:themeColor="text1"/>
                <w:sz w:val="20"/>
                <w:szCs w:val="20"/>
                <w:lang w:val="ro-RO"/>
              </w:rPr>
              <w:t xml:space="preserve"> - </w:t>
            </w:r>
            <w:proofErr w:type="spellStart"/>
            <w:r w:rsidR="00B10BED" w:rsidRPr="00684853">
              <w:rPr>
                <w:rFonts w:ascii="Times New Roman" w:eastAsia="Times New Roman" w:hAnsi="Times New Roman" w:cs="Times New Roman"/>
                <w:color w:val="000000" w:themeColor="text1"/>
                <w:sz w:val="20"/>
                <w:szCs w:val="20"/>
                <w:lang w:eastAsia="ro-MD"/>
              </w:rPr>
              <w:t>cuantumul</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profiturilor</w:t>
            </w:r>
            <w:proofErr w:type="spellEnd"/>
            <w:r w:rsidR="00B10BED" w:rsidRPr="00684853">
              <w:rPr>
                <w:rFonts w:ascii="Times New Roman" w:eastAsia="Times New Roman" w:hAnsi="Times New Roman" w:cs="Times New Roman"/>
                <w:color w:val="000000" w:themeColor="text1"/>
                <w:sz w:val="20"/>
                <w:szCs w:val="20"/>
                <w:lang w:eastAsia="ro-MD"/>
              </w:rPr>
              <w:t xml:space="preserve"> de la </w:t>
            </w:r>
            <w:proofErr w:type="spellStart"/>
            <w:r w:rsidR="00B10BED" w:rsidRPr="00684853">
              <w:rPr>
                <w:rFonts w:ascii="Times New Roman" w:eastAsia="Times New Roman" w:hAnsi="Times New Roman" w:cs="Times New Roman"/>
                <w:color w:val="000000" w:themeColor="text1"/>
                <w:sz w:val="20"/>
                <w:szCs w:val="20"/>
                <w:lang w:eastAsia="ro-MD"/>
              </w:rPr>
              <w:t>sfârșitul</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ultimului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exercițiu</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financiar</w:t>
            </w:r>
            <w:proofErr w:type="spellEnd"/>
            <w:r w:rsidR="00B10BED" w:rsidRPr="00684853">
              <w:rPr>
                <w:rFonts w:ascii="Times New Roman" w:eastAsia="Times New Roman" w:hAnsi="Times New Roman" w:cs="Times New Roman"/>
                <w:color w:val="000000" w:themeColor="text1"/>
                <w:sz w:val="20"/>
                <w:szCs w:val="20"/>
                <w:lang w:eastAsia="ro-MD"/>
              </w:rPr>
              <w:t xml:space="preserve"> plus </w:t>
            </w:r>
            <w:proofErr w:type="spellStart"/>
            <w:r w:rsidR="00B10BED" w:rsidRPr="00684853">
              <w:rPr>
                <w:rFonts w:ascii="Times New Roman" w:eastAsia="Times New Roman" w:hAnsi="Times New Roman" w:cs="Times New Roman"/>
                <w:color w:val="000000" w:themeColor="text1"/>
                <w:sz w:val="20"/>
                <w:szCs w:val="20"/>
                <w:lang w:eastAsia="ro-MD"/>
              </w:rPr>
              <w:t>eventualele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profituri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reportate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și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rezervele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disponibile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în</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acest</w:t>
            </w:r>
            <w:proofErr w:type="spellEnd"/>
            <w:r w:rsidR="00B10BED" w:rsidRPr="00684853">
              <w:rPr>
                <w:rFonts w:ascii="Times New Roman" w:eastAsia="Times New Roman" w:hAnsi="Times New Roman" w:cs="Times New Roman"/>
                <w:color w:val="000000" w:themeColor="text1"/>
                <w:sz w:val="20"/>
                <w:szCs w:val="20"/>
                <w:lang w:eastAsia="ro-MD"/>
              </w:rPr>
              <w:t xml:space="preserve"> scop </w:t>
            </w:r>
            <w:proofErr w:type="spellStart"/>
            <w:r w:rsidR="00B10BED" w:rsidRPr="00684853">
              <w:rPr>
                <w:rFonts w:ascii="Times New Roman" w:eastAsia="Times New Roman" w:hAnsi="Times New Roman" w:cs="Times New Roman"/>
                <w:color w:val="000000" w:themeColor="text1"/>
                <w:sz w:val="20"/>
                <w:szCs w:val="20"/>
                <w:lang w:eastAsia="ro-MD"/>
              </w:rPr>
              <w:t>înainte</w:t>
            </w:r>
            <w:proofErr w:type="spellEnd"/>
            <w:r w:rsidR="00B10BED" w:rsidRPr="00684853">
              <w:rPr>
                <w:rFonts w:ascii="Times New Roman" w:eastAsia="Times New Roman" w:hAnsi="Times New Roman" w:cs="Times New Roman"/>
                <w:color w:val="000000" w:themeColor="text1"/>
                <w:sz w:val="20"/>
                <w:szCs w:val="20"/>
                <w:lang w:eastAsia="ro-MD"/>
              </w:rPr>
              <w:t xml:space="preserve"> de </w:t>
            </w:r>
            <w:proofErr w:type="spellStart"/>
            <w:r w:rsidR="00B10BED" w:rsidRPr="00684853">
              <w:rPr>
                <w:rFonts w:ascii="Times New Roman" w:eastAsia="Times New Roman" w:hAnsi="Times New Roman" w:cs="Times New Roman"/>
                <w:color w:val="000000" w:themeColor="text1"/>
                <w:sz w:val="20"/>
                <w:szCs w:val="20"/>
                <w:lang w:eastAsia="ro-MD"/>
              </w:rPr>
              <w:t>distribuirile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către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deținătorii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instrumentelor</w:t>
            </w:r>
            <w:proofErr w:type="spellEnd"/>
            <w:r w:rsidR="00B10BED" w:rsidRPr="00684853">
              <w:rPr>
                <w:rFonts w:ascii="Times New Roman" w:eastAsia="Times New Roman" w:hAnsi="Times New Roman" w:cs="Times New Roman"/>
                <w:color w:val="000000" w:themeColor="text1"/>
                <w:sz w:val="20"/>
                <w:szCs w:val="20"/>
                <w:lang w:eastAsia="ro-MD"/>
              </w:rPr>
              <w:t xml:space="preserve"> de </w:t>
            </w:r>
            <w:proofErr w:type="spellStart"/>
            <w:r w:rsidR="00B10BED" w:rsidRPr="00684853">
              <w:rPr>
                <w:rFonts w:ascii="Times New Roman" w:eastAsia="Times New Roman" w:hAnsi="Times New Roman" w:cs="Times New Roman"/>
                <w:color w:val="000000" w:themeColor="text1"/>
                <w:sz w:val="20"/>
                <w:szCs w:val="20"/>
                <w:lang w:eastAsia="ro-MD"/>
              </w:rPr>
              <w:lastRenderedPageBreak/>
              <w:t>fonduri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proprii</w:t>
            </w:r>
            <w:proofErr w:type="spellEnd"/>
            <w:r w:rsidR="00B10BED" w:rsidRPr="00684853">
              <w:rPr>
                <w:rFonts w:ascii="Times New Roman" w:eastAsia="Times New Roman" w:hAnsi="Times New Roman" w:cs="Times New Roman"/>
                <w:color w:val="000000" w:themeColor="text1"/>
                <w:sz w:val="20"/>
                <w:szCs w:val="20"/>
                <w:lang w:eastAsia="ro-MD"/>
              </w:rPr>
              <w:t xml:space="preserve">, minus </w:t>
            </w:r>
            <w:proofErr w:type="spellStart"/>
            <w:r w:rsidR="00B10BED" w:rsidRPr="00684853">
              <w:rPr>
                <w:rFonts w:ascii="Times New Roman" w:eastAsia="Times New Roman" w:hAnsi="Times New Roman" w:cs="Times New Roman"/>
                <w:color w:val="000000" w:themeColor="text1"/>
                <w:sz w:val="20"/>
                <w:szCs w:val="20"/>
                <w:lang w:eastAsia="ro-MD"/>
              </w:rPr>
              <w:t>pierderile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reportate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profiturile</w:t>
            </w:r>
            <w:proofErr w:type="spellEnd"/>
            <w:r w:rsidR="00B10BED" w:rsidRPr="00684853">
              <w:rPr>
                <w:rFonts w:ascii="Times New Roman" w:eastAsia="Times New Roman" w:hAnsi="Times New Roman" w:cs="Times New Roman"/>
                <w:color w:val="000000" w:themeColor="text1"/>
                <w:sz w:val="20"/>
                <w:szCs w:val="20"/>
                <w:lang w:eastAsia="ro-MD"/>
              </w:rPr>
              <w:t xml:space="preserve"> care nu pot fi </w:t>
            </w:r>
            <w:proofErr w:type="spellStart"/>
            <w:r w:rsidR="00B10BED" w:rsidRPr="00684853">
              <w:rPr>
                <w:rFonts w:ascii="Times New Roman" w:eastAsia="Times New Roman" w:hAnsi="Times New Roman" w:cs="Times New Roman"/>
                <w:color w:val="000000" w:themeColor="text1"/>
                <w:sz w:val="20"/>
                <w:szCs w:val="20"/>
                <w:lang w:eastAsia="ro-MD"/>
              </w:rPr>
              <w:t>distribuite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în</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temeiul</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dispozițiilor</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legislației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sau</w:t>
            </w:r>
            <w:proofErr w:type="spellEnd"/>
            <w:r w:rsidR="00B10BED" w:rsidRPr="00684853">
              <w:rPr>
                <w:rFonts w:ascii="Times New Roman" w:eastAsia="Times New Roman" w:hAnsi="Times New Roman" w:cs="Times New Roman"/>
                <w:color w:val="000000" w:themeColor="text1"/>
                <w:sz w:val="20"/>
                <w:szCs w:val="20"/>
                <w:lang w:eastAsia="ro-MD"/>
              </w:rPr>
              <w:t xml:space="preserve"> al </w:t>
            </w:r>
            <w:proofErr w:type="spellStart"/>
            <w:r w:rsidR="00B10BED" w:rsidRPr="00684853">
              <w:rPr>
                <w:rFonts w:ascii="Times New Roman" w:eastAsia="Times New Roman" w:hAnsi="Times New Roman" w:cs="Times New Roman"/>
                <w:color w:val="000000" w:themeColor="text1"/>
                <w:sz w:val="20"/>
                <w:szCs w:val="20"/>
                <w:lang w:eastAsia="ro-MD"/>
              </w:rPr>
              <w:t>actului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constitutiv</w:t>
            </w:r>
            <w:proofErr w:type="spellEnd"/>
            <w:r w:rsidR="00B10BED" w:rsidRPr="00684853">
              <w:rPr>
                <w:rFonts w:ascii="Times New Roman" w:eastAsia="Times New Roman" w:hAnsi="Times New Roman" w:cs="Times New Roman"/>
                <w:color w:val="000000" w:themeColor="text1"/>
                <w:sz w:val="20"/>
                <w:szCs w:val="20"/>
                <w:lang w:eastAsia="ro-MD"/>
              </w:rPr>
              <w:t xml:space="preserve"> al </w:t>
            </w:r>
            <w:proofErr w:type="spellStart"/>
            <w:r w:rsidR="00B10BED" w:rsidRPr="00684853">
              <w:rPr>
                <w:rFonts w:ascii="Times New Roman" w:eastAsia="Times New Roman" w:hAnsi="Times New Roman" w:cs="Times New Roman"/>
                <w:color w:val="000000" w:themeColor="text1"/>
                <w:sz w:val="20"/>
                <w:szCs w:val="20"/>
                <w:lang w:eastAsia="ro-MD"/>
              </w:rPr>
              <w:t>băncii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și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sumele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plasate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în</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rezerve</w:t>
            </w:r>
            <w:proofErr w:type="spellEnd"/>
            <w:r w:rsidR="00B10BED" w:rsidRPr="00684853">
              <w:rPr>
                <w:rFonts w:ascii="Times New Roman" w:eastAsia="Times New Roman" w:hAnsi="Times New Roman" w:cs="Times New Roman"/>
                <w:color w:val="000000" w:themeColor="text1"/>
                <w:sz w:val="20"/>
                <w:szCs w:val="20"/>
                <w:lang w:eastAsia="ro-MD"/>
              </w:rPr>
              <w:t xml:space="preserve"> care nu pot fi </w:t>
            </w:r>
            <w:proofErr w:type="spellStart"/>
            <w:r w:rsidR="00B10BED" w:rsidRPr="00684853">
              <w:rPr>
                <w:rFonts w:ascii="Times New Roman" w:eastAsia="Times New Roman" w:hAnsi="Times New Roman" w:cs="Times New Roman"/>
                <w:color w:val="000000" w:themeColor="text1"/>
                <w:sz w:val="20"/>
                <w:szCs w:val="20"/>
                <w:lang w:eastAsia="ro-MD"/>
              </w:rPr>
              <w:t>distribuite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în</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temeiul</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dispozițiilor</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legislației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sau</w:t>
            </w:r>
            <w:proofErr w:type="spellEnd"/>
            <w:r w:rsidR="00B10BED" w:rsidRPr="00684853">
              <w:rPr>
                <w:rFonts w:ascii="Times New Roman" w:eastAsia="Times New Roman" w:hAnsi="Times New Roman" w:cs="Times New Roman"/>
                <w:color w:val="000000" w:themeColor="text1"/>
                <w:sz w:val="20"/>
                <w:szCs w:val="20"/>
                <w:lang w:eastAsia="ro-MD"/>
              </w:rPr>
              <w:t xml:space="preserve"> al </w:t>
            </w:r>
            <w:proofErr w:type="spellStart"/>
            <w:r w:rsidR="00B10BED" w:rsidRPr="00684853">
              <w:rPr>
                <w:rFonts w:ascii="Times New Roman" w:eastAsia="Times New Roman" w:hAnsi="Times New Roman" w:cs="Times New Roman"/>
                <w:color w:val="000000" w:themeColor="text1"/>
                <w:sz w:val="20"/>
                <w:szCs w:val="20"/>
                <w:lang w:eastAsia="ro-MD"/>
              </w:rPr>
              <w:t>actului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constitutiv</w:t>
            </w:r>
            <w:proofErr w:type="spellEnd"/>
            <w:r w:rsidR="00B10BED" w:rsidRPr="00684853">
              <w:rPr>
                <w:rFonts w:ascii="Times New Roman" w:eastAsia="Times New Roman" w:hAnsi="Times New Roman" w:cs="Times New Roman"/>
                <w:color w:val="000000" w:themeColor="text1"/>
                <w:sz w:val="20"/>
                <w:szCs w:val="20"/>
                <w:lang w:eastAsia="ro-MD"/>
              </w:rPr>
              <w:t xml:space="preserve"> al </w:t>
            </w:r>
            <w:proofErr w:type="spellStart"/>
            <w:r w:rsidR="00B10BED" w:rsidRPr="00684853">
              <w:rPr>
                <w:rFonts w:ascii="Times New Roman" w:eastAsia="Times New Roman" w:hAnsi="Times New Roman" w:cs="Times New Roman"/>
                <w:color w:val="000000" w:themeColor="text1"/>
                <w:sz w:val="20"/>
                <w:szCs w:val="20"/>
                <w:lang w:eastAsia="ro-MD"/>
              </w:rPr>
              <w:t>acesteia</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profiturile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pierderile</w:t>
            </w:r>
            <w:proofErr w:type="spellEnd"/>
            <w:r w:rsidR="00B10BED" w:rsidRPr="00684853">
              <w:rPr>
                <w:rFonts w:ascii="Times New Roman" w:eastAsia="Times New Roman" w:hAnsi="Times New Roman" w:cs="Times New Roman"/>
                <w:color w:val="000000" w:themeColor="text1"/>
                <w:sz w:val="20"/>
                <w:szCs w:val="20"/>
                <w:lang w:eastAsia="ro-MD"/>
              </w:rPr>
              <w:t xml:space="preserve"> și </w:t>
            </w:r>
            <w:proofErr w:type="spellStart"/>
            <w:r w:rsidR="00B10BED" w:rsidRPr="00684853">
              <w:rPr>
                <w:rFonts w:ascii="Times New Roman" w:eastAsia="Times New Roman" w:hAnsi="Times New Roman" w:cs="Times New Roman"/>
                <w:color w:val="000000" w:themeColor="text1"/>
                <w:sz w:val="20"/>
                <w:szCs w:val="20"/>
                <w:lang w:eastAsia="ro-MD"/>
              </w:rPr>
              <w:t>rezervele</w:t>
            </w:r>
            <w:proofErr w:type="spellEnd"/>
            <w:r w:rsidR="00B10BED" w:rsidRPr="00684853">
              <w:rPr>
                <w:rFonts w:ascii="Times New Roman" w:eastAsia="Times New Roman" w:hAnsi="Times New Roman" w:cs="Times New Roman"/>
                <w:color w:val="000000" w:themeColor="text1"/>
                <w:sz w:val="20"/>
                <w:szCs w:val="20"/>
                <w:lang w:eastAsia="ro-MD"/>
              </w:rPr>
              <w:t xml:space="preserve"> respective sunt determinate pe </w:t>
            </w:r>
            <w:proofErr w:type="spellStart"/>
            <w:r w:rsidR="00B10BED" w:rsidRPr="00684853">
              <w:rPr>
                <w:rFonts w:ascii="Times New Roman" w:eastAsia="Times New Roman" w:hAnsi="Times New Roman" w:cs="Times New Roman"/>
                <w:color w:val="000000" w:themeColor="text1"/>
                <w:sz w:val="20"/>
                <w:szCs w:val="20"/>
                <w:lang w:eastAsia="ro-MD"/>
              </w:rPr>
              <w:t>baza</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situațiilor</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financiare</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individuale</w:t>
            </w:r>
            <w:proofErr w:type="spellEnd"/>
            <w:r w:rsidR="00B10BED" w:rsidRPr="00684853">
              <w:rPr>
                <w:rFonts w:ascii="Times New Roman" w:eastAsia="Times New Roman" w:hAnsi="Times New Roman" w:cs="Times New Roman"/>
                <w:color w:val="000000" w:themeColor="text1"/>
                <w:sz w:val="20"/>
                <w:szCs w:val="20"/>
                <w:lang w:eastAsia="ro-MD"/>
              </w:rPr>
              <w:t xml:space="preserve"> ale </w:t>
            </w:r>
            <w:proofErr w:type="spellStart"/>
            <w:r w:rsidR="00B10BED" w:rsidRPr="00684853">
              <w:rPr>
                <w:rFonts w:ascii="Times New Roman" w:eastAsia="Times New Roman" w:hAnsi="Times New Roman" w:cs="Times New Roman"/>
                <w:color w:val="000000" w:themeColor="text1"/>
                <w:sz w:val="20"/>
                <w:szCs w:val="20"/>
                <w:lang w:eastAsia="ro-MD"/>
              </w:rPr>
              <w:t>băncii</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și</w:t>
            </w:r>
            <w:proofErr w:type="spellEnd"/>
            <w:r w:rsidR="00B10BED" w:rsidRPr="00684853">
              <w:rPr>
                <w:rFonts w:ascii="Times New Roman" w:eastAsia="Times New Roman" w:hAnsi="Times New Roman" w:cs="Times New Roman"/>
                <w:color w:val="000000" w:themeColor="text1"/>
                <w:sz w:val="20"/>
                <w:szCs w:val="20"/>
                <w:lang w:eastAsia="ro-MD"/>
              </w:rPr>
              <w:t xml:space="preserve"> nu pe </w:t>
            </w:r>
            <w:proofErr w:type="spellStart"/>
            <w:r w:rsidR="00B10BED" w:rsidRPr="00684853">
              <w:rPr>
                <w:rFonts w:ascii="Times New Roman" w:eastAsia="Times New Roman" w:hAnsi="Times New Roman" w:cs="Times New Roman"/>
                <w:color w:val="000000" w:themeColor="text1"/>
                <w:sz w:val="20"/>
                <w:szCs w:val="20"/>
                <w:lang w:eastAsia="ro-MD"/>
              </w:rPr>
              <w:t>baza</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situațiilor</w:t>
            </w:r>
            <w:proofErr w:type="spellEnd"/>
            <w:r w:rsidR="00B10BED" w:rsidRPr="00684853">
              <w:rPr>
                <w:rFonts w:ascii="Times New Roman" w:eastAsia="Times New Roman" w:hAnsi="Times New Roman" w:cs="Times New Roman"/>
                <w:color w:val="000000" w:themeColor="text1"/>
                <w:sz w:val="20"/>
                <w:szCs w:val="20"/>
                <w:lang w:eastAsia="ro-MD"/>
              </w:rPr>
              <w:t xml:space="preserve"> </w:t>
            </w:r>
            <w:proofErr w:type="spellStart"/>
            <w:r w:rsidR="00B10BED" w:rsidRPr="00684853">
              <w:rPr>
                <w:rFonts w:ascii="Times New Roman" w:eastAsia="Times New Roman" w:hAnsi="Times New Roman" w:cs="Times New Roman"/>
                <w:color w:val="000000" w:themeColor="text1"/>
                <w:sz w:val="20"/>
                <w:szCs w:val="20"/>
                <w:lang w:eastAsia="ro-MD"/>
              </w:rPr>
              <w:t>financiare</w:t>
            </w:r>
            <w:proofErr w:type="spellEnd"/>
            <w:r w:rsidR="00B10BED" w:rsidRPr="00684853">
              <w:rPr>
                <w:rFonts w:ascii="Times New Roman" w:eastAsia="Times New Roman" w:hAnsi="Times New Roman" w:cs="Times New Roman"/>
                <w:color w:val="000000" w:themeColor="text1"/>
                <w:sz w:val="20"/>
                <w:szCs w:val="20"/>
                <w:lang w:eastAsia="ro-MD"/>
              </w:rPr>
              <w:t xml:space="preserve"> consolidate;</w:t>
            </w:r>
          </w:p>
          <w:p w14:paraId="53E8E927" w14:textId="1606E097" w:rsidR="00395381" w:rsidRPr="00684853" w:rsidRDefault="00395381" w:rsidP="009318E7">
            <w:pPr>
              <w:spacing w:line="276" w:lineRule="auto"/>
              <w:jc w:val="both"/>
              <w:rPr>
                <w:rFonts w:ascii="Times New Roman" w:hAnsi="Times New Roman" w:cs="Times New Roman"/>
                <w:color w:val="000000" w:themeColor="text1"/>
                <w:sz w:val="20"/>
                <w:szCs w:val="20"/>
              </w:rPr>
            </w:pPr>
          </w:p>
        </w:tc>
        <w:tc>
          <w:tcPr>
            <w:tcW w:w="562" w:type="pct"/>
          </w:tcPr>
          <w:p w14:paraId="294554E9" w14:textId="7846D0C3" w:rsidR="00395381" w:rsidRPr="00684853" w:rsidRDefault="00B10BED"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w:t>
            </w:r>
            <w:r w:rsidR="009318E7" w:rsidRPr="00684853">
              <w:rPr>
                <w:rFonts w:ascii="Times New Roman" w:hAnsi="Times New Roman" w:cs="Times New Roman"/>
                <w:color w:val="000000" w:themeColor="text1"/>
                <w:sz w:val="20"/>
                <w:szCs w:val="20"/>
                <w:lang w:val="ro-RO"/>
              </w:rPr>
              <w:t>ompatibil</w:t>
            </w:r>
          </w:p>
          <w:p w14:paraId="63D73D05" w14:textId="77777777" w:rsidR="00395381" w:rsidRPr="00684853" w:rsidRDefault="00395381" w:rsidP="00967ABE">
            <w:pPr>
              <w:jc w:val="both"/>
              <w:rPr>
                <w:rFonts w:ascii="Times New Roman" w:hAnsi="Times New Roman" w:cs="Times New Roman"/>
                <w:color w:val="000000" w:themeColor="text1"/>
                <w:sz w:val="20"/>
                <w:szCs w:val="20"/>
                <w:lang w:val="ro-RO"/>
              </w:rPr>
            </w:pPr>
          </w:p>
        </w:tc>
        <w:tc>
          <w:tcPr>
            <w:tcW w:w="885" w:type="pct"/>
          </w:tcPr>
          <w:p w14:paraId="5EC86707" w14:textId="77777777" w:rsidR="00B10BED" w:rsidRPr="00684853" w:rsidRDefault="00B10BED" w:rsidP="00B10BED">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p w14:paraId="534CC281" w14:textId="2F4390DB" w:rsidR="00395381" w:rsidRPr="00684853" w:rsidRDefault="00395381" w:rsidP="00967ABE">
            <w:pPr>
              <w:jc w:val="both"/>
              <w:rPr>
                <w:rFonts w:ascii="Times New Roman" w:hAnsi="Times New Roman" w:cs="Times New Roman"/>
                <w:color w:val="000000" w:themeColor="text1"/>
                <w:sz w:val="20"/>
                <w:szCs w:val="20"/>
              </w:rPr>
            </w:pPr>
          </w:p>
        </w:tc>
      </w:tr>
      <w:tr w:rsidR="00EA59FA" w:rsidRPr="00684853" w14:paraId="6BFB863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F8BA5B6" w14:textId="77777777"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▼M5</w:t>
            </w:r>
          </w:p>
          <w:p w14:paraId="72292160" w14:textId="3B611BAC"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129. „societate de administrare” înseamnă o societate de administrare astfel cum este definită la articolul 2 punctul 13 din Regulamentul (UE) 2017/2402;</w:t>
            </w:r>
          </w:p>
        </w:tc>
        <w:tc>
          <w:tcPr>
            <w:tcW w:w="1636" w:type="pct"/>
          </w:tcPr>
          <w:p w14:paraId="2EF25D9B" w14:textId="44856D04" w:rsidR="00395381" w:rsidRPr="00684853" w:rsidRDefault="00887C63" w:rsidP="00967ABE">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3.27. societate de administrare înseamnă o entitate care administrează în mod curent un portofoliu de creanțe achiziționate sau expunerile din credite-suport; </w:t>
            </w:r>
          </w:p>
        </w:tc>
        <w:tc>
          <w:tcPr>
            <w:tcW w:w="562" w:type="pct"/>
          </w:tcPr>
          <w:p w14:paraId="22FDD55B" w14:textId="686AEB2D" w:rsidR="00395381" w:rsidRPr="00684853" w:rsidRDefault="00887C63"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7EEED9EC" w14:textId="5E5515C2" w:rsidR="00395381" w:rsidRPr="00684853" w:rsidRDefault="00887C63"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Regulamentul privind tratamentul prudențial al securitizărilor</w:t>
            </w:r>
          </w:p>
        </w:tc>
      </w:tr>
      <w:tr w:rsidR="00EA59FA" w:rsidRPr="00684853" w14:paraId="2E111E4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1916" w:type="pct"/>
          </w:tcPr>
          <w:p w14:paraId="625B68CB" w14:textId="77777777"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▼M8</w:t>
            </w:r>
          </w:p>
          <w:p w14:paraId="1F6D91FC" w14:textId="67D031A0" w:rsidR="00395381" w:rsidRPr="00684853" w:rsidRDefault="00395381" w:rsidP="002F604E">
            <w:pPr>
              <w:pStyle w:val="CM4"/>
              <w:spacing w:after="120"/>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 xml:space="preserve">130. „autoritate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o autoritate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astfel cum este definită la articolul 2 alineatul (1) punctul 18 din Directiva 2014/59/UE;</w:t>
            </w:r>
          </w:p>
        </w:tc>
        <w:tc>
          <w:tcPr>
            <w:tcW w:w="1636" w:type="pct"/>
          </w:tcPr>
          <w:p w14:paraId="49864118" w14:textId="3000549E" w:rsidR="00395381" w:rsidRPr="00684853" w:rsidRDefault="00887C63" w:rsidP="00967ABE">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8) autoritate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 autoritate împuternicită să aplice instrumente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să exercite </w:t>
            </w:r>
            <w:proofErr w:type="spellStart"/>
            <w:r w:rsidRPr="00684853">
              <w:rPr>
                <w:rFonts w:ascii="Times New Roman" w:hAnsi="Times New Roman" w:cs="Times New Roman"/>
                <w:color w:val="000000" w:themeColor="text1"/>
                <w:sz w:val="20"/>
                <w:szCs w:val="20"/>
                <w:lang w:val="ro-RO"/>
              </w:rPr>
              <w:t>competenţe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potrivit prezentei legi;</w:t>
            </w:r>
          </w:p>
        </w:tc>
        <w:tc>
          <w:tcPr>
            <w:tcW w:w="562" w:type="pct"/>
          </w:tcPr>
          <w:p w14:paraId="3E7C19AC" w14:textId="518A6D2F" w:rsidR="00395381" w:rsidRPr="00684853" w:rsidRDefault="00887C63"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39F1C12A" w14:textId="3CE6DEB1" w:rsidR="00395381" w:rsidRPr="00684853" w:rsidRDefault="00887C63"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Legea nr. 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p>
        </w:tc>
      </w:tr>
      <w:tr w:rsidR="00EA59FA" w:rsidRPr="00684853" w14:paraId="273381D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00D6295" w14:textId="77777777" w:rsidR="00411ED5" w:rsidRPr="00684853" w:rsidRDefault="00411ED5"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M15</w:t>
            </w:r>
          </w:p>
          <w:p w14:paraId="12DA7F88" w14:textId="5C98ED39" w:rsidR="00411ED5" w:rsidRPr="00684853" w:rsidRDefault="00411ED5" w:rsidP="00411ED5">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130a. „autoritate relevantă dintr-o țară terță” înseamnă o autoritate dintr-o țară terță, astfel cum este definită la articolul 2 alineatul (1) punctul 90 din Directiva 2014/59/UE;</w:t>
            </w:r>
          </w:p>
        </w:tc>
        <w:tc>
          <w:tcPr>
            <w:tcW w:w="1636" w:type="pct"/>
          </w:tcPr>
          <w:p w14:paraId="635B4345" w14:textId="77777777" w:rsidR="00411ED5" w:rsidRPr="00684853" w:rsidRDefault="00411ED5" w:rsidP="00967ABE">
            <w:pPr>
              <w:spacing w:line="276" w:lineRule="auto"/>
              <w:rPr>
                <w:rFonts w:ascii="Times New Roman" w:hAnsi="Times New Roman" w:cs="Times New Roman"/>
                <w:color w:val="000000" w:themeColor="text1"/>
                <w:sz w:val="20"/>
                <w:szCs w:val="20"/>
                <w:lang w:val="ro-RO"/>
              </w:rPr>
            </w:pPr>
          </w:p>
        </w:tc>
        <w:tc>
          <w:tcPr>
            <w:tcW w:w="562" w:type="pct"/>
          </w:tcPr>
          <w:p w14:paraId="3F30971E" w14:textId="0FCC92E0" w:rsidR="00411ED5" w:rsidRPr="00684853" w:rsidRDefault="00411ED5"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62226B3" w14:textId="6AE44950" w:rsidR="00411ED5" w:rsidRPr="00684853" w:rsidRDefault="00600084"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Legii nr.232/2016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r w:rsidR="002D2666" w:rsidRPr="00684853">
              <w:rPr>
                <w:rFonts w:ascii="Times New Roman" w:hAnsi="Times New Roman" w:cs="Times New Roman"/>
                <w:color w:val="000000" w:themeColor="text1"/>
                <w:sz w:val="20"/>
                <w:szCs w:val="20"/>
                <w:lang w:val="ro-RO"/>
              </w:rPr>
              <w:t>.</w:t>
            </w:r>
          </w:p>
        </w:tc>
      </w:tr>
      <w:tr w:rsidR="00EA59FA" w:rsidRPr="00684853" w14:paraId="32FC499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FDB1B9E" w14:textId="658EE8A5" w:rsidR="002D2666" w:rsidRPr="00684853" w:rsidRDefault="002D2666" w:rsidP="002D2666">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131. „entitate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o entitate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astfel cum este definită la articolul 2 alineatul (1) punctul 83a din Directiva 2014/59/UE;</w:t>
            </w:r>
          </w:p>
        </w:tc>
        <w:tc>
          <w:tcPr>
            <w:tcW w:w="1636" w:type="pct"/>
          </w:tcPr>
          <w:p w14:paraId="33BF48AD" w14:textId="77777777" w:rsidR="002D2666" w:rsidRPr="00684853" w:rsidRDefault="002D2666" w:rsidP="002D2666">
            <w:pPr>
              <w:spacing w:line="276" w:lineRule="auto"/>
              <w:rPr>
                <w:rFonts w:ascii="Times New Roman" w:hAnsi="Times New Roman" w:cs="Times New Roman"/>
                <w:color w:val="000000" w:themeColor="text1"/>
                <w:sz w:val="20"/>
                <w:szCs w:val="20"/>
                <w:lang w:val="ro-RO"/>
              </w:rPr>
            </w:pPr>
          </w:p>
        </w:tc>
        <w:tc>
          <w:tcPr>
            <w:tcW w:w="562" w:type="pct"/>
          </w:tcPr>
          <w:p w14:paraId="4C53EB3D" w14:textId="4EA157B4" w:rsidR="002D2666" w:rsidRPr="00684853" w:rsidRDefault="002D2666" w:rsidP="002D266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A746D8F" w14:textId="6CBB5CCE" w:rsidR="002D2666" w:rsidRPr="00684853" w:rsidRDefault="002D2666" w:rsidP="002D266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Legii nr.232/2016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p>
        </w:tc>
      </w:tr>
      <w:tr w:rsidR="00EA59FA" w:rsidRPr="00684853" w14:paraId="480CD4F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B5B7460" w14:textId="62AC832B" w:rsidR="002D2666" w:rsidRPr="00684853" w:rsidRDefault="002D2666" w:rsidP="002D2666">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 xml:space="preserve">132. „grup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un grup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astfel cum este definit la articolul 2 alineatul (1) punctul 83b din Directiva 2014/59/UE; </w:t>
            </w:r>
          </w:p>
        </w:tc>
        <w:tc>
          <w:tcPr>
            <w:tcW w:w="1636" w:type="pct"/>
          </w:tcPr>
          <w:p w14:paraId="6E8C4F07" w14:textId="77777777" w:rsidR="002D2666" w:rsidRPr="00684853" w:rsidRDefault="002D2666" w:rsidP="002D2666">
            <w:pPr>
              <w:spacing w:line="276" w:lineRule="auto"/>
              <w:rPr>
                <w:rFonts w:ascii="Times New Roman" w:hAnsi="Times New Roman" w:cs="Times New Roman"/>
                <w:color w:val="000000" w:themeColor="text1"/>
                <w:sz w:val="20"/>
                <w:szCs w:val="20"/>
                <w:lang w:val="ro-RO"/>
              </w:rPr>
            </w:pPr>
          </w:p>
        </w:tc>
        <w:tc>
          <w:tcPr>
            <w:tcW w:w="562" w:type="pct"/>
          </w:tcPr>
          <w:p w14:paraId="17C0BCAD" w14:textId="734F2361" w:rsidR="002D2666" w:rsidRPr="00684853" w:rsidRDefault="002D2666" w:rsidP="002D266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5812F982" w14:textId="27225FA1" w:rsidR="002D2666" w:rsidRPr="00684853" w:rsidRDefault="002D2666" w:rsidP="002D266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proiectul de modificare a Legii nr.232/2016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p>
        </w:tc>
      </w:tr>
      <w:tr w:rsidR="00EA59FA" w:rsidRPr="00684853" w14:paraId="1353997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DBA36CB" w14:textId="1F373727"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133. „</w:t>
            </w:r>
            <w:proofErr w:type="spellStart"/>
            <w:r w:rsidRPr="00684853">
              <w:rPr>
                <w:rFonts w:ascii="Times New Roman" w:hAnsi="Times New Roman"/>
                <w:color w:val="000000" w:themeColor="text1"/>
                <w:sz w:val="20"/>
                <w:szCs w:val="20"/>
                <w:lang w:val="ro-RO"/>
              </w:rPr>
              <w:t>instituţie</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importanţă</w:t>
            </w:r>
            <w:proofErr w:type="spellEnd"/>
            <w:r w:rsidRPr="00684853">
              <w:rPr>
                <w:rFonts w:ascii="Times New Roman" w:hAnsi="Times New Roman"/>
                <w:color w:val="000000" w:themeColor="text1"/>
                <w:sz w:val="20"/>
                <w:szCs w:val="20"/>
                <w:lang w:val="ro-RO"/>
              </w:rPr>
              <w:t xml:space="preserve"> sistemică globală” sau „G-SII” înseamnă o G-SII care a fost identificată în conformitate cu articolul 131 alineatele (1) și (2) din Directiva 2013/36/UE; </w:t>
            </w:r>
          </w:p>
        </w:tc>
        <w:tc>
          <w:tcPr>
            <w:tcW w:w="1636" w:type="pct"/>
          </w:tcPr>
          <w:p w14:paraId="1BD50442"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56110ADA" w14:textId="7BB1B0A3" w:rsidR="00395381" w:rsidRPr="00684853" w:rsidRDefault="008A4340"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6DA33D8" w14:textId="15638CEF" w:rsidR="00395381" w:rsidRPr="00684853" w:rsidRDefault="002D2666" w:rsidP="002D2666">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6ABE8E6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80D11A3" w14:textId="2694DCB1" w:rsidR="00395381" w:rsidRPr="00684853" w:rsidRDefault="00395381" w:rsidP="002F604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134. „</w:t>
            </w:r>
            <w:proofErr w:type="spellStart"/>
            <w:r w:rsidRPr="00684853">
              <w:rPr>
                <w:rFonts w:ascii="Times New Roman" w:hAnsi="Times New Roman"/>
                <w:color w:val="000000" w:themeColor="text1"/>
                <w:sz w:val="20"/>
                <w:szCs w:val="20"/>
                <w:lang w:val="ro-RO"/>
              </w:rPr>
              <w:t>instituţie</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importanţă</w:t>
            </w:r>
            <w:proofErr w:type="spellEnd"/>
            <w:r w:rsidRPr="00684853">
              <w:rPr>
                <w:rFonts w:ascii="Times New Roman" w:hAnsi="Times New Roman"/>
                <w:color w:val="000000" w:themeColor="text1"/>
                <w:sz w:val="20"/>
                <w:szCs w:val="20"/>
                <w:lang w:val="ro-RO"/>
              </w:rPr>
              <w:t xml:space="preserve"> sistemică globală din afara UE” sau „G- SII din afara UE” înseamnă un grup bancar sau o bancă de </w:t>
            </w:r>
            <w:proofErr w:type="spellStart"/>
            <w:r w:rsidRPr="00684853">
              <w:rPr>
                <w:rFonts w:ascii="Times New Roman" w:hAnsi="Times New Roman"/>
                <w:color w:val="000000" w:themeColor="text1"/>
                <w:sz w:val="20"/>
                <w:szCs w:val="20"/>
                <w:lang w:val="ro-RO"/>
              </w:rPr>
              <w:t>importanţă</w:t>
            </w:r>
            <w:proofErr w:type="spellEnd"/>
            <w:r w:rsidRPr="00684853">
              <w:rPr>
                <w:rFonts w:ascii="Times New Roman" w:hAnsi="Times New Roman"/>
                <w:color w:val="000000" w:themeColor="text1"/>
                <w:sz w:val="20"/>
                <w:szCs w:val="20"/>
                <w:lang w:val="ro-RO"/>
              </w:rPr>
              <w:t xml:space="preserve"> sistemică globală (G-SIB) care nu este o G-SII și care este inclus(ă) în lista G-SIB publicată de Consiliul pentru Stabilitate Financiară, astfel cum este actualizată periodic; </w:t>
            </w:r>
          </w:p>
        </w:tc>
        <w:tc>
          <w:tcPr>
            <w:tcW w:w="1636" w:type="pct"/>
          </w:tcPr>
          <w:p w14:paraId="186A67B2"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4518C419" w14:textId="3B7B3D34" w:rsidR="00395381" w:rsidRPr="00684853" w:rsidRDefault="008A4340"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227C1E8" w14:textId="149C5651" w:rsidR="00395381" w:rsidRPr="00684853" w:rsidRDefault="002D2666"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60C4768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51B293B" w14:textId="77777777" w:rsidR="00395381" w:rsidRPr="00684853" w:rsidRDefault="00395381" w:rsidP="00CF20CA">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135. „filială semnificativă” înseamnă o filială care îndeplinește pe bază individuală sau consolidată oricare dintre următoarele </w:t>
            </w:r>
            <w:proofErr w:type="spellStart"/>
            <w:r w:rsidRPr="00684853">
              <w:rPr>
                <w:rFonts w:ascii="Times New Roman" w:hAnsi="Times New Roman"/>
                <w:color w:val="000000" w:themeColor="text1"/>
                <w:sz w:val="20"/>
                <w:szCs w:val="20"/>
                <w:lang w:val="ro-RO"/>
              </w:rPr>
              <w:t>condiţii</w:t>
            </w:r>
            <w:proofErr w:type="spellEnd"/>
            <w:r w:rsidRPr="00684853">
              <w:rPr>
                <w:rFonts w:ascii="Times New Roman" w:hAnsi="Times New Roman"/>
                <w:color w:val="000000" w:themeColor="text1"/>
                <w:sz w:val="20"/>
                <w:szCs w:val="20"/>
                <w:lang w:val="ro-RO"/>
              </w:rPr>
              <w:t xml:space="preserve">: </w:t>
            </w:r>
          </w:p>
          <w:p w14:paraId="0E09AE2E" w14:textId="77777777" w:rsidR="00395381" w:rsidRPr="00684853" w:rsidRDefault="00395381" w:rsidP="00CF20CA">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filiala </w:t>
            </w:r>
            <w:proofErr w:type="spellStart"/>
            <w:r w:rsidRPr="00684853">
              <w:rPr>
                <w:rFonts w:ascii="Times New Roman" w:hAnsi="Times New Roman"/>
                <w:color w:val="000000" w:themeColor="text1"/>
                <w:sz w:val="20"/>
                <w:szCs w:val="20"/>
                <w:lang w:val="ro-RO"/>
              </w:rPr>
              <w:t>deţine</w:t>
            </w:r>
            <w:proofErr w:type="spellEnd"/>
            <w:r w:rsidRPr="00684853">
              <w:rPr>
                <w:rFonts w:ascii="Times New Roman" w:hAnsi="Times New Roman"/>
                <w:color w:val="000000" w:themeColor="text1"/>
                <w:sz w:val="20"/>
                <w:szCs w:val="20"/>
                <w:lang w:val="ro-RO"/>
              </w:rPr>
              <w:t xml:space="preserve"> peste 5 % din activele ponderate la risc pe bază consolidată ale întreprinderii-mamă </w:t>
            </w:r>
            <w:proofErr w:type="spellStart"/>
            <w:r w:rsidRPr="00684853">
              <w:rPr>
                <w:rFonts w:ascii="Times New Roman" w:hAnsi="Times New Roman"/>
                <w:color w:val="000000" w:themeColor="text1"/>
                <w:sz w:val="20"/>
                <w:szCs w:val="20"/>
                <w:lang w:val="ro-RO"/>
              </w:rPr>
              <w:t>iniţiale</w:t>
            </w:r>
            <w:proofErr w:type="spellEnd"/>
            <w:r w:rsidRPr="00684853">
              <w:rPr>
                <w:rFonts w:ascii="Times New Roman" w:hAnsi="Times New Roman"/>
                <w:color w:val="000000" w:themeColor="text1"/>
                <w:sz w:val="20"/>
                <w:szCs w:val="20"/>
                <w:lang w:val="ro-RO"/>
              </w:rPr>
              <w:t>;</w:t>
            </w:r>
          </w:p>
          <w:p w14:paraId="246BC3D9" w14:textId="77777777" w:rsidR="00395381" w:rsidRPr="00684853" w:rsidRDefault="00395381"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filiala generează peste 5 % din veniturile totale din exploatare ale întreprinderii-mamă </w:t>
            </w:r>
            <w:proofErr w:type="spellStart"/>
            <w:r w:rsidRPr="00684853">
              <w:rPr>
                <w:rFonts w:ascii="Times New Roman" w:hAnsi="Times New Roman" w:cs="Times New Roman"/>
                <w:color w:val="000000" w:themeColor="text1"/>
                <w:sz w:val="20"/>
                <w:szCs w:val="20"/>
                <w:lang w:val="ro-RO"/>
              </w:rPr>
              <w:t>iniţiale</w:t>
            </w:r>
            <w:proofErr w:type="spellEnd"/>
            <w:r w:rsidRPr="00684853">
              <w:rPr>
                <w:rFonts w:ascii="Times New Roman" w:hAnsi="Times New Roman" w:cs="Times New Roman"/>
                <w:color w:val="000000" w:themeColor="text1"/>
                <w:sz w:val="20"/>
                <w:szCs w:val="20"/>
                <w:lang w:val="ro-RO"/>
              </w:rPr>
              <w:t>;</w:t>
            </w:r>
          </w:p>
          <w:p w14:paraId="55452AF5" w14:textId="77777777" w:rsidR="00395381" w:rsidRPr="00684853" w:rsidRDefault="00395381"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indicatorul de măsurare a expunerii totale, </w:t>
            </w:r>
            <w:proofErr w:type="spellStart"/>
            <w:r w:rsidRPr="00684853">
              <w:rPr>
                <w:rFonts w:ascii="Times New Roman" w:hAnsi="Times New Roman" w:cs="Times New Roman"/>
                <w:color w:val="000000" w:themeColor="text1"/>
                <w:sz w:val="20"/>
                <w:szCs w:val="20"/>
                <w:lang w:val="ro-RO"/>
              </w:rPr>
              <w:t>menţionat</w:t>
            </w:r>
            <w:proofErr w:type="spellEnd"/>
            <w:r w:rsidRPr="00684853">
              <w:rPr>
                <w:rFonts w:ascii="Times New Roman" w:hAnsi="Times New Roman" w:cs="Times New Roman"/>
                <w:color w:val="000000" w:themeColor="text1"/>
                <w:sz w:val="20"/>
                <w:szCs w:val="20"/>
                <w:lang w:val="ro-RO"/>
              </w:rPr>
              <w:t xml:space="preserve"> la articolul 429 alineatul (4) din prezentul regulament, al filialei reprezintă peste 5 % din indicatorul de măsurare a expunerii totale al întreprinderii-mamă </w:t>
            </w:r>
            <w:proofErr w:type="spellStart"/>
            <w:r w:rsidRPr="00684853">
              <w:rPr>
                <w:rFonts w:ascii="Times New Roman" w:hAnsi="Times New Roman" w:cs="Times New Roman"/>
                <w:color w:val="000000" w:themeColor="text1"/>
                <w:sz w:val="20"/>
                <w:szCs w:val="20"/>
                <w:lang w:val="ro-RO"/>
              </w:rPr>
              <w:t>iniţiale</w:t>
            </w:r>
            <w:proofErr w:type="spellEnd"/>
            <w:r w:rsidRPr="00684853">
              <w:rPr>
                <w:rFonts w:ascii="Times New Roman" w:hAnsi="Times New Roman" w:cs="Times New Roman"/>
                <w:color w:val="000000" w:themeColor="text1"/>
                <w:sz w:val="20"/>
                <w:szCs w:val="20"/>
                <w:lang w:val="ro-RO"/>
              </w:rPr>
              <w:t>;</w:t>
            </w:r>
          </w:p>
          <w:p w14:paraId="2F48C3CE" w14:textId="57A1959E" w:rsidR="00395381" w:rsidRPr="00684853" w:rsidRDefault="00395381"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scopul de a stabili filiala semnificativă, în cazul aplicării articolului 21b alineatul (2) din Directiva 2013/36/UE, cele două întreprinderi-mamă din UE intermediare sunt considerate ca fiind o singură filială pe baza </w:t>
            </w:r>
            <w:proofErr w:type="spellStart"/>
            <w:r w:rsidRPr="00684853">
              <w:rPr>
                <w:rFonts w:ascii="Times New Roman" w:hAnsi="Times New Roman" w:cs="Times New Roman"/>
                <w:color w:val="000000" w:themeColor="text1"/>
                <w:sz w:val="20"/>
                <w:szCs w:val="20"/>
                <w:lang w:val="ro-RO"/>
              </w:rPr>
              <w:t>situaţiei</w:t>
            </w:r>
            <w:proofErr w:type="spellEnd"/>
            <w:r w:rsidRPr="00684853">
              <w:rPr>
                <w:rFonts w:ascii="Times New Roman" w:hAnsi="Times New Roman" w:cs="Times New Roman"/>
                <w:color w:val="000000" w:themeColor="text1"/>
                <w:sz w:val="20"/>
                <w:szCs w:val="20"/>
                <w:lang w:val="ro-RO"/>
              </w:rPr>
              <w:t xml:space="preserve"> lor consolidate;</w:t>
            </w:r>
          </w:p>
        </w:tc>
        <w:tc>
          <w:tcPr>
            <w:tcW w:w="1636" w:type="pct"/>
          </w:tcPr>
          <w:p w14:paraId="158C7694"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48ADBCD8" w14:textId="46DDDD41" w:rsidR="00395381" w:rsidRPr="00684853" w:rsidRDefault="00CF20CA"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C328355" w14:textId="75DDE07B" w:rsidR="00395381" w:rsidRPr="00684853" w:rsidRDefault="002D2666"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odată cu prevederile aferente G-SII.</w:t>
            </w:r>
          </w:p>
        </w:tc>
      </w:tr>
      <w:tr w:rsidR="00EA59FA" w:rsidRPr="00684853" w14:paraId="2AF07EA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82D2D7A" w14:textId="2E131974" w:rsidR="00395381" w:rsidRPr="00684853" w:rsidRDefault="00395381"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136. „entitate G-SII” înseamnă o entitate care are personalitate juridică și care este o G-SII sau care face parte dintr-o G-SII sau dintr-o G-SII din afara UE;</w:t>
            </w:r>
          </w:p>
        </w:tc>
        <w:tc>
          <w:tcPr>
            <w:tcW w:w="1636" w:type="pct"/>
          </w:tcPr>
          <w:p w14:paraId="7836A365"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6327401E" w14:textId="64BBFC19" w:rsidR="00395381" w:rsidRPr="00684853" w:rsidRDefault="00CF20CA"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73D3A46C" w14:textId="7B0C827D" w:rsidR="00395381" w:rsidRPr="00684853" w:rsidRDefault="00D1522A"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 odată cu prevederile aferente G-SII.</w:t>
            </w:r>
          </w:p>
        </w:tc>
      </w:tr>
      <w:tr w:rsidR="00EA59FA" w:rsidRPr="00684853" w14:paraId="6AB2D79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8325554" w14:textId="2F6FC0A7" w:rsidR="00395381" w:rsidRPr="00684853" w:rsidRDefault="00395381" w:rsidP="009D7DA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137. „instrument de recapitalizare internă” înseamnă un instrument de recapitalizare internă, astfel cum este definit la articolul 2 alineatul (1) punctul 57 din Directiva 2014/59/UE;</w:t>
            </w:r>
          </w:p>
        </w:tc>
        <w:tc>
          <w:tcPr>
            <w:tcW w:w="1636" w:type="pct"/>
          </w:tcPr>
          <w:p w14:paraId="2E004AB0" w14:textId="028618CF" w:rsidR="00395381" w:rsidRPr="00684853" w:rsidRDefault="009D7DAF" w:rsidP="00A42F21">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27) instrument de recapitalizare internă – mecanism prin care autoritatea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exercită </w:t>
            </w:r>
            <w:proofErr w:type="spellStart"/>
            <w:r w:rsidRPr="00684853">
              <w:rPr>
                <w:rFonts w:ascii="Times New Roman" w:hAnsi="Times New Roman" w:cs="Times New Roman"/>
                <w:color w:val="000000" w:themeColor="text1"/>
                <w:sz w:val="20"/>
                <w:szCs w:val="20"/>
                <w:lang w:val="ro-RO"/>
              </w:rPr>
              <w:t>competenţele</w:t>
            </w:r>
            <w:proofErr w:type="spellEnd"/>
            <w:r w:rsidRPr="00684853">
              <w:rPr>
                <w:rFonts w:ascii="Times New Roman" w:hAnsi="Times New Roman" w:cs="Times New Roman"/>
                <w:color w:val="000000" w:themeColor="text1"/>
                <w:sz w:val="20"/>
                <w:szCs w:val="20"/>
                <w:lang w:val="ro-RO"/>
              </w:rPr>
              <w:t xml:space="preserve"> de reducere a valorii sau de conversie a datoriilor unei bănci supuse </w:t>
            </w:r>
            <w:proofErr w:type="spellStart"/>
            <w:r w:rsidRPr="00684853">
              <w:rPr>
                <w:rFonts w:ascii="Times New Roman" w:hAnsi="Times New Roman" w:cs="Times New Roman"/>
                <w:color w:val="000000" w:themeColor="text1"/>
                <w:sz w:val="20"/>
                <w:szCs w:val="20"/>
                <w:lang w:val="ro-RO"/>
              </w:rPr>
              <w:t>rezoluţiei</w:t>
            </w:r>
            <w:proofErr w:type="spellEnd"/>
            <w:r w:rsidRPr="00684853">
              <w:rPr>
                <w:rFonts w:ascii="Times New Roman" w:hAnsi="Times New Roman" w:cs="Times New Roman"/>
                <w:color w:val="000000" w:themeColor="text1"/>
                <w:sz w:val="20"/>
                <w:szCs w:val="20"/>
                <w:lang w:val="ro-RO"/>
              </w:rPr>
              <w:t xml:space="preserve"> în conformitate cu art.151-153;</w:t>
            </w:r>
          </w:p>
        </w:tc>
        <w:tc>
          <w:tcPr>
            <w:tcW w:w="562" w:type="pct"/>
          </w:tcPr>
          <w:p w14:paraId="5C3E0D3D" w14:textId="4F16AD2D" w:rsidR="00395381" w:rsidRPr="00684853" w:rsidRDefault="009D7DA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538ECC0E" w14:textId="6C60E3AC" w:rsidR="00395381" w:rsidRPr="00684853" w:rsidRDefault="009D7DA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art.2 p.27) din Legea nr. 232/2016 privind redresarea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rezoluţia</w:t>
            </w:r>
            <w:proofErr w:type="spellEnd"/>
            <w:r w:rsidRPr="00684853">
              <w:rPr>
                <w:rFonts w:ascii="Times New Roman" w:hAnsi="Times New Roman" w:cs="Times New Roman"/>
                <w:color w:val="000000" w:themeColor="text1"/>
                <w:sz w:val="20"/>
                <w:szCs w:val="20"/>
                <w:lang w:val="ro-RO"/>
              </w:rPr>
              <w:t xml:space="preserve"> băncilor</w:t>
            </w:r>
            <w:r w:rsidR="00102EE5" w:rsidRPr="00684853">
              <w:rPr>
                <w:rFonts w:ascii="Times New Roman" w:hAnsi="Times New Roman" w:cs="Times New Roman"/>
                <w:color w:val="000000" w:themeColor="text1"/>
                <w:sz w:val="20"/>
                <w:szCs w:val="20"/>
                <w:lang w:val="ro-RO"/>
              </w:rPr>
              <w:t>.</w:t>
            </w:r>
          </w:p>
        </w:tc>
      </w:tr>
      <w:tr w:rsidR="00EA59FA" w:rsidRPr="00684853" w14:paraId="5603570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9DF6512" w14:textId="5A880B31" w:rsidR="009D7DAF" w:rsidRPr="00684853" w:rsidRDefault="009D7DAF" w:rsidP="00CF20CA">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138. „grup” înseamnă un grup de întreprinderi dintre care cel </w:t>
            </w:r>
            <w:proofErr w:type="spellStart"/>
            <w:r w:rsidRPr="00684853">
              <w:rPr>
                <w:rFonts w:ascii="Times New Roman" w:hAnsi="Times New Roman" w:cs="Times New Roman"/>
                <w:color w:val="000000" w:themeColor="text1"/>
                <w:sz w:val="20"/>
                <w:szCs w:val="20"/>
                <w:lang w:val="ro-RO"/>
              </w:rPr>
              <w:t>puţin</w:t>
            </w:r>
            <w:proofErr w:type="spellEnd"/>
            <w:r w:rsidRPr="00684853">
              <w:rPr>
                <w:rFonts w:ascii="Times New Roman" w:hAnsi="Times New Roman" w:cs="Times New Roman"/>
                <w:color w:val="000000" w:themeColor="text1"/>
                <w:sz w:val="20"/>
                <w:szCs w:val="20"/>
                <w:lang w:val="ro-RO"/>
              </w:rPr>
              <w:t xml:space="preserve"> una este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și care este compus dintr-o întreprindere-mamă și filialele acesteia sau din întreprinderi care sunt legate între ele astfel cum se prevede la articolul 22 din Directiva 2013/34/UE a Parlamentului European și a Consiliului ( 1 );</w:t>
            </w:r>
          </w:p>
        </w:tc>
        <w:tc>
          <w:tcPr>
            <w:tcW w:w="1636" w:type="pct"/>
          </w:tcPr>
          <w:p w14:paraId="3B9B1FC9" w14:textId="77777777" w:rsidR="00102EE5" w:rsidRPr="00684853" w:rsidRDefault="00102EE5" w:rsidP="00411ED5">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grup – un grup de întreprinderi format dintr-o întreprindere-mamă, filialele acesteia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persoanele juridice în cadrul cărora întreprinderea-mamă sau filialele acesteia </w:t>
            </w:r>
            <w:proofErr w:type="spellStart"/>
            <w:r w:rsidRPr="00684853">
              <w:rPr>
                <w:rFonts w:ascii="Times New Roman" w:hAnsi="Times New Roman" w:cs="Times New Roman"/>
                <w:color w:val="000000" w:themeColor="text1"/>
                <w:sz w:val="20"/>
                <w:szCs w:val="20"/>
                <w:lang w:val="ro-RO"/>
              </w:rPr>
              <w:t>deţin</w:t>
            </w:r>
            <w:proofErr w:type="spellEnd"/>
            <w:r w:rsidRPr="00684853">
              <w:rPr>
                <w:rFonts w:ascii="Times New Roman" w:hAnsi="Times New Roman" w:cs="Times New Roman"/>
                <w:color w:val="000000" w:themeColor="text1"/>
                <w:sz w:val="20"/>
                <w:szCs w:val="20"/>
                <w:lang w:val="ro-RO"/>
              </w:rPr>
              <w:t xml:space="preserve"> o </w:t>
            </w:r>
            <w:proofErr w:type="spellStart"/>
            <w:r w:rsidRPr="00684853">
              <w:rPr>
                <w:rFonts w:ascii="Times New Roman" w:hAnsi="Times New Roman" w:cs="Times New Roman"/>
                <w:color w:val="000000" w:themeColor="text1"/>
                <w:sz w:val="20"/>
                <w:szCs w:val="20"/>
                <w:lang w:val="ro-RO"/>
              </w:rPr>
              <w:t>participaţie</w:t>
            </w:r>
            <w:proofErr w:type="spellEnd"/>
            <w:r w:rsidRPr="00684853">
              <w:rPr>
                <w:rFonts w:ascii="Times New Roman" w:hAnsi="Times New Roman" w:cs="Times New Roman"/>
                <w:color w:val="000000" w:themeColor="text1"/>
                <w:sz w:val="20"/>
                <w:szCs w:val="20"/>
                <w:lang w:val="ro-RO"/>
              </w:rPr>
              <w:t xml:space="preserve">, precum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un grup de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legate între ele printr-o </w:t>
            </w:r>
            <w:proofErr w:type="spellStart"/>
            <w:r w:rsidRPr="00684853">
              <w:rPr>
                <w:rFonts w:ascii="Times New Roman" w:hAnsi="Times New Roman" w:cs="Times New Roman"/>
                <w:color w:val="000000" w:themeColor="text1"/>
                <w:sz w:val="20"/>
                <w:szCs w:val="20"/>
                <w:lang w:val="ro-RO"/>
              </w:rPr>
              <w:t>relaţie</w:t>
            </w:r>
            <w:proofErr w:type="spellEnd"/>
            <w:r w:rsidRPr="00684853">
              <w:rPr>
                <w:rFonts w:ascii="Times New Roman" w:hAnsi="Times New Roman" w:cs="Times New Roman"/>
                <w:color w:val="000000" w:themeColor="text1"/>
                <w:sz w:val="20"/>
                <w:szCs w:val="20"/>
                <w:lang w:val="ro-RO"/>
              </w:rPr>
              <w:t xml:space="preserve"> în următorul sens:</w:t>
            </w:r>
          </w:p>
          <w:p w14:paraId="491F448D" w14:textId="77777777" w:rsidR="00102EE5" w:rsidRPr="00684853" w:rsidRDefault="00102EE5" w:rsidP="00411ED5">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două sau mai multe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sînt</w:t>
            </w:r>
            <w:proofErr w:type="spellEnd"/>
            <w:r w:rsidRPr="00684853">
              <w:rPr>
                <w:rFonts w:ascii="Times New Roman" w:hAnsi="Times New Roman" w:cs="Times New Roman"/>
                <w:color w:val="000000" w:themeColor="text1"/>
                <w:sz w:val="20"/>
                <w:szCs w:val="20"/>
                <w:lang w:val="ro-RO"/>
              </w:rPr>
              <w:t xml:space="preserve"> conduse împreună, în virtutea unui contract încheiat sau a prevederilor din statutul sau actul constitutiv al </w:t>
            </w:r>
            <w:proofErr w:type="spellStart"/>
            <w:r w:rsidRPr="00684853">
              <w:rPr>
                <w:rFonts w:ascii="Times New Roman" w:hAnsi="Times New Roman" w:cs="Times New Roman"/>
                <w:color w:val="000000" w:themeColor="text1"/>
                <w:sz w:val="20"/>
                <w:szCs w:val="20"/>
                <w:lang w:val="ro-RO"/>
              </w:rPr>
              <w:t>entităţilor</w:t>
            </w:r>
            <w:proofErr w:type="spellEnd"/>
            <w:r w:rsidRPr="00684853">
              <w:rPr>
                <w:rFonts w:ascii="Times New Roman" w:hAnsi="Times New Roman" w:cs="Times New Roman"/>
                <w:color w:val="000000" w:themeColor="text1"/>
                <w:sz w:val="20"/>
                <w:szCs w:val="20"/>
                <w:lang w:val="ro-RO"/>
              </w:rPr>
              <w:t>;</w:t>
            </w:r>
          </w:p>
          <w:p w14:paraId="3A35610B" w14:textId="4F95A997" w:rsidR="009D7DAF" w:rsidRPr="00684853" w:rsidRDefault="00102EE5" w:rsidP="00411ED5">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organele de conducere a două sau mai multe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sînt</w:t>
            </w:r>
            <w:proofErr w:type="spellEnd"/>
            <w:r w:rsidRPr="00684853">
              <w:rPr>
                <w:rFonts w:ascii="Times New Roman" w:hAnsi="Times New Roman" w:cs="Times New Roman"/>
                <w:color w:val="000000" w:themeColor="text1"/>
                <w:sz w:val="20"/>
                <w:szCs w:val="20"/>
                <w:lang w:val="ro-RO"/>
              </w:rPr>
              <w:t xml:space="preserve"> formate din </w:t>
            </w:r>
            <w:proofErr w:type="spellStart"/>
            <w:r w:rsidRPr="00684853">
              <w:rPr>
                <w:rFonts w:ascii="Times New Roman" w:hAnsi="Times New Roman" w:cs="Times New Roman"/>
                <w:color w:val="000000" w:themeColor="text1"/>
                <w:sz w:val="20"/>
                <w:szCs w:val="20"/>
                <w:lang w:val="ro-RO"/>
              </w:rPr>
              <w:t>aceleaşi</w:t>
            </w:r>
            <w:proofErr w:type="spellEnd"/>
            <w:r w:rsidRPr="00684853">
              <w:rPr>
                <w:rFonts w:ascii="Times New Roman" w:hAnsi="Times New Roman" w:cs="Times New Roman"/>
                <w:color w:val="000000" w:themeColor="text1"/>
                <w:sz w:val="20"/>
                <w:szCs w:val="20"/>
                <w:lang w:val="ro-RO"/>
              </w:rPr>
              <w:t xml:space="preserve"> persoane </w:t>
            </w:r>
            <w:proofErr w:type="spellStart"/>
            <w:r w:rsidRPr="00684853">
              <w:rPr>
                <w:rFonts w:ascii="Times New Roman" w:hAnsi="Times New Roman" w:cs="Times New Roman"/>
                <w:color w:val="000000" w:themeColor="text1"/>
                <w:sz w:val="20"/>
                <w:szCs w:val="20"/>
                <w:lang w:val="ro-RO"/>
              </w:rPr>
              <w:t>reprezentînd</w:t>
            </w:r>
            <w:proofErr w:type="spellEnd"/>
            <w:r w:rsidRPr="00684853">
              <w:rPr>
                <w:rFonts w:ascii="Times New Roman" w:hAnsi="Times New Roman" w:cs="Times New Roman"/>
                <w:color w:val="000000" w:themeColor="text1"/>
                <w:sz w:val="20"/>
                <w:szCs w:val="20"/>
                <w:lang w:val="ro-RO"/>
              </w:rPr>
              <w:t xml:space="preserve"> majoritatea, aflate în </w:t>
            </w:r>
            <w:proofErr w:type="spellStart"/>
            <w:r w:rsidRPr="00684853">
              <w:rPr>
                <w:rFonts w:ascii="Times New Roman" w:hAnsi="Times New Roman" w:cs="Times New Roman"/>
                <w:color w:val="000000" w:themeColor="text1"/>
                <w:sz w:val="20"/>
                <w:szCs w:val="20"/>
                <w:lang w:val="ro-RO"/>
              </w:rPr>
              <w:t>funcţie</w:t>
            </w:r>
            <w:proofErr w:type="spellEnd"/>
            <w:r w:rsidRPr="00684853">
              <w:rPr>
                <w:rFonts w:ascii="Times New Roman" w:hAnsi="Times New Roman" w:cs="Times New Roman"/>
                <w:color w:val="000000" w:themeColor="text1"/>
                <w:sz w:val="20"/>
                <w:szCs w:val="20"/>
                <w:lang w:val="ro-RO"/>
              </w:rPr>
              <w:t xml:space="preserve"> în perioada de gestiune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pînă</w:t>
            </w:r>
            <w:proofErr w:type="spellEnd"/>
            <w:r w:rsidRPr="00684853">
              <w:rPr>
                <w:rFonts w:ascii="Times New Roman" w:hAnsi="Times New Roman" w:cs="Times New Roman"/>
                <w:color w:val="000000" w:themeColor="text1"/>
                <w:sz w:val="20"/>
                <w:szCs w:val="20"/>
                <w:lang w:val="ro-RO"/>
              </w:rPr>
              <w:t xml:space="preserve"> la întocmirea </w:t>
            </w:r>
            <w:proofErr w:type="spellStart"/>
            <w:r w:rsidRPr="00684853">
              <w:rPr>
                <w:rFonts w:ascii="Times New Roman" w:hAnsi="Times New Roman" w:cs="Times New Roman"/>
                <w:color w:val="000000" w:themeColor="text1"/>
                <w:sz w:val="20"/>
                <w:szCs w:val="20"/>
                <w:lang w:val="ro-RO"/>
              </w:rPr>
              <w:t>situaţiilor</w:t>
            </w:r>
            <w:proofErr w:type="spellEnd"/>
            <w:r w:rsidRPr="00684853">
              <w:rPr>
                <w:rFonts w:ascii="Times New Roman" w:hAnsi="Times New Roman" w:cs="Times New Roman"/>
                <w:color w:val="000000" w:themeColor="text1"/>
                <w:sz w:val="20"/>
                <w:szCs w:val="20"/>
                <w:lang w:val="ro-RO"/>
              </w:rPr>
              <w:t xml:space="preserve"> financiare consolidate.</w:t>
            </w:r>
          </w:p>
        </w:tc>
        <w:tc>
          <w:tcPr>
            <w:tcW w:w="562" w:type="pct"/>
          </w:tcPr>
          <w:p w14:paraId="2CD8C65A" w14:textId="38BC12E3" w:rsidR="009D7DAF" w:rsidRPr="00684853" w:rsidRDefault="00102EE5"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885" w:type="pct"/>
          </w:tcPr>
          <w:p w14:paraId="133E3EFE" w14:textId="11C543AE" w:rsidR="009D7DAF" w:rsidRPr="00684853" w:rsidRDefault="00102EE5" w:rsidP="00102EE5">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art.3 din Legea nr.250/2017 cu privire la supravegherea suplimentară a băncilor, asigurătorilor/ </w:t>
            </w:r>
            <w:proofErr w:type="spellStart"/>
            <w:r w:rsidRPr="00684853">
              <w:rPr>
                <w:rFonts w:ascii="Times New Roman" w:hAnsi="Times New Roman" w:cs="Times New Roman"/>
                <w:color w:val="000000" w:themeColor="text1"/>
                <w:sz w:val="20"/>
                <w:szCs w:val="20"/>
                <w:lang w:val="ro-RO"/>
              </w:rPr>
              <w:t>reasigurătorilor</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 </w:t>
            </w:r>
            <w:proofErr w:type="spellStart"/>
            <w:r w:rsidRPr="00684853">
              <w:rPr>
                <w:rFonts w:ascii="Times New Roman" w:hAnsi="Times New Roman" w:cs="Times New Roman"/>
                <w:color w:val="000000" w:themeColor="text1"/>
                <w:sz w:val="20"/>
                <w:szCs w:val="20"/>
                <w:lang w:val="ro-RO"/>
              </w:rPr>
              <w:t>societăţilor</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investiţii</w:t>
            </w:r>
            <w:proofErr w:type="spellEnd"/>
            <w:r w:rsidRPr="00684853">
              <w:rPr>
                <w:rFonts w:ascii="Times New Roman" w:hAnsi="Times New Roman" w:cs="Times New Roman"/>
                <w:color w:val="000000" w:themeColor="text1"/>
                <w:sz w:val="20"/>
                <w:szCs w:val="20"/>
                <w:lang w:val="ro-RO"/>
              </w:rPr>
              <w:t xml:space="preserve"> care </w:t>
            </w:r>
            <w:proofErr w:type="spellStart"/>
            <w:r w:rsidRPr="00684853">
              <w:rPr>
                <w:rFonts w:ascii="Times New Roman" w:hAnsi="Times New Roman" w:cs="Times New Roman"/>
                <w:color w:val="000000" w:themeColor="text1"/>
                <w:sz w:val="20"/>
                <w:szCs w:val="20"/>
                <w:lang w:val="ro-RO"/>
              </w:rPr>
              <w:t>aparţin</w:t>
            </w:r>
            <w:proofErr w:type="spellEnd"/>
            <w:r w:rsidRPr="00684853">
              <w:rPr>
                <w:rFonts w:ascii="Times New Roman" w:hAnsi="Times New Roman" w:cs="Times New Roman"/>
                <w:color w:val="000000" w:themeColor="text1"/>
                <w:sz w:val="20"/>
                <w:szCs w:val="20"/>
                <w:lang w:val="ro-RO"/>
              </w:rPr>
              <w:t xml:space="preserve"> unui conglomerat financiar.</w:t>
            </w:r>
          </w:p>
        </w:tc>
      </w:tr>
      <w:tr w:rsidR="00EA59FA" w:rsidRPr="00684853" w14:paraId="000B129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A6AA455" w14:textId="0D510804"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139. „</w:t>
            </w:r>
            <w:proofErr w:type="spellStart"/>
            <w:r w:rsidRPr="00684853">
              <w:rPr>
                <w:rFonts w:ascii="Times New Roman" w:hAnsi="Times New Roman" w:cs="Times New Roman"/>
                <w:color w:val="000000" w:themeColor="text1"/>
                <w:sz w:val="20"/>
                <w:szCs w:val="20"/>
                <w:lang w:val="ro-RO"/>
              </w:rPr>
              <w:t>operaţiune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finanţare</w:t>
            </w:r>
            <w:proofErr w:type="spellEnd"/>
            <w:r w:rsidRPr="00684853">
              <w:rPr>
                <w:rFonts w:ascii="Times New Roman" w:hAnsi="Times New Roman" w:cs="Times New Roman"/>
                <w:color w:val="000000" w:themeColor="text1"/>
                <w:sz w:val="20"/>
                <w:szCs w:val="20"/>
                <w:lang w:val="ro-RO"/>
              </w:rPr>
              <w:t xml:space="preserve"> prin instrumente financiare” înseamnă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răscumpărare,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dare sau luare cu împrumut de titluri de valoare sau mărfuri sau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creditare în marjă;</w:t>
            </w:r>
          </w:p>
        </w:tc>
        <w:tc>
          <w:tcPr>
            <w:tcW w:w="1636" w:type="pct"/>
          </w:tcPr>
          <w:p w14:paraId="382F0002"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7E20303A" w14:textId="1227E298" w:rsidR="00395381" w:rsidRPr="00684853" w:rsidRDefault="00D90A48"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3E729AA" w14:textId="3A7CE0BB" w:rsidR="00395381" w:rsidRPr="00684853" w:rsidRDefault="00395381" w:rsidP="00CA520D">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transpusă în </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sau în</w:t>
            </w:r>
            <w:r w:rsidRPr="00684853">
              <w:rPr>
                <w:rFonts w:ascii="Times New Roman" w:hAnsi="Times New Roman" w:cs="Times New Roman"/>
                <w:b/>
                <w:color w:val="000000" w:themeColor="text1"/>
                <w:sz w:val="20"/>
                <w:szCs w:val="20"/>
                <w:lang w:val="ro-RO"/>
              </w:rPr>
              <w:t xml:space="preserve"> Regulamentul </w:t>
            </w:r>
            <w:r w:rsidRPr="00684853">
              <w:rPr>
                <w:rFonts w:ascii="Times New Roman" w:hAnsi="Times New Roman" w:cs="Times New Roman"/>
                <w:b/>
                <w:color w:val="000000" w:themeColor="text1"/>
                <w:sz w:val="20"/>
                <w:szCs w:val="20"/>
                <w:lang w:val="ro-RO"/>
              </w:rPr>
              <w:lastRenderedPageBreak/>
              <w:t>nr.274/2020 privind efectul de levier pentru bănci</w:t>
            </w:r>
          </w:p>
        </w:tc>
      </w:tr>
      <w:tr w:rsidR="00EA59FA" w:rsidRPr="00684853" w14:paraId="0161AF9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599784E" w14:textId="7435D9B5"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140. „marjă </w:t>
            </w:r>
            <w:proofErr w:type="spellStart"/>
            <w:r w:rsidRPr="00684853">
              <w:rPr>
                <w:rFonts w:ascii="Times New Roman" w:hAnsi="Times New Roman" w:cs="Times New Roman"/>
                <w:color w:val="000000" w:themeColor="text1"/>
                <w:sz w:val="20"/>
                <w:szCs w:val="20"/>
                <w:lang w:val="ro-RO"/>
              </w:rPr>
              <w:t>iniţială</w:t>
            </w:r>
            <w:proofErr w:type="spellEnd"/>
            <w:r w:rsidRPr="00684853">
              <w:rPr>
                <w:rFonts w:ascii="Times New Roman" w:hAnsi="Times New Roman" w:cs="Times New Roman"/>
                <w:color w:val="000000" w:themeColor="text1"/>
                <w:sz w:val="20"/>
                <w:szCs w:val="20"/>
                <w:lang w:val="ro-RO"/>
              </w:rPr>
              <w:t xml:space="preserve">” sau „IM” înseamnă orice </w:t>
            </w:r>
            <w:proofErr w:type="spellStart"/>
            <w:r w:rsidRPr="00684853">
              <w:rPr>
                <w:rFonts w:ascii="Times New Roman" w:hAnsi="Times New Roman" w:cs="Times New Roman"/>
                <w:color w:val="000000" w:themeColor="text1"/>
                <w:sz w:val="20"/>
                <w:szCs w:val="20"/>
                <w:lang w:val="ro-RO"/>
              </w:rPr>
              <w:t>garanţie</w:t>
            </w:r>
            <w:proofErr w:type="spellEnd"/>
            <w:r w:rsidRPr="00684853">
              <w:rPr>
                <w:rFonts w:ascii="Times New Roman" w:hAnsi="Times New Roman" w:cs="Times New Roman"/>
                <w:color w:val="000000" w:themeColor="text1"/>
                <w:sz w:val="20"/>
                <w:szCs w:val="20"/>
                <w:lang w:val="ro-RO"/>
              </w:rPr>
              <w:t xml:space="preserve"> reală, alta decât marja de </w:t>
            </w:r>
            <w:proofErr w:type="spellStart"/>
            <w:r w:rsidRPr="00684853">
              <w:rPr>
                <w:rFonts w:ascii="Times New Roman" w:hAnsi="Times New Roman" w:cs="Times New Roman"/>
                <w:color w:val="000000" w:themeColor="text1"/>
                <w:sz w:val="20"/>
                <w:szCs w:val="20"/>
                <w:lang w:val="ro-RO"/>
              </w:rPr>
              <w:t>variaţie</w:t>
            </w:r>
            <w:proofErr w:type="spellEnd"/>
            <w:r w:rsidRPr="00684853">
              <w:rPr>
                <w:rFonts w:ascii="Times New Roman" w:hAnsi="Times New Roman" w:cs="Times New Roman"/>
                <w:color w:val="000000" w:themeColor="text1"/>
                <w:sz w:val="20"/>
                <w:szCs w:val="20"/>
                <w:lang w:val="ro-RO"/>
              </w:rPr>
              <w:t xml:space="preserve">, colectată de la o entitate sau furnizată unei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pentru a acoperi expunerea curentă și expunerea viitoare </w:t>
            </w:r>
            <w:proofErr w:type="spellStart"/>
            <w:r w:rsidRPr="00684853">
              <w:rPr>
                <w:rFonts w:ascii="Times New Roman" w:hAnsi="Times New Roman" w:cs="Times New Roman"/>
                <w:color w:val="000000" w:themeColor="text1"/>
                <w:sz w:val="20"/>
                <w:szCs w:val="20"/>
                <w:lang w:val="ro-RO"/>
              </w:rPr>
              <w:t>potenţială</w:t>
            </w:r>
            <w:proofErr w:type="spellEnd"/>
            <w:r w:rsidRPr="00684853">
              <w:rPr>
                <w:rFonts w:ascii="Times New Roman" w:hAnsi="Times New Roman" w:cs="Times New Roman"/>
                <w:color w:val="000000" w:themeColor="text1"/>
                <w:sz w:val="20"/>
                <w:szCs w:val="20"/>
                <w:lang w:val="ro-RO"/>
              </w:rPr>
              <w:t xml:space="preserve"> a unei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 xml:space="preserve"> sau a unui portofoliu de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 xml:space="preserve"> în perioada necesară pentru lichidarea </w:t>
            </w:r>
            <w:proofErr w:type="spellStart"/>
            <w:r w:rsidRPr="00684853">
              <w:rPr>
                <w:rFonts w:ascii="Times New Roman" w:hAnsi="Times New Roman" w:cs="Times New Roman"/>
                <w:color w:val="000000" w:themeColor="text1"/>
                <w:sz w:val="20"/>
                <w:szCs w:val="20"/>
                <w:lang w:val="ro-RO"/>
              </w:rPr>
              <w:t>tranzacţiilor</w:t>
            </w:r>
            <w:proofErr w:type="spellEnd"/>
            <w:r w:rsidRPr="00684853">
              <w:rPr>
                <w:rFonts w:ascii="Times New Roman" w:hAnsi="Times New Roman" w:cs="Times New Roman"/>
                <w:color w:val="000000" w:themeColor="text1"/>
                <w:sz w:val="20"/>
                <w:szCs w:val="20"/>
                <w:lang w:val="ro-RO"/>
              </w:rPr>
              <w:t xml:space="preserve"> respective sau pentru reacoperirea riscului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aferent acestora, ca urmare a neîndeplinirii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de plată de către </w:t>
            </w:r>
            <w:proofErr w:type="spellStart"/>
            <w:r w:rsidRPr="00684853">
              <w:rPr>
                <w:rFonts w:ascii="Times New Roman" w:hAnsi="Times New Roman" w:cs="Times New Roman"/>
                <w:color w:val="000000" w:themeColor="text1"/>
                <w:sz w:val="20"/>
                <w:szCs w:val="20"/>
                <w:lang w:val="ro-RO"/>
              </w:rPr>
              <w:t>contrapartea</w:t>
            </w:r>
            <w:proofErr w:type="spellEnd"/>
            <w:r w:rsidRPr="00684853">
              <w:rPr>
                <w:rFonts w:ascii="Times New Roman" w:hAnsi="Times New Roman" w:cs="Times New Roman"/>
                <w:color w:val="000000" w:themeColor="text1"/>
                <w:sz w:val="20"/>
                <w:szCs w:val="20"/>
                <w:lang w:val="ro-RO"/>
              </w:rPr>
              <w:t xml:space="preserve"> la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sau la portofoliul de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w:t>
            </w:r>
          </w:p>
        </w:tc>
        <w:tc>
          <w:tcPr>
            <w:tcW w:w="1636" w:type="pct"/>
          </w:tcPr>
          <w:p w14:paraId="6BA8F01F"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4B10C069" w14:textId="360C9AA6" w:rsidR="00395381" w:rsidRPr="00684853" w:rsidRDefault="00D90A48"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5CB24C64" w14:textId="47BD1E46"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transpusă în  </w:t>
            </w:r>
            <w:r w:rsidRPr="00684853">
              <w:rPr>
                <w:rFonts w:ascii="Times New Roman" w:hAnsi="Times New Roman" w:cs="Times New Roman"/>
                <w:b/>
                <w:color w:val="000000" w:themeColor="text1"/>
                <w:sz w:val="20"/>
                <w:szCs w:val="20"/>
                <w:lang w:val="ro-RO"/>
              </w:rPr>
              <w:t>Regulamentul cu privire la tratamentul riscului de piață potrivit abordării standardizate</w:t>
            </w:r>
            <w:r w:rsidRPr="00684853">
              <w:rPr>
                <w:rFonts w:ascii="Times New Roman" w:hAnsi="Times New Roman" w:cs="Times New Roman"/>
                <w:color w:val="000000" w:themeColor="text1"/>
                <w:sz w:val="20"/>
                <w:szCs w:val="20"/>
                <w:lang w:val="ro-RO"/>
              </w:rPr>
              <w:t>, aprobat prin HCE al BNM nr.114/2018.</w:t>
            </w:r>
          </w:p>
        </w:tc>
      </w:tr>
      <w:tr w:rsidR="00EA59FA" w:rsidRPr="00684853" w14:paraId="58A1AA0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9C47C10" w14:textId="68D5C839"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141. „risc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inclusiv ale cursurilor de schimb valutar sau ale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mărfurilor; </w:t>
            </w:r>
          </w:p>
        </w:tc>
        <w:tc>
          <w:tcPr>
            <w:tcW w:w="1636" w:type="pct"/>
          </w:tcPr>
          <w:p w14:paraId="21D83F37" w14:textId="42C92104" w:rsidR="00395381" w:rsidRPr="00684853" w:rsidRDefault="00D90A48" w:rsidP="00A52B5F">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risc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 riscul de a înregistra pierderi aferente </w:t>
            </w:r>
            <w:proofErr w:type="spellStart"/>
            <w:r w:rsidRPr="00684853">
              <w:rPr>
                <w:rFonts w:ascii="Times New Roman" w:hAnsi="Times New Roman" w:cs="Times New Roman"/>
                <w:color w:val="000000" w:themeColor="text1"/>
                <w:sz w:val="20"/>
                <w:szCs w:val="20"/>
                <w:lang w:val="ro-RO"/>
              </w:rPr>
              <w:t>poziţiilor</w:t>
            </w:r>
            <w:proofErr w:type="spellEnd"/>
            <w:r w:rsidRPr="00684853">
              <w:rPr>
                <w:rFonts w:ascii="Times New Roman" w:hAnsi="Times New Roman" w:cs="Times New Roman"/>
                <w:color w:val="000000" w:themeColor="text1"/>
                <w:sz w:val="20"/>
                <w:szCs w:val="20"/>
                <w:lang w:val="ro-RO"/>
              </w:rPr>
              <w:t xml:space="preserve"> din </w:t>
            </w:r>
            <w:proofErr w:type="spellStart"/>
            <w:r w:rsidRPr="00684853">
              <w:rPr>
                <w:rFonts w:ascii="Times New Roman" w:hAnsi="Times New Roman" w:cs="Times New Roman"/>
                <w:color w:val="000000" w:themeColor="text1"/>
                <w:sz w:val="20"/>
                <w:szCs w:val="20"/>
                <w:lang w:val="ro-RO"/>
              </w:rPr>
              <w:t>bilanţ</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din afara </w:t>
            </w:r>
            <w:proofErr w:type="spellStart"/>
            <w:r w:rsidRPr="00684853">
              <w:rPr>
                <w:rFonts w:ascii="Times New Roman" w:hAnsi="Times New Roman" w:cs="Times New Roman"/>
                <w:color w:val="000000" w:themeColor="text1"/>
                <w:sz w:val="20"/>
                <w:szCs w:val="20"/>
                <w:lang w:val="ro-RO"/>
              </w:rPr>
              <w:t>bilanţului</w:t>
            </w:r>
            <w:proofErr w:type="spellEnd"/>
            <w:r w:rsidRPr="00684853">
              <w:rPr>
                <w:rFonts w:ascii="Times New Roman" w:hAnsi="Times New Roman" w:cs="Times New Roman"/>
                <w:color w:val="000000" w:themeColor="text1"/>
                <w:sz w:val="20"/>
                <w:szCs w:val="20"/>
                <w:lang w:val="ro-RO"/>
              </w:rPr>
              <w:t xml:space="preserve"> din cauza </w:t>
            </w:r>
            <w:proofErr w:type="spellStart"/>
            <w:r w:rsidRPr="00684853">
              <w:rPr>
                <w:rFonts w:ascii="Times New Roman" w:hAnsi="Times New Roman" w:cs="Times New Roman"/>
                <w:color w:val="000000" w:themeColor="text1"/>
                <w:sz w:val="20"/>
                <w:szCs w:val="20"/>
                <w:lang w:val="ro-RO"/>
              </w:rPr>
              <w:t>fluctuaţiilor</w:t>
            </w:r>
            <w:proofErr w:type="spellEnd"/>
            <w:r w:rsidRPr="00684853">
              <w:rPr>
                <w:rFonts w:ascii="Times New Roman" w:hAnsi="Times New Roman" w:cs="Times New Roman"/>
                <w:color w:val="000000" w:themeColor="text1"/>
                <w:sz w:val="20"/>
                <w:szCs w:val="20"/>
                <w:lang w:val="ro-RO"/>
              </w:rPr>
              <w:t xml:space="preserve"> nefavorabile pe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ale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instrumentelor financiare </w:t>
            </w:r>
            <w:proofErr w:type="spellStart"/>
            <w:r w:rsidRPr="00684853">
              <w:rPr>
                <w:rFonts w:ascii="Times New Roman" w:hAnsi="Times New Roman" w:cs="Times New Roman"/>
                <w:color w:val="000000" w:themeColor="text1"/>
                <w:sz w:val="20"/>
                <w:szCs w:val="20"/>
                <w:lang w:val="ro-RO"/>
              </w:rPr>
              <w:t>deţinute</w:t>
            </w:r>
            <w:proofErr w:type="spellEnd"/>
            <w:r w:rsidRPr="00684853">
              <w:rPr>
                <w:rFonts w:ascii="Times New Roman" w:hAnsi="Times New Roman" w:cs="Times New Roman"/>
                <w:color w:val="000000" w:themeColor="text1"/>
                <w:sz w:val="20"/>
                <w:szCs w:val="20"/>
                <w:lang w:val="ro-RO"/>
              </w:rPr>
              <w:t xml:space="preserve"> pentru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ale ratelor dobânzii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ale cursului de schimb valutar;</w:t>
            </w:r>
          </w:p>
        </w:tc>
        <w:tc>
          <w:tcPr>
            <w:tcW w:w="562" w:type="pct"/>
          </w:tcPr>
          <w:p w14:paraId="7FFDECCE" w14:textId="556D1E33" w:rsidR="00395381" w:rsidRPr="00684853" w:rsidRDefault="00D90A48"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4B729425" w14:textId="1AB6E469" w:rsidR="00395381" w:rsidRPr="00684853" w:rsidRDefault="00D90A48" w:rsidP="00D90A4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art.4 din Regulamentul nr.322/2018 cu privire la aprobarea Regulamentului privind cadrul de administrare a </w:t>
            </w:r>
            <w:proofErr w:type="spellStart"/>
            <w:r w:rsidRPr="00684853">
              <w:rPr>
                <w:rFonts w:ascii="Times New Roman" w:hAnsi="Times New Roman" w:cs="Times New Roman"/>
                <w:color w:val="000000" w:themeColor="text1"/>
                <w:sz w:val="20"/>
                <w:szCs w:val="20"/>
                <w:lang w:val="ro-RO"/>
              </w:rPr>
              <w:t>activităţii</w:t>
            </w:r>
            <w:proofErr w:type="spellEnd"/>
            <w:r w:rsidRPr="00684853">
              <w:rPr>
                <w:rFonts w:ascii="Times New Roman" w:hAnsi="Times New Roman" w:cs="Times New Roman"/>
                <w:color w:val="000000" w:themeColor="text1"/>
                <w:sz w:val="20"/>
                <w:szCs w:val="20"/>
                <w:lang w:val="ro-RO"/>
              </w:rPr>
              <w:t xml:space="preserve"> băncilor</w:t>
            </w:r>
            <w:r w:rsidR="00395381" w:rsidRPr="00684853">
              <w:rPr>
                <w:rFonts w:ascii="Times New Roman" w:hAnsi="Times New Roman" w:cs="Times New Roman"/>
                <w:b/>
                <w:color w:val="000000" w:themeColor="text1"/>
                <w:sz w:val="20"/>
                <w:szCs w:val="20"/>
                <w:lang w:val="ro-RO"/>
              </w:rPr>
              <w:t>.</w:t>
            </w:r>
          </w:p>
        </w:tc>
      </w:tr>
      <w:tr w:rsidR="00EA59FA" w:rsidRPr="00684853" w14:paraId="653F216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100F9A6" w14:textId="0AD2AB7D"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142. „risc valutar”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cursurilor de schimb valutar;</w:t>
            </w:r>
          </w:p>
        </w:tc>
        <w:tc>
          <w:tcPr>
            <w:tcW w:w="1636" w:type="pct"/>
          </w:tcPr>
          <w:p w14:paraId="6D762028" w14:textId="1D69421A" w:rsidR="00395381" w:rsidRPr="00684853" w:rsidRDefault="00A52B5F" w:rsidP="00A52B5F">
            <w:pPr>
              <w:spacing w:line="276"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risc valutar – riscul expunerii la pierderi rezultate din contractele comerciale sau din alte raporturi economice ca urmare a </w:t>
            </w:r>
            <w:proofErr w:type="spellStart"/>
            <w:r w:rsidRPr="00684853">
              <w:rPr>
                <w:rFonts w:ascii="Times New Roman" w:hAnsi="Times New Roman" w:cs="Times New Roman"/>
                <w:color w:val="000000" w:themeColor="text1"/>
                <w:sz w:val="20"/>
                <w:szCs w:val="20"/>
                <w:lang w:val="ro-RO"/>
              </w:rPr>
              <w:t>fluctuaţiilor</w:t>
            </w:r>
            <w:proofErr w:type="spellEnd"/>
            <w:r w:rsidRPr="00684853">
              <w:rPr>
                <w:rFonts w:ascii="Times New Roman" w:hAnsi="Times New Roman" w:cs="Times New Roman"/>
                <w:color w:val="000000" w:themeColor="text1"/>
                <w:sz w:val="20"/>
                <w:szCs w:val="20"/>
                <w:lang w:val="ro-RO"/>
              </w:rPr>
              <w:t xml:space="preserve"> pe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ale ratei de schimb valutar în perioada dintre încheierea contractului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scadenţa</w:t>
            </w:r>
            <w:proofErr w:type="spellEnd"/>
            <w:r w:rsidRPr="00684853">
              <w:rPr>
                <w:rFonts w:ascii="Times New Roman" w:hAnsi="Times New Roman" w:cs="Times New Roman"/>
                <w:color w:val="000000" w:themeColor="text1"/>
                <w:sz w:val="20"/>
                <w:szCs w:val="20"/>
                <w:lang w:val="ro-RO"/>
              </w:rPr>
              <w:t xml:space="preserve"> acestuia;</w:t>
            </w:r>
          </w:p>
        </w:tc>
        <w:tc>
          <w:tcPr>
            <w:tcW w:w="562" w:type="pct"/>
          </w:tcPr>
          <w:p w14:paraId="67BC89FA" w14:textId="7888E984" w:rsidR="00395381" w:rsidRPr="00684853" w:rsidRDefault="00A52B5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470627F1" w14:textId="325D6283" w:rsidR="00395381" w:rsidRPr="00684853" w:rsidRDefault="00A52B5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 în art.4 din Regulamentul nr.322/2018 cu privire la aprobarea Regulamentului privind cadrul de administrare a </w:t>
            </w:r>
            <w:proofErr w:type="spellStart"/>
            <w:r w:rsidRPr="00684853">
              <w:rPr>
                <w:rFonts w:ascii="Times New Roman" w:hAnsi="Times New Roman" w:cs="Times New Roman"/>
                <w:color w:val="000000" w:themeColor="text1"/>
                <w:sz w:val="20"/>
                <w:szCs w:val="20"/>
                <w:lang w:val="ro-RO"/>
              </w:rPr>
              <w:t>activităţii</w:t>
            </w:r>
            <w:proofErr w:type="spellEnd"/>
            <w:r w:rsidRPr="00684853">
              <w:rPr>
                <w:rFonts w:ascii="Times New Roman" w:hAnsi="Times New Roman" w:cs="Times New Roman"/>
                <w:color w:val="000000" w:themeColor="text1"/>
                <w:sz w:val="20"/>
                <w:szCs w:val="20"/>
                <w:lang w:val="ro-RO"/>
              </w:rPr>
              <w:t xml:space="preserve"> băncilor.</w:t>
            </w:r>
          </w:p>
        </w:tc>
      </w:tr>
      <w:tr w:rsidR="00EA59FA" w:rsidRPr="00684853" w14:paraId="7323ACB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EE651CE" w14:textId="771C885B"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143. „risc de marfă”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mărfurilor;</w:t>
            </w:r>
          </w:p>
        </w:tc>
        <w:tc>
          <w:tcPr>
            <w:tcW w:w="1636" w:type="pct"/>
          </w:tcPr>
          <w:p w14:paraId="14DD4659"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07E07736" w14:textId="69E6BD8C" w:rsidR="00395381" w:rsidRPr="00684853" w:rsidRDefault="00A52B5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94A12E8" w14:textId="145C1853" w:rsidR="00395381" w:rsidRPr="00684853" w:rsidRDefault="00395381" w:rsidP="00967ABE">
            <w:pPr>
              <w:jc w:val="both"/>
              <w:rPr>
                <w:rFonts w:ascii="Times New Roman" w:hAnsi="Times New Roman" w:cs="Times New Roman"/>
                <w:color w:val="000000" w:themeColor="text1"/>
                <w:sz w:val="20"/>
                <w:szCs w:val="20"/>
                <w:lang w:val="ro-RO"/>
              </w:rPr>
            </w:pPr>
          </w:p>
        </w:tc>
      </w:tr>
      <w:tr w:rsidR="00EA59FA" w:rsidRPr="00684853" w14:paraId="752E23D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000E30D" w14:textId="77777777" w:rsidR="00411ED5" w:rsidRPr="00684853" w:rsidRDefault="00411ED5"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2E7FDD87" w14:textId="0BCB136F" w:rsidR="00395381" w:rsidRPr="00684853" w:rsidRDefault="00395381" w:rsidP="00A52B5F">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144. „birou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înseamnă un grup de dealeri clar identificat care este creat de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w:t>
            </w:r>
            <w:r w:rsidR="00411ED5" w:rsidRPr="00684853">
              <w:rPr>
                <w:rFonts w:ascii="Times New Roman" w:hAnsi="Times New Roman" w:cs="Times New Roman"/>
                <w:color w:val="000000" w:themeColor="text1"/>
                <w:sz w:val="20"/>
                <w:szCs w:val="20"/>
                <w:lang w:val="ro-RO"/>
              </w:rPr>
              <w:t xml:space="preserve">în conformitate cu articolul 104b alineatul (1) </w:t>
            </w:r>
            <w:r w:rsidRPr="00684853">
              <w:rPr>
                <w:rFonts w:ascii="Times New Roman" w:hAnsi="Times New Roman" w:cs="Times New Roman"/>
                <w:color w:val="000000" w:themeColor="text1"/>
                <w:sz w:val="20"/>
                <w:szCs w:val="20"/>
                <w:lang w:val="ro-RO"/>
              </w:rPr>
              <w:t>pentru a gestiona împreună un</w:t>
            </w:r>
            <w:r w:rsidR="00411ED5" w:rsidRPr="00684853">
              <w:rPr>
                <w:color w:val="000000" w:themeColor="text1"/>
              </w:rPr>
              <w:t xml:space="preserve"> </w:t>
            </w:r>
            <w:r w:rsidR="00411ED5" w:rsidRPr="00684853">
              <w:rPr>
                <w:rFonts w:ascii="Times New Roman" w:hAnsi="Times New Roman" w:cs="Times New Roman"/>
                <w:color w:val="000000" w:themeColor="text1"/>
                <w:sz w:val="20"/>
                <w:szCs w:val="20"/>
                <w:lang w:val="ro-RO"/>
              </w:rPr>
              <w:t xml:space="preserve">portofoliu de poziții </w:t>
            </w:r>
            <w:r w:rsidR="00411ED5" w:rsidRPr="00684853">
              <w:rPr>
                <w:rFonts w:ascii="Times New Roman" w:hAnsi="Times New Roman" w:cs="Times New Roman"/>
                <w:color w:val="000000" w:themeColor="text1"/>
                <w:sz w:val="20"/>
                <w:szCs w:val="20"/>
                <w:lang w:val="ro-RO"/>
              </w:rPr>
              <w:lastRenderedPageBreak/>
              <w:t xml:space="preserve">din portofoliul de tranzacționare sau pozițiile din afara portofoliului de tranzacționare menționate la alineatele (5) și (6) de la articolul respectiv, în </w:t>
            </w:r>
            <w:r w:rsidRPr="00684853">
              <w:rPr>
                <w:rFonts w:ascii="Times New Roman" w:hAnsi="Times New Roman" w:cs="Times New Roman"/>
                <w:color w:val="000000" w:themeColor="text1"/>
                <w:sz w:val="20"/>
                <w:szCs w:val="20"/>
                <w:lang w:val="ro-RO"/>
              </w:rPr>
              <w:t>conformitate cu o strategie de afaceri bine definită și coerentă și care își desfășoară activitatea în cadrul aceleiași structuri de gestionare a riscurilor;</w:t>
            </w:r>
          </w:p>
        </w:tc>
        <w:tc>
          <w:tcPr>
            <w:tcW w:w="1636" w:type="pct"/>
          </w:tcPr>
          <w:p w14:paraId="7A624228"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2690E8A0" w14:textId="0A132FF2" w:rsidR="00395381" w:rsidRPr="00684853" w:rsidRDefault="00A52B5F"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203911C7" w14:textId="493F68EA"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transpusă în </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w:t>
            </w:r>
            <w:r w:rsidRPr="00684853">
              <w:rPr>
                <w:rFonts w:ascii="Times New Roman" w:hAnsi="Times New Roman" w:cs="Times New Roman"/>
                <w:b/>
                <w:color w:val="000000" w:themeColor="text1"/>
                <w:sz w:val="20"/>
                <w:szCs w:val="20"/>
                <w:lang w:val="ro-RO"/>
              </w:rPr>
              <w:lastRenderedPageBreak/>
              <w:t xml:space="preserve">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424059D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42C357B" w14:textId="77777777" w:rsidR="00886062" w:rsidRPr="00684853" w:rsidRDefault="00886062"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M8</w:t>
            </w:r>
          </w:p>
          <w:p w14:paraId="24F1D0C1" w14:textId="62B8BCB4"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145.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îndeplinește cumulativ următoarele </w:t>
            </w:r>
            <w:proofErr w:type="spellStart"/>
            <w:r w:rsidRPr="00684853">
              <w:rPr>
                <w:rFonts w:ascii="Times New Roman" w:hAnsi="Times New Roman" w:cs="Times New Roman"/>
                <w:color w:val="000000" w:themeColor="text1"/>
                <w:sz w:val="20"/>
                <w:szCs w:val="20"/>
                <w:lang w:val="ro-RO"/>
              </w:rPr>
              <w:t>condiţii</w:t>
            </w:r>
            <w:proofErr w:type="spellEnd"/>
            <w:r w:rsidRPr="00684853">
              <w:rPr>
                <w:rFonts w:ascii="Times New Roman" w:hAnsi="Times New Roman" w:cs="Times New Roman"/>
                <w:color w:val="000000" w:themeColor="text1"/>
                <w:sz w:val="20"/>
                <w:szCs w:val="20"/>
                <w:lang w:val="ro-RO"/>
              </w:rPr>
              <w:t>:</w:t>
            </w:r>
          </w:p>
          <w:p w14:paraId="6BE248B0"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nu este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w:t>
            </w:r>
          </w:p>
          <w:p w14:paraId="630B7A34"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valoarea totală a activelor sale pe bază individuală sau, după caz, pe bază consolidată în conformitate cu prezentul regulament și cu Directiva 2013/36/UE este în medie mai mică sau egală cu pragul de 5 miliarde EUR în perioada de patru ani imediat anterioară perioadei anuale curente de raportare; statele membre pot coborî pragul respectiv;</w:t>
            </w:r>
          </w:p>
          <w:p w14:paraId="4A5BF6E1"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nu face obiectul unor </w:t>
            </w:r>
            <w:proofErr w:type="spellStart"/>
            <w:r w:rsidRPr="00684853">
              <w:rPr>
                <w:rFonts w:ascii="Times New Roman" w:hAnsi="Times New Roman" w:cs="Times New Roman"/>
                <w:color w:val="000000" w:themeColor="text1"/>
                <w:sz w:val="20"/>
                <w:szCs w:val="20"/>
                <w:lang w:val="ro-RO"/>
              </w:rPr>
              <w:t>obligaţii</w:t>
            </w:r>
            <w:proofErr w:type="spellEnd"/>
            <w:r w:rsidRPr="00684853">
              <w:rPr>
                <w:rFonts w:ascii="Times New Roman" w:hAnsi="Times New Roman" w:cs="Times New Roman"/>
                <w:color w:val="000000" w:themeColor="text1"/>
                <w:sz w:val="20"/>
                <w:szCs w:val="20"/>
                <w:lang w:val="ro-RO"/>
              </w:rPr>
              <w:t xml:space="preserve"> sau face obiectul unor </w:t>
            </w:r>
            <w:proofErr w:type="spellStart"/>
            <w:r w:rsidRPr="00684853">
              <w:rPr>
                <w:rFonts w:ascii="Times New Roman" w:hAnsi="Times New Roman" w:cs="Times New Roman"/>
                <w:color w:val="000000" w:themeColor="text1"/>
                <w:sz w:val="20"/>
                <w:szCs w:val="20"/>
                <w:lang w:val="ro-RO"/>
              </w:rPr>
              <w:t>obligaţii</w:t>
            </w:r>
            <w:proofErr w:type="spellEnd"/>
            <w:r w:rsidRPr="00684853">
              <w:rPr>
                <w:rFonts w:ascii="Times New Roman" w:hAnsi="Times New Roman" w:cs="Times New Roman"/>
                <w:color w:val="000000" w:themeColor="text1"/>
                <w:sz w:val="20"/>
                <w:szCs w:val="20"/>
                <w:lang w:val="ro-RO"/>
              </w:rPr>
              <w:t xml:space="preserve"> simplificate în ceea ce privește planificarea redresării și a </w:t>
            </w:r>
            <w:proofErr w:type="spellStart"/>
            <w:r w:rsidRPr="00684853">
              <w:rPr>
                <w:rFonts w:ascii="Times New Roman" w:hAnsi="Times New Roman" w:cs="Times New Roman"/>
                <w:color w:val="000000" w:themeColor="text1"/>
                <w:sz w:val="20"/>
                <w:szCs w:val="20"/>
                <w:lang w:val="ro-RO"/>
              </w:rPr>
              <w:t>rezoluţiei</w:t>
            </w:r>
            <w:proofErr w:type="spellEnd"/>
            <w:r w:rsidRPr="00684853">
              <w:rPr>
                <w:rFonts w:ascii="Times New Roman" w:hAnsi="Times New Roman" w:cs="Times New Roman"/>
                <w:color w:val="000000" w:themeColor="text1"/>
                <w:sz w:val="20"/>
                <w:szCs w:val="20"/>
                <w:lang w:val="ro-RO"/>
              </w:rPr>
              <w:t xml:space="preserve"> în conformitate cu articolul 4 din Directiva 2014/59/UE;</w:t>
            </w:r>
          </w:p>
          <w:p w14:paraId="451AF559"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portofoliul său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este clasificat ca fiind de mici dimensiuni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articolului 94 alineatul (1);</w:t>
            </w:r>
          </w:p>
          <w:p w14:paraId="3643287B"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 valoarea totală a </w:t>
            </w:r>
            <w:proofErr w:type="spellStart"/>
            <w:r w:rsidRPr="00684853">
              <w:rPr>
                <w:rFonts w:ascii="Times New Roman" w:hAnsi="Times New Roman" w:cs="Times New Roman"/>
                <w:color w:val="000000" w:themeColor="text1"/>
                <w:sz w:val="20"/>
                <w:szCs w:val="20"/>
                <w:lang w:val="ro-RO"/>
              </w:rPr>
              <w:t>poziţiilor</w:t>
            </w:r>
            <w:proofErr w:type="spellEnd"/>
            <w:r w:rsidRPr="00684853">
              <w:rPr>
                <w:rFonts w:ascii="Times New Roman" w:hAnsi="Times New Roman" w:cs="Times New Roman"/>
                <w:color w:val="000000" w:themeColor="text1"/>
                <w:sz w:val="20"/>
                <w:szCs w:val="20"/>
                <w:lang w:val="ro-RO"/>
              </w:rPr>
              <w:t xml:space="preserve"> sale pe instrumente financiare derivate </w:t>
            </w:r>
            <w:proofErr w:type="spellStart"/>
            <w:r w:rsidRPr="00684853">
              <w:rPr>
                <w:rFonts w:ascii="Times New Roman" w:hAnsi="Times New Roman" w:cs="Times New Roman"/>
                <w:color w:val="000000" w:themeColor="text1"/>
                <w:sz w:val="20"/>
                <w:szCs w:val="20"/>
                <w:lang w:val="ro-RO"/>
              </w:rPr>
              <w:t>deţinute</w:t>
            </w:r>
            <w:proofErr w:type="spellEnd"/>
            <w:r w:rsidRPr="00684853">
              <w:rPr>
                <w:rFonts w:ascii="Times New Roman" w:hAnsi="Times New Roman" w:cs="Times New Roman"/>
                <w:color w:val="000000" w:themeColor="text1"/>
                <w:sz w:val="20"/>
                <w:szCs w:val="20"/>
                <w:lang w:val="ro-RO"/>
              </w:rPr>
              <w:t xml:space="preserve"> cu </w:t>
            </w:r>
            <w:proofErr w:type="spellStart"/>
            <w:r w:rsidRPr="00684853">
              <w:rPr>
                <w:rFonts w:ascii="Times New Roman" w:hAnsi="Times New Roman" w:cs="Times New Roman"/>
                <w:color w:val="000000" w:themeColor="text1"/>
                <w:sz w:val="20"/>
                <w:szCs w:val="20"/>
                <w:lang w:val="ro-RO"/>
              </w:rPr>
              <w:t>intenţia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tranzacţionării</w:t>
            </w:r>
            <w:proofErr w:type="spellEnd"/>
            <w:r w:rsidRPr="00684853">
              <w:rPr>
                <w:rFonts w:ascii="Times New Roman" w:hAnsi="Times New Roman" w:cs="Times New Roman"/>
                <w:color w:val="000000" w:themeColor="text1"/>
                <w:sz w:val="20"/>
                <w:szCs w:val="20"/>
                <w:lang w:val="ro-RO"/>
              </w:rPr>
              <w:t xml:space="preserve"> nu depășește 2 % din totalul activelor sale </w:t>
            </w:r>
            <w:proofErr w:type="spellStart"/>
            <w:r w:rsidRPr="00684853">
              <w:rPr>
                <w:rFonts w:ascii="Times New Roman" w:hAnsi="Times New Roman" w:cs="Times New Roman"/>
                <w:color w:val="000000" w:themeColor="text1"/>
                <w:sz w:val="20"/>
                <w:szCs w:val="20"/>
                <w:lang w:val="ro-RO"/>
              </w:rPr>
              <w:t>bilanţiere</w:t>
            </w:r>
            <w:proofErr w:type="spellEnd"/>
            <w:r w:rsidRPr="00684853">
              <w:rPr>
                <w:rFonts w:ascii="Times New Roman" w:hAnsi="Times New Roman" w:cs="Times New Roman"/>
                <w:color w:val="000000" w:themeColor="text1"/>
                <w:sz w:val="20"/>
                <w:szCs w:val="20"/>
                <w:lang w:val="ro-RO"/>
              </w:rPr>
              <w:t xml:space="preserve"> și </w:t>
            </w:r>
            <w:proofErr w:type="spellStart"/>
            <w:r w:rsidRPr="00684853">
              <w:rPr>
                <w:rFonts w:ascii="Times New Roman" w:hAnsi="Times New Roman" w:cs="Times New Roman"/>
                <w:color w:val="000000" w:themeColor="text1"/>
                <w:sz w:val="20"/>
                <w:szCs w:val="20"/>
                <w:lang w:val="ro-RO"/>
              </w:rPr>
              <w:t>extrabilanţiere</w:t>
            </w:r>
            <w:proofErr w:type="spellEnd"/>
            <w:r w:rsidRPr="00684853">
              <w:rPr>
                <w:rFonts w:ascii="Times New Roman" w:hAnsi="Times New Roman" w:cs="Times New Roman"/>
                <w:color w:val="000000" w:themeColor="text1"/>
                <w:sz w:val="20"/>
                <w:szCs w:val="20"/>
                <w:lang w:val="ro-RO"/>
              </w:rPr>
              <w:t xml:space="preserve"> și valoarea totală a </w:t>
            </w:r>
            <w:proofErr w:type="spellStart"/>
            <w:r w:rsidRPr="00684853">
              <w:rPr>
                <w:rFonts w:ascii="Times New Roman" w:hAnsi="Times New Roman" w:cs="Times New Roman"/>
                <w:color w:val="000000" w:themeColor="text1"/>
                <w:sz w:val="20"/>
                <w:szCs w:val="20"/>
                <w:lang w:val="ro-RO"/>
              </w:rPr>
              <w:t>poziţiilor</w:t>
            </w:r>
            <w:proofErr w:type="spellEnd"/>
            <w:r w:rsidRPr="00684853">
              <w:rPr>
                <w:rFonts w:ascii="Times New Roman" w:hAnsi="Times New Roman" w:cs="Times New Roman"/>
                <w:color w:val="000000" w:themeColor="text1"/>
                <w:sz w:val="20"/>
                <w:szCs w:val="20"/>
                <w:lang w:val="ro-RO"/>
              </w:rPr>
              <w:t xml:space="preserve"> sale globale pe instrumente financiare derivate nu depășește 5 %, ambele calculate în conformitate cu articolul 273a alineatul (3);</w:t>
            </w:r>
          </w:p>
          <w:p w14:paraId="429069D0" w14:textId="77777777" w:rsidR="00411ED5" w:rsidRPr="00684853" w:rsidRDefault="00411ED5"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4974C5A8" w14:textId="03E94895"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(f) </w:t>
            </w:r>
            <w:r w:rsidR="00411ED5" w:rsidRPr="00684853">
              <w:rPr>
                <w:rFonts w:ascii="Times New Roman" w:hAnsi="Times New Roman" w:cs="Times New Roman"/>
                <w:color w:val="000000" w:themeColor="text1"/>
                <w:sz w:val="20"/>
                <w:szCs w:val="20"/>
                <w:lang w:val="ro-RO"/>
              </w:rPr>
              <w:t xml:space="preserve">activele sau pasivele consolidate ale instituției legate de activitățile cu </w:t>
            </w:r>
            <w:proofErr w:type="spellStart"/>
            <w:r w:rsidR="00411ED5" w:rsidRPr="00684853">
              <w:rPr>
                <w:rFonts w:ascii="Times New Roman" w:hAnsi="Times New Roman" w:cs="Times New Roman"/>
                <w:color w:val="000000" w:themeColor="text1"/>
                <w:sz w:val="20"/>
                <w:szCs w:val="20"/>
                <w:lang w:val="ro-RO"/>
              </w:rPr>
              <w:t>contrapărți</w:t>
            </w:r>
            <w:proofErr w:type="spellEnd"/>
            <w:r w:rsidR="00411ED5" w:rsidRPr="00684853">
              <w:rPr>
                <w:rFonts w:ascii="Times New Roman" w:hAnsi="Times New Roman" w:cs="Times New Roman"/>
                <w:color w:val="000000" w:themeColor="text1"/>
                <w:sz w:val="20"/>
                <w:szCs w:val="20"/>
                <w:lang w:val="ro-RO"/>
              </w:rPr>
              <w:t xml:space="preserve"> situate în Spațiul Economic European, cu excepția expunerilor </w:t>
            </w:r>
            <w:proofErr w:type="spellStart"/>
            <w:r w:rsidR="00411ED5" w:rsidRPr="00684853">
              <w:rPr>
                <w:rFonts w:ascii="Times New Roman" w:hAnsi="Times New Roman" w:cs="Times New Roman"/>
                <w:color w:val="000000" w:themeColor="text1"/>
                <w:sz w:val="20"/>
                <w:szCs w:val="20"/>
                <w:lang w:val="ro-RO"/>
              </w:rPr>
              <w:t>intragrup</w:t>
            </w:r>
            <w:proofErr w:type="spellEnd"/>
            <w:r w:rsidR="00411ED5" w:rsidRPr="00684853">
              <w:rPr>
                <w:rFonts w:ascii="Times New Roman" w:hAnsi="Times New Roman" w:cs="Times New Roman"/>
                <w:color w:val="000000" w:themeColor="text1"/>
                <w:sz w:val="20"/>
                <w:szCs w:val="20"/>
                <w:lang w:val="ro-RO"/>
              </w:rPr>
              <w:t xml:space="preserve"> din Spațiul Economic European, depășesc </w:t>
            </w:r>
            <w:r w:rsidRPr="00684853">
              <w:rPr>
                <w:rFonts w:ascii="Times New Roman" w:hAnsi="Times New Roman" w:cs="Times New Roman"/>
                <w:color w:val="000000" w:themeColor="text1"/>
                <w:sz w:val="20"/>
                <w:szCs w:val="20"/>
                <w:lang w:val="ro-RO"/>
              </w:rPr>
              <w:t xml:space="preserve">75 % din totalul activelor și pasivelor consolidate ale </w:t>
            </w:r>
            <w:proofErr w:type="spellStart"/>
            <w:r w:rsidRPr="00684853">
              <w:rPr>
                <w:rFonts w:ascii="Times New Roman" w:hAnsi="Times New Roman" w:cs="Times New Roman"/>
                <w:color w:val="000000" w:themeColor="text1"/>
                <w:sz w:val="20"/>
                <w:szCs w:val="20"/>
                <w:lang w:val="ro-RO"/>
              </w:rPr>
              <w:t>instituţiei</w:t>
            </w:r>
            <w:proofErr w:type="spellEnd"/>
            <w:r w:rsidRPr="00684853">
              <w:rPr>
                <w:rFonts w:ascii="Times New Roman" w:hAnsi="Times New Roman" w:cs="Times New Roman"/>
                <w:color w:val="000000" w:themeColor="text1"/>
                <w:sz w:val="20"/>
                <w:szCs w:val="20"/>
                <w:lang w:val="ro-RO"/>
              </w:rPr>
              <w:t xml:space="preserve">, </w:t>
            </w:r>
            <w:r w:rsidR="00411ED5" w:rsidRPr="00684853">
              <w:rPr>
                <w:rFonts w:ascii="Times New Roman" w:hAnsi="Times New Roman" w:cs="Times New Roman"/>
                <w:color w:val="000000" w:themeColor="text1"/>
                <w:sz w:val="20"/>
                <w:szCs w:val="20"/>
                <w:lang w:val="ro-RO"/>
              </w:rPr>
              <w:t xml:space="preserve">excluzând </w:t>
            </w:r>
            <w:r w:rsidRPr="00684853">
              <w:rPr>
                <w:rFonts w:ascii="Times New Roman" w:hAnsi="Times New Roman" w:cs="Times New Roman"/>
                <w:color w:val="000000" w:themeColor="text1"/>
                <w:sz w:val="20"/>
                <w:szCs w:val="20"/>
                <w:lang w:val="ro-RO"/>
              </w:rPr>
              <w:t xml:space="preserve">, în ambele cazuri, a expunerilor </w:t>
            </w:r>
            <w:proofErr w:type="spellStart"/>
            <w:r w:rsidR="00411ED5" w:rsidRPr="00684853">
              <w:rPr>
                <w:rFonts w:ascii="Times New Roman" w:hAnsi="Times New Roman" w:cs="Times New Roman"/>
                <w:color w:val="000000" w:themeColor="text1"/>
                <w:sz w:val="20"/>
                <w:szCs w:val="20"/>
                <w:lang w:val="ro-RO"/>
              </w:rPr>
              <w:t>intragrup</w:t>
            </w:r>
            <w:proofErr w:type="spellEnd"/>
            <w:r w:rsidRPr="00684853">
              <w:rPr>
                <w:rFonts w:ascii="Times New Roman" w:hAnsi="Times New Roman" w:cs="Times New Roman"/>
                <w:color w:val="000000" w:themeColor="text1"/>
                <w:sz w:val="20"/>
                <w:szCs w:val="20"/>
                <w:lang w:val="ro-RO"/>
              </w:rPr>
              <w:t>;</w:t>
            </w:r>
          </w:p>
          <w:p w14:paraId="1FCFA91B"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utilizează modele interne pentru a îndeplini </w:t>
            </w:r>
            <w:proofErr w:type="spellStart"/>
            <w:r w:rsidRPr="00684853">
              <w:rPr>
                <w:rFonts w:ascii="Times New Roman" w:hAnsi="Times New Roman" w:cs="Times New Roman"/>
                <w:color w:val="000000" w:themeColor="text1"/>
                <w:sz w:val="20"/>
                <w:szCs w:val="20"/>
                <w:lang w:val="ro-RO"/>
              </w:rPr>
              <w:t>cerinţele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prudenţiale</w:t>
            </w:r>
            <w:proofErr w:type="spellEnd"/>
            <w:r w:rsidRPr="00684853">
              <w:rPr>
                <w:rFonts w:ascii="Times New Roman" w:hAnsi="Times New Roman" w:cs="Times New Roman"/>
                <w:color w:val="000000" w:themeColor="text1"/>
                <w:sz w:val="20"/>
                <w:szCs w:val="20"/>
                <w:lang w:val="ro-RO"/>
              </w:rPr>
              <w:t xml:space="preserve"> în conformitate cu prezentul regulament, cu </w:t>
            </w:r>
            <w:proofErr w:type="spellStart"/>
            <w:r w:rsidRPr="00684853">
              <w:rPr>
                <w:rFonts w:ascii="Times New Roman" w:hAnsi="Times New Roman" w:cs="Times New Roman"/>
                <w:color w:val="000000" w:themeColor="text1"/>
                <w:sz w:val="20"/>
                <w:szCs w:val="20"/>
                <w:lang w:val="ro-RO"/>
              </w:rPr>
              <w:t>excepţia</w:t>
            </w:r>
            <w:proofErr w:type="spellEnd"/>
            <w:r w:rsidRPr="00684853">
              <w:rPr>
                <w:rFonts w:ascii="Times New Roman" w:hAnsi="Times New Roman" w:cs="Times New Roman"/>
                <w:color w:val="000000" w:themeColor="text1"/>
                <w:sz w:val="20"/>
                <w:szCs w:val="20"/>
                <w:lang w:val="ro-RO"/>
              </w:rPr>
              <w:t xml:space="preserve"> filialelor care folosesc modele interne elaborate la nivel de grup, cu </w:t>
            </w:r>
            <w:proofErr w:type="spellStart"/>
            <w:r w:rsidRPr="00684853">
              <w:rPr>
                <w:rFonts w:ascii="Times New Roman" w:hAnsi="Times New Roman" w:cs="Times New Roman"/>
                <w:color w:val="000000" w:themeColor="text1"/>
                <w:sz w:val="20"/>
                <w:szCs w:val="20"/>
                <w:lang w:val="ro-RO"/>
              </w:rPr>
              <w:t>condiţia</w:t>
            </w:r>
            <w:proofErr w:type="spellEnd"/>
            <w:r w:rsidRPr="00684853">
              <w:rPr>
                <w:rFonts w:ascii="Times New Roman" w:hAnsi="Times New Roman" w:cs="Times New Roman"/>
                <w:color w:val="000000" w:themeColor="text1"/>
                <w:sz w:val="20"/>
                <w:szCs w:val="20"/>
                <w:lang w:val="ro-RO"/>
              </w:rPr>
              <w:t xml:space="preserve"> ca grupul să fie supus </w:t>
            </w:r>
            <w:proofErr w:type="spellStart"/>
            <w:r w:rsidRPr="00684853">
              <w:rPr>
                <w:rFonts w:ascii="Times New Roman" w:hAnsi="Times New Roman" w:cs="Times New Roman"/>
                <w:color w:val="000000" w:themeColor="text1"/>
                <w:sz w:val="20"/>
                <w:szCs w:val="20"/>
                <w:lang w:val="ro-RO"/>
              </w:rPr>
              <w:t>cerinţelor</w:t>
            </w:r>
            <w:proofErr w:type="spellEnd"/>
            <w:r w:rsidRPr="00684853">
              <w:rPr>
                <w:rFonts w:ascii="Times New Roman" w:hAnsi="Times New Roman" w:cs="Times New Roman"/>
                <w:color w:val="000000" w:themeColor="text1"/>
                <w:sz w:val="20"/>
                <w:szCs w:val="20"/>
                <w:lang w:val="ro-RO"/>
              </w:rPr>
              <w:t xml:space="preserve"> de publicare prevăzute la articolul 433a sau 433c pe bază consolidată;</w:t>
            </w:r>
          </w:p>
          <w:p w14:paraId="7C9739EF"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(h)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a contestat la autoritatea competentă calificarea ca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w:t>
            </w:r>
          </w:p>
          <w:p w14:paraId="75A7D813" w14:textId="0737F93F"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autoritatea competentă nu a decis, pe baza analizei dimensiunii, a interconectării, a </w:t>
            </w:r>
            <w:proofErr w:type="spellStart"/>
            <w:r w:rsidRPr="00684853">
              <w:rPr>
                <w:rFonts w:ascii="Times New Roman" w:hAnsi="Times New Roman" w:cs="Times New Roman"/>
                <w:color w:val="000000" w:themeColor="text1"/>
                <w:sz w:val="20"/>
                <w:szCs w:val="20"/>
                <w:lang w:val="ro-RO"/>
              </w:rPr>
              <w:t>complexităţii</w:t>
            </w:r>
            <w:proofErr w:type="spellEnd"/>
            <w:r w:rsidRPr="00684853">
              <w:rPr>
                <w:rFonts w:ascii="Times New Roman" w:hAnsi="Times New Roman" w:cs="Times New Roman"/>
                <w:color w:val="000000" w:themeColor="text1"/>
                <w:sz w:val="20"/>
                <w:szCs w:val="20"/>
                <w:lang w:val="ro-RO"/>
              </w:rPr>
              <w:t xml:space="preserve"> sau a profilului de risc, că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trebuie să fie calificată ca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w:t>
            </w:r>
          </w:p>
        </w:tc>
        <w:tc>
          <w:tcPr>
            <w:tcW w:w="1636" w:type="pct"/>
          </w:tcPr>
          <w:p w14:paraId="43194185"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3AF36575" w14:textId="3351259D"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268800B0" w14:textId="5884D325" w:rsidR="00395381" w:rsidRPr="00684853" w:rsidRDefault="0081582D"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prin </w:t>
            </w:r>
            <w:r w:rsidR="00395381" w:rsidRPr="00684853">
              <w:rPr>
                <w:rFonts w:ascii="Times New Roman" w:hAnsi="Times New Roman" w:cs="Times New Roman"/>
                <w:color w:val="000000" w:themeColor="text1"/>
                <w:sz w:val="20"/>
                <w:szCs w:val="20"/>
                <w:lang w:val="ro-RO"/>
              </w:rPr>
              <w:t>proiectul de modificare a Reg</w:t>
            </w:r>
            <w:r w:rsidRPr="00684853">
              <w:rPr>
                <w:rFonts w:ascii="Times New Roman" w:hAnsi="Times New Roman" w:cs="Times New Roman"/>
                <w:color w:val="000000" w:themeColor="text1"/>
                <w:sz w:val="20"/>
                <w:szCs w:val="20"/>
                <w:lang w:val="ro-RO"/>
              </w:rPr>
              <w:t>ulamentului nr. 329/2024</w:t>
            </w:r>
            <w:r w:rsidR="00395381"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aferent cerințelor de lichiditate</w:t>
            </w:r>
            <w:r w:rsidR="00646CDF" w:rsidRPr="00684853">
              <w:rPr>
                <w:rFonts w:ascii="Times New Roman" w:hAnsi="Times New Roman" w:cs="Times New Roman"/>
                <w:color w:val="000000" w:themeColor="text1"/>
                <w:sz w:val="20"/>
                <w:szCs w:val="20"/>
                <w:lang w:val="ro-RO"/>
              </w:rPr>
              <w:t xml:space="preserve"> (NSFR) și a prevederilor </w:t>
            </w:r>
            <w:proofErr w:type="spellStart"/>
            <w:r w:rsidR="00646CDF" w:rsidRPr="00684853">
              <w:rPr>
                <w:rFonts w:ascii="Times New Roman" w:hAnsi="Times New Roman" w:cs="Times New Roman"/>
                <w:color w:val="000000" w:themeColor="text1"/>
                <w:sz w:val="20"/>
                <w:szCs w:val="20"/>
                <w:lang w:val="ro-RO"/>
              </w:rPr>
              <w:t>aferete</w:t>
            </w:r>
            <w:proofErr w:type="spellEnd"/>
            <w:r w:rsidR="00646CDF" w:rsidRPr="00684853">
              <w:rPr>
                <w:rFonts w:ascii="Times New Roman" w:hAnsi="Times New Roman" w:cs="Times New Roman"/>
                <w:color w:val="000000" w:themeColor="text1"/>
                <w:sz w:val="20"/>
                <w:szCs w:val="20"/>
                <w:lang w:val="ro-RO"/>
              </w:rPr>
              <w:t xml:space="preserve"> cerințelor de dez</w:t>
            </w:r>
            <w:r w:rsidR="00ED1205" w:rsidRPr="00684853">
              <w:rPr>
                <w:rFonts w:ascii="Times New Roman" w:hAnsi="Times New Roman" w:cs="Times New Roman"/>
                <w:color w:val="000000" w:themeColor="text1"/>
                <w:sz w:val="20"/>
                <w:szCs w:val="20"/>
                <w:lang w:val="ro-RO"/>
              </w:rPr>
              <w:t>v</w:t>
            </w:r>
            <w:r w:rsidR="00646CDF" w:rsidRPr="00684853">
              <w:rPr>
                <w:rFonts w:ascii="Times New Roman" w:hAnsi="Times New Roman" w:cs="Times New Roman"/>
                <w:color w:val="000000" w:themeColor="text1"/>
                <w:sz w:val="20"/>
                <w:szCs w:val="20"/>
                <w:lang w:val="ro-RO"/>
              </w:rPr>
              <w:t>ăluire</w:t>
            </w:r>
            <w:r w:rsidRPr="00684853">
              <w:rPr>
                <w:rFonts w:ascii="Times New Roman" w:hAnsi="Times New Roman" w:cs="Times New Roman"/>
                <w:color w:val="000000" w:themeColor="text1"/>
                <w:sz w:val="20"/>
                <w:szCs w:val="20"/>
                <w:lang w:val="ro-RO"/>
              </w:rPr>
              <w:t>.</w:t>
            </w:r>
          </w:p>
        </w:tc>
      </w:tr>
      <w:tr w:rsidR="00EA59FA" w:rsidRPr="00684853" w14:paraId="0797DD7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BF139AF" w14:textId="4093E62B"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146.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îndeplinește oricare dintre următoarele </w:t>
            </w:r>
            <w:proofErr w:type="spellStart"/>
            <w:r w:rsidRPr="00684853">
              <w:rPr>
                <w:rFonts w:ascii="Times New Roman" w:hAnsi="Times New Roman" w:cs="Times New Roman"/>
                <w:color w:val="000000" w:themeColor="text1"/>
                <w:sz w:val="20"/>
                <w:szCs w:val="20"/>
                <w:lang w:val="ro-RO"/>
              </w:rPr>
              <w:t>condiţii</w:t>
            </w:r>
            <w:proofErr w:type="spellEnd"/>
            <w:r w:rsidRPr="00684853">
              <w:rPr>
                <w:rFonts w:ascii="Times New Roman" w:hAnsi="Times New Roman" w:cs="Times New Roman"/>
                <w:color w:val="000000" w:themeColor="text1"/>
                <w:sz w:val="20"/>
                <w:szCs w:val="20"/>
                <w:lang w:val="ro-RO"/>
              </w:rPr>
              <w:t>:</w:t>
            </w:r>
          </w:p>
          <w:p w14:paraId="603EAE7D"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este o G-SII;</w:t>
            </w:r>
          </w:p>
          <w:p w14:paraId="5FB8C8ED"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a fost identificată ca fiind o altă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importanţă</w:t>
            </w:r>
            <w:proofErr w:type="spellEnd"/>
            <w:r w:rsidRPr="00684853">
              <w:rPr>
                <w:rFonts w:ascii="Times New Roman" w:hAnsi="Times New Roman" w:cs="Times New Roman"/>
                <w:color w:val="000000" w:themeColor="text1"/>
                <w:sz w:val="20"/>
                <w:szCs w:val="20"/>
                <w:lang w:val="ro-RO"/>
              </w:rPr>
              <w:t xml:space="preserve"> sistemică (O-SII) în conformitate cu articolul 131 alineatele (1) și (3) din Directiva 2013/36/UE;</w:t>
            </w:r>
          </w:p>
          <w:p w14:paraId="4F010BEE" w14:textId="77777777" w:rsidR="00395381" w:rsidRPr="00684853" w:rsidRDefault="00395381" w:rsidP="004C4503">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este, în statul membru în care este stabilită, una dintre cele mai mari trei </w:t>
            </w:r>
            <w:proofErr w:type="spellStart"/>
            <w:r w:rsidRPr="00684853">
              <w:rPr>
                <w:rFonts w:ascii="Times New Roman" w:hAnsi="Times New Roman" w:cs="Times New Roman"/>
                <w:color w:val="000000" w:themeColor="text1"/>
                <w:sz w:val="20"/>
                <w:szCs w:val="20"/>
                <w:lang w:val="ro-RO"/>
              </w:rPr>
              <w:t>instituţii</w:t>
            </w:r>
            <w:proofErr w:type="spellEnd"/>
            <w:r w:rsidRPr="00684853">
              <w:rPr>
                <w:rFonts w:ascii="Times New Roman" w:hAnsi="Times New Roman" w:cs="Times New Roman"/>
                <w:color w:val="000000" w:themeColor="text1"/>
                <w:sz w:val="20"/>
                <w:szCs w:val="20"/>
                <w:lang w:val="ro-RO"/>
              </w:rPr>
              <w:t xml:space="preserve"> în ceea ce privește valoarea totală a activelor;</w:t>
            </w:r>
          </w:p>
          <w:p w14:paraId="381B3EFA" w14:textId="49060699" w:rsidR="00395381" w:rsidRPr="00684853" w:rsidRDefault="00395381" w:rsidP="004C4503">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valoarea totală a activelor sale pe bază individuală sau, după caz, pe baza </w:t>
            </w:r>
            <w:proofErr w:type="spellStart"/>
            <w:r w:rsidRPr="00684853">
              <w:rPr>
                <w:rFonts w:ascii="Times New Roman" w:hAnsi="Times New Roman" w:cs="Times New Roman"/>
                <w:color w:val="000000" w:themeColor="text1"/>
                <w:sz w:val="20"/>
                <w:szCs w:val="20"/>
                <w:lang w:val="ro-RO"/>
              </w:rPr>
              <w:t>situaţiei</w:t>
            </w:r>
            <w:proofErr w:type="spellEnd"/>
            <w:r w:rsidRPr="00684853">
              <w:rPr>
                <w:rFonts w:ascii="Times New Roman" w:hAnsi="Times New Roman" w:cs="Times New Roman"/>
                <w:color w:val="000000" w:themeColor="text1"/>
                <w:sz w:val="20"/>
                <w:szCs w:val="20"/>
                <w:lang w:val="ro-RO"/>
              </w:rPr>
              <w:t xml:space="preserve"> sale consolidate în conformitate cu prezentul </w:t>
            </w:r>
            <w:r w:rsidRPr="00684853">
              <w:rPr>
                <w:rFonts w:ascii="Times New Roman" w:hAnsi="Times New Roman" w:cs="Times New Roman"/>
                <w:color w:val="000000" w:themeColor="text1"/>
                <w:sz w:val="20"/>
                <w:szCs w:val="20"/>
                <w:lang w:val="ro-RO"/>
              </w:rPr>
              <w:lastRenderedPageBreak/>
              <w:t>regulament și cu Directiva 2013/36/UE este mai mare sau egală cu 30 de miliarde EUR;</w:t>
            </w:r>
          </w:p>
        </w:tc>
        <w:tc>
          <w:tcPr>
            <w:tcW w:w="1636" w:type="pct"/>
          </w:tcPr>
          <w:p w14:paraId="084BC6A1"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5E0FBEBE" w14:textId="65FE2851"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77A1E1B1" w14:textId="77777777" w:rsidR="007D4730" w:rsidRPr="00684853" w:rsidRDefault="007D4730" w:rsidP="007D473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p w14:paraId="1D1557F7" w14:textId="578C6235" w:rsidR="00395381" w:rsidRPr="00684853" w:rsidRDefault="00395381" w:rsidP="00967ABE">
            <w:pPr>
              <w:jc w:val="both"/>
              <w:rPr>
                <w:rFonts w:ascii="Times New Roman" w:hAnsi="Times New Roman" w:cs="Times New Roman"/>
                <w:color w:val="000000" w:themeColor="text1"/>
                <w:sz w:val="20"/>
                <w:szCs w:val="20"/>
                <w:lang w:val="ro-RO"/>
              </w:rPr>
            </w:pPr>
          </w:p>
        </w:tc>
      </w:tr>
      <w:tr w:rsidR="00EA59FA" w:rsidRPr="00684853" w14:paraId="13DC93B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9"/>
        </w:trPr>
        <w:tc>
          <w:tcPr>
            <w:tcW w:w="1916" w:type="pct"/>
          </w:tcPr>
          <w:p w14:paraId="3A4EDDAF" w14:textId="30B30F51" w:rsidR="00395381" w:rsidRPr="00684853" w:rsidRDefault="00395381" w:rsidP="004C4503">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147. „filială mare” înseamnă o filială care poate fi considerată drept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w:t>
            </w:r>
          </w:p>
        </w:tc>
        <w:tc>
          <w:tcPr>
            <w:tcW w:w="1636" w:type="pct"/>
          </w:tcPr>
          <w:p w14:paraId="7E9B45EE"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25D6C6FB" w14:textId="231495EA"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B9C470D" w14:textId="7E78F8E1" w:rsidR="00395381" w:rsidRPr="00684853" w:rsidRDefault="007D4730" w:rsidP="007D4730">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236D437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42CA9CA" w14:textId="29EDD4B1" w:rsidR="00395381" w:rsidRPr="00684853" w:rsidRDefault="00395381" w:rsidP="004C4503">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148.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necotată”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nu a emis titluri de valoare admise la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pe o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reglementată a oricărui stat membru,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articolului 4 alineatul (1) punctul 21 din Directiva 2014/65/UE;</w:t>
            </w:r>
          </w:p>
        </w:tc>
        <w:tc>
          <w:tcPr>
            <w:tcW w:w="1636" w:type="pct"/>
          </w:tcPr>
          <w:p w14:paraId="307A686D"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6304E05B" w14:textId="7F3DAB0B"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D1FFD31" w14:textId="5988F246" w:rsidR="00395381" w:rsidRPr="00684853" w:rsidRDefault="00230748"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modificarea prevederilor aferente cerințelor de publicare a informației pentru bănci.</w:t>
            </w:r>
          </w:p>
        </w:tc>
      </w:tr>
      <w:tr w:rsidR="00EA59FA" w:rsidRPr="00684853" w14:paraId="1FF482D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C65A078" w14:textId="43A1964A" w:rsidR="00395381" w:rsidRPr="00684853" w:rsidRDefault="00395381" w:rsidP="004C4503">
            <w:pPr>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149. „raport financiar” înseamnă, în sensul </w:t>
            </w:r>
            <w:proofErr w:type="spellStart"/>
            <w:r w:rsidRPr="00684853">
              <w:rPr>
                <w:rFonts w:ascii="Times New Roman" w:hAnsi="Times New Roman" w:cs="Times New Roman"/>
                <w:color w:val="000000" w:themeColor="text1"/>
                <w:sz w:val="20"/>
                <w:szCs w:val="20"/>
                <w:lang w:val="ro-RO"/>
              </w:rPr>
              <w:t>părţii</w:t>
            </w:r>
            <w:proofErr w:type="spellEnd"/>
            <w:r w:rsidRPr="00684853">
              <w:rPr>
                <w:rFonts w:ascii="Times New Roman" w:hAnsi="Times New Roman" w:cs="Times New Roman"/>
                <w:color w:val="000000" w:themeColor="text1"/>
                <w:sz w:val="20"/>
                <w:szCs w:val="20"/>
                <w:lang w:val="ro-RO"/>
              </w:rPr>
              <w:t xml:space="preserve"> a opta, un raport financiar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articolelor 4 și 5 din Directiva 2004/109/CE a Parlamentului European și a Consiliului ( 1 );</w:t>
            </w:r>
          </w:p>
        </w:tc>
        <w:tc>
          <w:tcPr>
            <w:tcW w:w="1636" w:type="pct"/>
          </w:tcPr>
          <w:p w14:paraId="01C9CD93"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35E039CC" w14:textId="5ED302B2"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76162631" w14:textId="441534D5" w:rsidR="00395381" w:rsidRPr="00684853" w:rsidRDefault="005D501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modificarea prevederilor aferente cerințelor de publicare a informației pentru bănci.</w:t>
            </w:r>
          </w:p>
        </w:tc>
      </w:tr>
      <w:tr w:rsidR="00EA59FA" w:rsidRPr="00684853" w14:paraId="07F63BF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57BEA95" w14:textId="77777777" w:rsidR="00395381" w:rsidRPr="00684853" w:rsidRDefault="00395381" w:rsidP="006E229A">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▼M9</w:t>
            </w:r>
          </w:p>
          <w:p w14:paraId="4A7045A5" w14:textId="4DE31D76" w:rsidR="00395381" w:rsidRPr="00684853" w:rsidRDefault="00395381" w:rsidP="006E229A">
            <w:pPr>
              <w:pStyle w:val="CM4"/>
              <w:spacing w:after="120"/>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 xml:space="preserve">150. „comerciant de mărfuri și de certificate de emisii” înseamnă o întreprindere a cărei activitate principală constă exclusiv în prestarea de servicii de </w:t>
            </w:r>
            <w:proofErr w:type="spellStart"/>
            <w:r w:rsidRPr="00684853">
              <w:rPr>
                <w:rFonts w:ascii="Times New Roman" w:hAnsi="Times New Roman"/>
                <w:color w:val="000000" w:themeColor="text1"/>
                <w:sz w:val="20"/>
                <w:szCs w:val="20"/>
                <w:lang w:val="ro-RO"/>
              </w:rPr>
              <w:t>investiţii</w:t>
            </w:r>
            <w:proofErr w:type="spellEnd"/>
            <w:r w:rsidRPr="00684853">
              <w:rPr>
                <w:rFonts w:ascii="Times New Roman" w:hAnsi="Times New Roman"/>
                <w:color w:val="000000" w:themeColor="text1"/>
                <w:sz w:val="20"/>
                <w:szCs w:val="20"/>
                <w:lang w:val="ro-RO"/>
              </w:rPr>
              <w:t xml:space="preserve"> sau în desfășurarea de </w:t>
            </w:r>
            <w:proofErr w:type="spellStart"/>
            <w:r w:rsidRPr="00684853">
              <w:rPr>
                <w:rFonts w:ascii="Times New Roman" w:hAnsi="Times New Roman"/>
                <w:color w:val="000000" w:themeColor="text1"/>
                <w:sz w:val="20"/>
                <w:szCs w:val="20"/>
                <w:lang w:val="ro-RO"/>
              </w:rPr>
              <w:t>activităţi</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investiţii</w:t>
            </w:r>
            <w:proofErr w:type="spellEnd"/>
            <w:r w:rsidRPr="00684853">
              <w:rPr>
                <w:rFonts w:ascii="Times New Roman" w:hAnsi="Times New Roman"/>
                <w:color w:val="000000" w:themeColor="text1"/>
                <w:sz w:val="20"/>
                <w:szCs w:val="20"/>
                <w:lang w:val="ro-RO"/>
              </w:rPr>
              <w:t xml:space="preserve"> legate de instrumentele financiare derivate pe mărfuri sau de contractele derivate pe mărfuri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punctele 5, 6, 7, 9 și 10, de instrumentele financiare derivate pe certificate de emisii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punctul 4 sau de certificatele de emisii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punctul 11 din </w:t>
            </w:r>
            <w:proofErr w:type="spellStart"/>
            <w:r w:rsidRPr="00684853">
              <w:rPr>
                <w:rFonts w:ascii="Times New Roman" w:hAnsi="Times New Roman"/>
                <w:color w:val="000000" w:themeColor="text1"/>
                <w:sz w:val="20"/>
                <w:szCs w:val="20"/>
                <w:lang w:val="ro-RO"/>
              </w:rPr>
              <w:t>secţiunea</w:t>
            </w:r>
            <w:proofErr w:type="spellEnd"/>
            <w:r w:rsidRPr="00684853">
              <w:rPr>
                <w:rFonts w:ascii="Times New Roman" w:hAnsi="Times New Roman"/>
                <w:color w:val="000000" w:themeColor="text1"/>
                <w:sz w:val="20"/>
                <w:szCs w:val="20"/>
                <w:lang w:val="ro-RO"/>
              </w:rPr>
              <w:t xml:space="preserve"> C a anexei I la Directiva 2014/65/UE.</w:t>
            </w:r>
          </w:p>
        </w:tc>
        <w:tc>
          <w:tcPr>
            <w:tcW w:w="1636" w:type="pct"/>
          </w:tcPr>
          <w:p w14:paraId="502CAF58"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5D4FAC17" w14:textId="700C3C82"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5489E87D" w14:textId="16755073"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fi transpusă în </w:t>
            </w:r>
            <w:r w:rsidRPr="00684853">
              <w:rPr>
                <w:rFonts w:ascii="Times New Roman" w:hAnsi="Times New Roman" w:cs="Times New Roman"/>
                <w:b/>
                <w:color w:val="000000" w:themeColor="text1"/>
                <w:sz w:val="20"/>
                <w:szCs w:val="20"/>
                <w:lang w:val="ro-RO"/>
              </w:rPr>
              <w:t xml:space="preserve"> Regulamentul cu privire la tratamentul riscului de piață potrivit abordării standardizate, </w:t>
            </w:r>
            <w:r w:rsidRPr="00684853">
              <w:rPr>
                <w:rFonts w:ascii="Times New Roman" w:hAnsi="Times New Roman" w:cs="Times New Roman"/>
                <w:color w:val="000000" w:themeColor="text1"/>
                <w:sz w:val="20"/>
                <w:szCs w:val="20"/>
                <w:lang w:val="ro-RO"/>
              </w:rPr>
              <w:t>aprobat prin HCE al BNM nr.114/2018</w:t>
            </w:r>
            <w:r w:rsidRPr="00684853">
              <w:rPr>
                <w:rFonts w:ascii="Times New Roman" w:hAnsi="Times New Roman" w:cs="Times New Roman"/>
                <w:b/>
                <w:color w:val="000000" w:themeColor="text1"/>
                <w:sz w:val="20"/>
                <w:szCs w:val="20"/>
                <w:lang w:val="ro-RO"/>
              </w:rPr>
              <w:t>.</w:t>
            </w:r>
          </w:p>
        </w:tc>
      </w:tr>
      <w:tr w:rsidR="00EA59FA" w:rsidRPr="00684853" w14:paraId="5F9A072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DA30729" w14:textId="77777777"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756FB41C" w14:textId="2C1C37CD" w:rsidR="00546F28" w:rsidRPr="00684853" w:rsidRDefault="00546F28" w:rsidP="00546F28">
            <w:pPr>
              <w:jc w:val="both"/>
              <w:rPr>
                <w:rFonts w:ascii="Times New Roman" w:hAnsi="Times New Roman" w:cs="Times New Roman"/>
                <w:color w:val="000000" w:themeColor="text1"/>
                <w:sz w:val="20"/>
                <w:szCs w:val="20"/>
                <w:highlight w:val="cyan"/>
                <w:lang w:val="ro-RO"/>
              </w:rPr>
            </w:pPr>
            <w:r w:rsidRPr="00684853">
              <w:rPr>
                <w:rFonts w:ascii="Times New Roman" w:hAnsi="Times New Roman" w:cs="Times New Roman"/>
                <w:color w:val="000000" w:themeColor="text1"/>
                <w:sz w:val="20"/>
                <w:szCs w:val="20"/>
                <w:lang w:val="ro-RO"/>
              </w:rPr>
              <w:t>151. „expunere reînnoibilă” înseamnă orice expunere în cadrul căreia soldul debitorului poate fluctua, până la o limită convenită, în funcție de deciziile acestuia de a lua cu împrumut și de a rambursa;</w:t>
            </w:r>
          </w:p>
        </w:tc>
        <w:tc>
          <w:tcPr>
            <w:tcW w:w="1636" w:type="pct"/>
          </w:tcPr>
          <w:p w14:paraId="595D9AA5" w14:textId="77777777" w:rsidR="00546F28" w:rsidRPr="00684853" w:rsidRDefault="00546F28" w:rsidP="00967ABE">
            <w:pPr>
              <w:spacing w:line="276" w:lineRule="auto"/>
              <w:rPr>
                <w:rFonts w:ascii="Times New Roman" w:hAnsi="Times New Roman" w:cs="Times New Roman"/>
                <w:color w:val="000000" w:themeColor="text1"/>
                <w:sz w:val="20"/>
                <w:szCs w:val="20"/>
                <w:lang w:val="ro-RO"/>
              </w:rPr>
            </w:pPr>
          </w:p>
        </w:tc>
        <w:tc>
          <w:tcPr>
            <w:tcW w:w="562" w:type="pct"/>
          </w:tcPr>
          <w:p w14:paraId="77028B2C" w14:textId="0F3E2228" w:rsidR="00546F28" w:rsidRPr="00684853" w:rsidRDefault="00C8534A"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7A21204" w14:textId="7E141DB1" w:rsidR="00546F28" w:rsidRPr="00684853" w:rsidRDefault="00C8534A" w:rsidP="00C8534A">
            <w:pPr>
              <w:rPr>
                <w:rFonts w:ascii="Times New Roman" w:hAnsi="Times New Roman" w:cs="Times New Roman"/>
                <w:color w:val="000000" w:themeColor="text1"/>
                <w:sz w:val="20"/>
                <w:szCs w:val="20"/>
              </w:rPr>
            </w:pPr>
            <w:r w:rsidRPr="00684853">
              <w:rPr>
                <w:rFonts w:ascii="Times New Roman" w:hAnsi="Times New Roman" w:cs="Times New Roman"/>
                <w:color w:val="000000" w:themeColor="text1"/>
                <w:sz w:val="20"/>
                <w:szCs w:val="20"/>
                <w:lang w:val="ro-RO"/>
              </w:rPr>
              <w:t xml:space="preserve">Urmează a se transpune prin Regulamentul cu privire la tratamentul riscului de credit </w:t>
            </w:r>
            <w:r w:rsidRPr="00684853">
              <w:rPr>
                <w:rFonts w:ascii="Times New Roman" w:hAnsi="Times New Roman" w:cs="Times New Roman"/>
                <w:color w:val="000000" w:themeColor="text1"/>
                <w:sz w:val="20"/>
                <w:szCs w:val="20"/>
                <w:lang w:val="ro-RO"/>
              </w:rPr>
              <w:lastRenderedPageBreak/>
              <w:t>pentru bănci potrivit abordării IRB.</w:t>
            </w:r>
          </w:p>
        </w:tc>
      </w:tr>
      <w:tr w:rsidR="00EA59FA" w:rsidRPr="00684853" w14:paraId="30B9E81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01D8832" w14:textId="77777777"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M17</w:t>
            </w:r>
          </w:p>
          <w:p w14:paraId="260FC4C2" w14:textId="4BAF2A22"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152. „expunere față de un </w:t>
            </w:r>
            <w:proofErr w:type="spellStart"/>
            <w:r w:rsidRPr="00684853">
              <w:rPr>
                <w:rFonts w:ascii="Times New Roman" w:hAnsi="Times New Roman" w:cs="Times New Roman"/>
                <w:color w:val="000000" w:themeColor="text1"/>
                <w:sz w:val="20"/>
                <w:szCs w:val="20"/>
                <w:lang w:val="ro-RO"/>
              </w:rPr>
              <w:t>tranzactor</w:t>
            </w:r>
            <w:proofErr w:type="spellEnd"/>
            <w:r w:rsidRPr="00684853">
              <w:rPr>
                <w:rFonts w:ascii="Times New Roman" w:hAnsi="Times New Roman" w:cs="Times New Roman"/>
                <w:color w:val="000000" w:themeColor="text1"/>
                <w:sz w:val="20"/>
                <w:szCs w:val="20"/>
                <w:lang w:val="ro-RO"/>
              </w:rPr>
              <w:t>” înseamnă orice expunere reînnoibilă care are un istoric de rambursare de cel puțin 12 luni și care este una dintre următoarele:</w:t>
            </w:r>
          </w:p>
          <w:p w14:paraId="0D34EF1D" w14:textId="6E488A3C"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o expunere în cazul căreia, în mod regulat și cel puțin o dată la 12 luni, soldul care trebuie rambursat la următoarea dată programată de rambursare este determinat ca fiind cuantumul tras la o dată de referință prestabilită, cu o dată de rambursare programată nu mai târziu de 12 luni, cu condiția ca soldul să fi fost rambursat integral la fiecare dată de rambursare programată din ultimele 12 luni;</w:t>
            </w:r>
          </w:p>
          <w:p w14:paraId="3F56D3D4" w14:textId="6FEBFF54"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o facilitate de tip „descoperit de cont” din care nu s-au efectuat trageri în ultimele 12 luni;</w:t>
            </w:r>
          </w:p>
        </w:tc>
        <w:tc>
          <w:tcPr>
            <w:tcW w:w="1636" w:type="pct"/>
          </w:tcPr>
          <w:p w14:paraId="01094A34" w14:textId="70DB52A6" w:rsidR="00546F28" w:rsidRPr="00684853" w:rsidRDefault="00546F28" w:rsidP="005D5011">
            <w:pPr>
              <w:spacing w:line="276" w:lineRule="auto"/>
              <w:rPr>
                <w:rFonts w:ascii="Times New Roman" w:hAnsi="Times New Roman" w:cs="Times New Roman"/>
                <w:color w:val="000000" w:themeColor="text1"/>
                <w:sz w:val="20"/>
                <w:szCs w:val="20"/>
                <w:lang w:val="ro-RO"/>
              </w:rPr>
            </w:pPr>
          </w:p>
        </w:tc>
        <w:tc>
          <w:tcPr>
            <w:tcW w:w="562" w:type="pct"/>
          </w:tcPr>
          <w:p w14:paraId="5C706CBA" w14:textId="6A6CE824" w:rsidR="00546F28" w:rsidRPr="00684853" w:rsidRDefault="005D501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0D8AA19" w14:textId="77777777" w:rsidR="005D5011" w:rsidRPr="00684853" w:rsidRDefault="005D5011" w:rsidP="005D5011">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6008127B" w14:textId="1EEF63E9" w:rsidR="00546F28" w:rsidRPr="00684853" w:rsidRDefault="00546F28" w:rsidP="00967ABE">
            <w:pPr>
              <w:jc w:val="both"/>
              <w:rPr>
                <w:rFonts w:ascii="Times New Roman" w:hAnsi="Times New Roman" w:cs="Times New Roman"/>
                <w:color w:val="000000" w:themeColor="text1"/>
                <w:sz w:val="20"/>
                <w:szCs w:val="20"/>
              </w:rPr>
            </w:pPr>
          </w:p>
        </w:tc>
      </w:tr>
      <w:tr w:rsidR="00EA59FA" w:rsidRPr="00684853" w14:paraId="5FA1866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C3CCCDD" w14:textId="77777777"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4391FF2E" w14:textId="4F4B8DF3"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153. „entitate din sectorul combustibililor fosili” înseamnă o societate, o întreprindere sau o întreprindere clasificată statistic ca având principala sa activitate economică în sectorul cărbunelui, petrolului sau gazelor, astfel cum este prevăzută în anexa XXXIX modelul 3 din Regulamentul de punere în aplicare (UE) 2021/637 al Comisiei ( 18 ) și astfel cum este identificată prin trimitere la codurile din nomenclatorul statistic al activităților economice (NACE a doua revizuire) enumerate în anexa I secțiunile B, C, D și G din Regulamentul (CE) nr. 1893/2006 al Parlamentului European și al Consiliului ( 19 ); în cazul în care principala activitate economică a unei societăți sau întreprinderi nu este clasificată utilizându-se codurile NACE a doua revizuire prevăzute în Regulamentul (CE) nr. 1893/2006 sau o clasificare națională derivată din acestea, instituțiile </w:t>
            </w:r>
            <w:r w:rsidRPr="00684853">
              <w:rPr>
                <w:rFonts w:ascii="Times New Roman" w:hAnsi="Times New Roman" w:cs="Times New Roman"/>
                <w:color w:val="000000" w:themeColor="text1"/>
                <w:sz w:val="20"/>
                <w:szCs w:val="20"/>
                <w:lang w:val="ro-RO"/>
              </w:rPr>
              <w:lastRenderedPageBreak/>
              <w:t xml:space="preserve">stabilesc cu prudență dacă respectiva societate sau întreprindere își desfășoară activitatea principală </w:t>
            </w:r>
            <w:proofErr w:type="spellStart"/>
            <w:r w:rsidRPr="00684853">
              <w:rPr>
                <w:rFonts w:ascii="Times New Roman" w:hAnsi="Times New Roman" w:cs="Times New Roman"/>
                <w:color w:val="000000" w:themeColor="text1"/>
                <w:sz w:val="20"/>
                <w:szCs w:val="20"/>
                <w:lang w:val="ro-RO"/>
              </w:rPr>
              <w:t>într</w:t>
            </w:r>
            <w:proofErr w:type="spellEnd"/>
            <w:r w:rsidRPr="00684853">
              <w:rPr>
                <w:rFonts w:ascii="Times New Roman" w:hAnsi="Times New Roman" w:cs="Times New Roman"/>
                <w:color w:val="000000" w:themeColor="text1"/>
                <w:sz w:val="20"/>
                <w:szCs w:val="20"/>
                <w:lang w:val="ro-RO"/>
              </w:rPr>
              <w:t>-unul dintre sectoarele respective;</w:t>
            </w:r>
          </w:p>
        </w:tc>
        <w:tc>
          <w:tcPr>
            <w:tcW w:w="1636" w:type="pct"/>
          </w:tcPr>
          <w:p w14:paraId="52F74DFE" w14:textId="77777777" w:rsidR="00546F28" w:rsidRPr="00684853" w:rsidRDefault="00546F28" w:rsidP="00967ABE">
            <w:pPr>
              <w:spacing w:line="276" w:lineRule="auto"/>
              <w:rPr>
                <w:rFonts w:ascii="Times New Roman" w:hAnsi="Times New Roman" w:cs="Times New Roman"/>
                <w:color w:val="000000" w:themeColor="text1"/>
                <w:sz w:val="20"/>
                <w:szCs w:val="20"/>
                <w:lang w:val="ro-RO"/>
              </w:rPr>
            </w:pPr>
          </w:p>
        </w:tc>
        <w:tc>
          <w:tcPr>
            <w:tcW w:w="562" w:type="pct"/>
          </w:tcPr>
          <w:p w14:paraId="7477F1A5" w14:textId="76DFCF6D" w:rsidR="00546F28" w:rsidRPr="00684853" w:rsidRDefault="00514394"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87E481E" w14:textId="4FBA9705" w:rsidR="00546F28" w:rsidRPr="00684853" w:rsidRDefault="00514394" w:rsidP="00967ABE">
            <w:pPr>
              <w:jc w:val="both"/>
              <w:rPr>
                <w:rFonts w:ascii="Times New Roman" w:hAnsi="Times New Roman" w:cs="Times New Roman"/>
                <w:color w:val="000000" w:themeColor="text1"/>
                <w:sz w:val="20"/>
                <w:szCs w:val="20"/>
                <w:lang w:val="ro-RO"/>
              </w:rPr>
            </w:pPr>
            <w:bookmarkStart w:id="11" w:name="_Hlk209451731"/>
            <w:r w:rsidRPr="00684853">
              <w:rPr>
                <w:rFonts w:ascii="Times New Roman" w:hAnsi="Times New Roman" w:cs="Times New Roman"/>
                <w:color w:val="000000" w:themeColor="text1"/>
                <w:sz w:val="20"/>
                <w:szCs w:val="20"/>
                <w:lang w:val="ro-RO"/>
              </w:rPr>
              <w:t xml:space="preserve">Urmează a se transpune odată cu prevederile aferente </w:t>
            </w:r>
            <w:proofErr w:type="spellStart"/>
            <w:r w:rsidRPr="00684853">
              <w:rPr>
                <w:rFonts w:ascii="Times New Roman" w:hAnsi="Times New Roman" w:cs="Times New Roman"/>
                <w:color w:val="000000" w:themeColor="text1"/>
                <w:sz w:val="20"/>
                <w:szCs w:val="20"/>
                <w:lang w:val="ro-RO"/>
              </w:rPr>
              <w:t>crințelor</w:t>
            </w:r>
            <w:proofErr w:type="spellEnd"/>
            <w:r w:rsidRPr="00684853">
              <w:rPr>
                <w:rFonts w:ascii="Times New Roman" w:hAnsi="Times New Roman" w:cs="Times New Roman"/>
                <w:color w:val="000000" w:themeColor="text1"/>
                <w:sz w:val="20"/>
                <w:szCs w:val="20"/>
                <w:lang w:val="ro-RO"/>
              </w:rPr>
              <w:t xml:space="preserve"> de publicare pentru bănci.</w:t>
            </w:r>
            <w:bookmarkEnd w:id="11"/>
          </w:p>
        </w:tc>
      </w:tr>
      <w:tr w:rsidR="00EA59FA" w:rsidRPr="00684853" w14:paraId="4C89C44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3BDB9F8" w14:textId="77777777"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43328631" w14:textId="294AE5A9" w:rsidR="00546F28" w:rsidRPr="00684853" w:rsidRDefault="00546F28"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154. „expuneri supuse impactului factorilor de mediu sau sociali” înseamnă expuneri care împiedică ambiția Uniunii de a-și atinge obiectivele de reglementare legate de factorii ESG într-un mod care ar putea avea un impact financiar negativ asupra instituțiilor din Uniune;</w:t>
            </w:r>
          </w:p>
        </w:tc>
        <w:tc>
          <w:tcPr>
            <w:tcW w:w="1636" w:type="pct"/>
          </w:tcPr>
          <w:p w14:paraId="0452D1C8" w14:textId="77777777" w:rsidR="00546F28" w:rsidRPr="00684853" w:rsidRDefault="00546F28" w:rsidP="00967ABE">
            <w:pPr>
              <w:spacing w:line="276" w:lineRule="auto"/>
              <w:rPr>
                <w:rFonts w:ascii="Times New Roman" w:hAnsi="Times New Roman" w:cs="Times New Roman"/>
                <w:color w:val="000000" w:themeColor="text1"/>
                <w:sz w:val="20"/>
                <w:szCs w:val="20"/>
                <w:lang w:val="ro-RO"/>
              </w:rPr>
            </w:pPr>
          </w:p>
        </w:tc>
        <w:tc>
          <w:tcPr>
            <w:tcW w:w="562" w:type="pct"/>
          </w:tcPr>
          <w:p w14:paraId="7846A02C" w14:textId="4498CA43" w:rsidR="00546F28" w:rsidRPr="00684853" w:rsidRDefault="00514394"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885" w:type="pct"/>
          </w:tcPr>
          <w:p w14:paraId="487BB2DE" w14:textId="1D5DE5C4" w:rsidR="00546F28" w:rsidRPr="00684853" w:rsidRDefault="00514394"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Noțiunea se utilizează în sensul art.501c care stabilește atribuțiile Autorității Bancare Europene </w:t>
            </w:r>
            <w:r w:rsidR="002B5172" w:rsidRPr="00684853">
              <w:rPr>
                <w:rFonts w:ascii="Times New Roman" w:hAnsi="Times New Roman" w:cs="Times New Roman"/>
                <w:color w:val="000000" w:themeColor="text1"/>
                <w:sz w:val="20"/>
                <w:szCs w:val="20"/>
                <w:lang w:val="ro-RO"/>
              </w:rPr>
              <w:t>de a evalua dacă trebuie ajustat cadrul prudențial al expunerilor legate de activele și datoriile care fac obiectul impactului generat de factori de mediu sau sociali.</w:t>
            </w:r>
          </w:p>
        </w:tc>
      </w:tr>
      <w:tr w:rsidR="00EA59FA" w:rsidRPr="00684853" w14:paraId="79745AA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1A2ABE1D" w14:textId="77777777" w:rsidR="001337B6" w:rsidRPr="00684853" w:rsidRDefault="001337B6" w:rsidP="001337B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5C7494A2" w14:textId="46F594A9" w:rsidR="001337B6" w:rsidRPr="00684853" w:rsidRDefault="001337B6" w:rsidP="001337B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155. „entitate din sectorul bancar paralel” înseamnă o entitate care desfășoară activități bancare în afara cadrului reglementat.</w:t>
            </w:r>
          </w:p>
        </w:tc>
        <w:tc>
          <w:tcPr>
            <w:tcW w:w="1636" w:type="pct"/>
          </w:tcPr>
          <w:p w14:paraId="7F76E48A" w14:textId="77777777" w:rsidR="001337B6" w:rsidRPr="00684853" w:rsidRDefault="001337B6" w:rsidP="001337B6">
            <w:pPr>
              <w:spacing w:line="276" w:lineRule="auto"/>
              <w:rPr>
                <w:rFonts w:ascii="Times New Roman" w:hAnsi="Times New Roman" w:cs="Times New Roman"/>
                <w:color w:val="000000" w:themeColor="text1"/>
                <w:sz w:val="20"/>
                <w:szCs w:val="20"/>
                <w:lang w:val="ro-RO"/>
              </w:rPr>
            </w:pPr>
          </w:p>
        </w:tc>
        <w:tc>
          <w:tcPr>
            <w:tcW w:w="562" w:type="pct"/>
          </w:tcPr>
          <w:p w14:paraId="0F2A6C3C" w14:textId="187F635B" w:rsidR="001337B6" w:rsidRPr="00684853" w:rsidRDefault="001337B6" w:rsidP="001337B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986F510" w14:textId="343FFD34" w:rsidR="001337B6" w:rsidRPr="00684853" w:rsidRDefault="001337B6" w:rsidP="001337B6">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odată cu prevederile aferente expunerilor mari.</w:t>
            </w:r>
          </w:p>
        </w:tc>
      </w:tr>
      <w:tr w:rsidR="00EA59FA" w:rsidRPr="00684853" w14:paraId="61D3979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387C0F7" w14:textId="77777777"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64652017" w14:textId="1BEEA4C3"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punctul 1 litera (b) subpunctele (ii) și (iii), în cazul în care întreprinderea face parte dintr-un grup dintr-o țară terță, activele totale ale fiecărei sucursale a grupului dintr-o țară terță autorizate în Uniune sunt incluse în valoarea totală combinată a activelor tuturor întreprinderilor din grup.</w:t>
            </w:r>
          </w:p>
        </w:tc>
        <w:tc>
          <w:tcPr>
            <w:tcW w:w="1636" w:type="pct"/>
          </w:tcPr>
          <w:p w14:paraId="168CFD95" w14:textId="77777777" w:rsidR="00231F72" w:rsidRPr="00684853" w:rsidRDefault="00231F72" w:rsidP="00231F72">
            <w:pPr>
              <w:spacing w:line="276" w:lineRule="auto"/>
              <w:rPr>
                <w:rFonts w:ascii="Times New Roman" w:hAnsi="Times New Roman" w:cs="Times New Roman"/>
                <w:color w:val="000000" w:themeColor="text1"/>
                <w:sz w:val="20"/>
                <w:szCs w:val="20"/>
                <w:lang w:val="ro-RO"/>
              </w:rPr>
            </w:pPr>
          </w:p>
        </w:tc>
        <w:tc>
          <w:tcPr>
            <w:tcW w:w="562" w:type="pct"/>
          </w:tcPr>
          <w:p w14:paraId="39E8EDD5" w14:textId="6788DEC4"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7F8E0C4" w14:textId="08D6E26B"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58BAE65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6E216E3" w14:textId="10AD8867"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punctul 1 litera (b) subpunctul (iii), supraveghetorul consolidant poate solicita întreprinderii toate informațiile relevante pentru a lua o decizie.</w:t>
            </w:r>
          </w:p>
        </w:tc>
        <w:tc>
          <w:tcPr>
            <w:tcW w:w="1636" w:type="pct"/>
          </w:tcPr>
          <w:p w14:paraId="5A94F52E" w14:textId="77777777" w:rsidR="00231F72" w:rsidRPr="00684853" w:rsidRDefault="00231F72" w:rsidP="00231F72">
            <w:pPr>
              <w:spacing w:line="276" w:lineRule="auto"/>
              <w:rPr>
                <w:rFonts w:ascii="Times New Roman" w:hAnsi="Times New Roman" w:cs="Times New Roman"/>
                <w:color w:val="000000" w:themeColor="text1"/>
                <w:sz w:val="20"/>
                <w:szCs w:val="20"/>
                <w:lang w:val="ro-RO"/>
              </w:rPr>
            </w:pPr>
          </w:p>
        </w:tc>
        <w:tc>
          <w:tcPr>
            <w:tcW w:w="562" w:type="pct"/>
          </w:tcPr>
          <w:p w14:paraId="1F8EC326" w14:textId="4900DF0E"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42E14FB0" w14:textId="4179F8D9" w:rsidR="00231F72" w:rsidRPr="00684853" w:rsidRDefault="00231F72" w:rsidP="00231F72">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Legii nr.202/2017.</w:t>
            </w:r>
          </w:p>
        </w:tc>
      </w:tr>
      <w:tr w:rsidR="00EA59FA" w:rsidRPr="00684853" w14:paraId="7DB8E41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1B68989" w14:textId="6F602580" w:rsidR="00501DD6" w:rsidRPr="00684853" w:rsidRDefault="00501DD6" w:rsidP="00546F28">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sensul primului paragraf punctul 52a, riscul juridic nu cuprinde rambursările către terți sau angajați și compensațiile rezultate din oportunități de afaceri în cazul în care nu s-a încălcat nicio normă și </w:t>
            </w:r>
            <w:r w:rsidRPr="00684853">
              <w:rPr>
                <w:rFonts w:ascii="Times New Roman" w:hAnsi="Times New Roman" w:cs="Times New Roman"/>
                <w:color w:val="000000" w:themeColor="text1"/>
                <w:sz w:val="20"/>
                <w:szCs w:val="20"/>
                <w:lang w:val="ro-RO"/>
              </w:rPr>
              <w:lastRenderedPageBreak/>
              <w:t>nicio regulă de conduită etică, iar instituția și-a îndeplinit obligațiile în timp util. Riscul juridic nu cuprinde nici costurile juridice externe în cazul în care evenimentul care generează respectivele costuri externe nu este un eveniment de risc operațional.</w:t>
            </w:r>
          </w:p>
        </w:tc>
        <w:tc>
          <w:tcPr>
            <w:tcW w:w="1636" w:type="pct"/>
          </w:tcPr>
          <w:p w14:paraId="02C734D9" w14:textId="77777777" w:rsidR="00501DD6" w:rsidRPr="00684853" w:rsidRDefault="00501DD6" w:rsidP="00967ABE">
            <w:pPr>
              <w:spacing w:line="276" w:lineRule="auto"/>
              <w:rPr>
                <w:rFonts w:ascii="Times New Roman" w:hAnsi="Times New Roman" w:cs="Times New Roman"/>
                <w:color w:val="000000" w:themeColor="text1"/>
                <w:sz w:val="20"/>
                <w:szCs w:val="20"/>
                <w:lang w:val="ro-RO"/>
              </w:rPr>
            </w:pPr>
          </w:p>
        </w:tc>
        <w:tc>
          <w:tcPr>
            <w:tcW w:w="562" w:type="pct"/>
          </w:tcPr>
          <w:p w14:paraId="2F4327D9" w14:textId="2BCB5671" w:rsidR="00501DD6" w:rsidRPr="00684853" w:rsidRDefault="001767E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E5C8075" w14:textId="68F4AF34" w:rsidR="00501DD6" w:rsidRPr="00684853" w:rsidRDefault="001767E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Urmează a se transpune în proiectul de modificare a Regulamentului nr.322/2018 </w:t>
            </w:r>
            <w:r w:rsidRPr="00684853">
              <w:rPr>
                <w:rFonts w:ascii="Times New Roman" w:hAnsi="Times New Roman" w:cs="Times New Roman"/>
                <w:color w:val="000000" w:themeColor="text1"/>
                <w:sz w:val="20"/>
                <w:szCs w:val="20"/>
                <w:lang w:val="ro-RO"/>
              </w:rPr>
              <w:lastRenderedPageBreak/>
              <w:t>privind cadrul de administrare a activității băncilor.</w:t>
            </w:r>
          </w:p>
        </w:tc>
      </w:tr>
      <w:tr w:rsidR="00EA59FA" w:rsidRPr="00684853" w14:paraId="1BC45F7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CFD6D06" w14:textId="19C54452" w:rsidR="001767EB" w:rsidRPr="00684853" w:rsidRDefault="001767EB" w:rsidP="001767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În sensul primului paragraf punctul 145 litera (e) al prezentului alineat, o instituție poate exclude pozițiile pe instrumente financiare derivate deschise cu clienții săi nefinanciari și pozițiile pe instrumente financiare derivate pe care le utilizează pentru a acoperi acele poziții, cu condiția ca valoarea combinată a pozițiilor excluse, calculată în conformitate cu articolul 273a alineatul (3), să nu depășească 10 % din totalul activelor bilanțiere și </w:t>
            </w:r>
            <w:proofErr w:type="spellStart"/>
            <w:r w:rsidRPr="00684853">
              <w:rPr>
                <w:rFonts w:ascii="Times New Roman" w:hAnsi="Times New Roman" w:cs="Times New Roman"/>
                <w:color w:val="000000" w:themeColor="text1"/>
                <w:sz w:val="20"/>
                <w:szCs w:val="20"/>
                <w:lang w:val="ro-RO"/>
              </w:rPr>
              <w:t>extrabilanțiere</w:t>
            </w:r>
            <w:proofErr w:type="spellEnd"/>
            <w:r w:rsidRPr="00684853">
              <w:rPr>
                <w:rFonts w:ascii="Times New Roman" w:hAnsi="Times New Roman" w:cs="Times New Roman"/>
                <w:color w:val="000000" w:themeColor="text1"/>
                <w:sz w:val="20"/>
                <w:szCs w:val="20"/>
                <w:lang w:val="ro-RO"/>
              </w:rPr>
              <w:t xml:space="preserve"> ale instituției.</w:t>
            </w:r>
          </w:p>
        </w:tc>
        <w:tc>
          <w:tcPr>
            <w:tcW w:w="1636" w:type="pct"/>
          </w:tcPr>
          <w:p w14:paraId="714C295D" w14:textId="77777777" w:rsidR="001767EB" w:rsidRPr="00684853" w:rsidRDefault="001767EB" w:rsidP="001767EB">
            <w:pPr>
              <w:spacing w:line="276" w:lineRule="auto"/>
              <w:rPr>
                <w:rFonts w:ascii="Times New Roman" w:hAnsi="Times New Roman" w:cs="Times New Roman"/>
                <w:color w:val="000000" w:themeColor="text1"/>
                <w:sz w:val="20"/>
                <w:szCs w:val="20"/>
                <w:lang w:val="ro-RO"/>
              </w:rPr>
            </w:pPr>
          </w:p>
        </w:tc>
        <w:tc>
          <w:tcPr>
            <w:tcW w:w="562" w:type="pct"/>
          </w:tcPr>
          <w:p w14:paraId="11DBB8BE" w14:textId="339C9771" w:rsidR="001767EB" w:rsidRPr="00684853" w:rsidRDefault="001767EB" w:rsidP="001767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54B107D" w14:textId="51DC1BF1" w:rsidR="001767EB" w:rsidRPr="00684853" w:rsidRDefault="001767EB" w:rsidP="001767E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Urmează a se transpune prin proiectul de modificare a Regulamentului nr. 329/2024 aferent cerințelor de lichiditate (NSFR).</w:t>
            </w:r>
          </w:p>
        </w:tc>
      </w:tr>
      <w:tr w:rsidR="00EA59FA" w:rsidRPr="00684853" w14:paraId="7EEFCAF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00F231D" w14:textId="49587F39"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eastAsia="Calibri" w:hAnsi="Times New Roman"/>
                <w:color w:val="000000" w:themeColor="text1"/>
                <w:sz w:val="20"/>
                <w:szCs w:val="20"/>
                <w:lang w:val="ro-RO"/>
              </w:rPr>
              <w:t>(2) În sensul prezentului regulament, orice referire la bunuri imobile, la bunuri imobile locative, la bunuri imobile comerciale sau la o ipotecă asupra unor astfel de bunuri include acțiuni deținute la societăți finlandeze din domeniul locativ care funcționează în conformitate cu Legea finlandeză din 1991 privind societățile din domeniul locativ sau cu legislația echivalentă ulterioară. Statele membre sau autoritățile competente ale acestora pot accepta ca acțiunile care constituie o deținere indirectă echivalentă de bunuri imobile să fie tratate ca o deținere directă de bunuri imobile, cu condiția ca o astfel de deținere indirectă să fie reglementată în mod specific de legislația națională a statului membru și, atunci când sunt constituite cu titlu de garanție reală, să ofere creditorilor o protecție echivalentă;</w:t>
            </w:r>
          </w:p>
        </w:tc>
        <w:tc>
          <w:tcPr>
            <w:tcW w:w="1636" w:type="pct"/>
          </w:tcPr>
          <w:p w14:paraId="3FC304B9"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37990A58" w14:textId="27923587" w:rsidR="00395381" w:rsidRPr="00684853" w:rsidRDefault="002C7E0B"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885" w:type="pct"/>
          </w:tcPr>
          <w:p w14:paraId="052EA358" w14:textId="53BEDC3E"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Prevederea respectivă se aplică statelor membre ale UE</w:t>
            </w:r>
            <w:r w:rsidRPr="00684853">
              <w:rPr>
                <w:rFonts w:ascii="Times New Roman" w:eastAsia="Calibri" w:hAnsi="Times New Roman" w:cs="Times New Roman"/>
                <w:color w:val="000000" w:themeColor="text1"/>
                <w:sz w:val="20"/>
                <w:szCs w:val="20"/>
                <w:lang w:val="ro-RO"/>
              </w:rPr>
              <w:t xml:space="preserve">. </w:t>
            </w:r>
          </w:p>
          <w:p w14:paraId="693D247C" w14:textId="77777777" w:rsidR="00395381" w:rsidRPr="00684853" w:rsidRDefault="00395381" w:rsidP="00967ABE">
            <w:pPr>
              <w:jc w:val="both"/>
              <w:rPr>
                <w:rFonts w:ascii="Times New Roman" w:hAnsi="Times New Roman" w:cs="Times New Roman"/>
                <w:color w:val="000000" w:themeColor="text1"/>
                <w:sz w:val="20"/>
                <w:szCs w:val="20"/>
                <w:lang w:val="ro-RO"/>
              </w:rPr>
            </w:pPr>
          </w:p>
        </w:tc>
      </w:tr>
      <w:tr w:rsidR="00EA59FA" w:rsidRPr="00684853" w14:paraId="05C4336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04B7F36" w14:textId="42CF1428" w:rsidR="00395381" w:rsidRPr="00684853" w:rsidRDefault="00395381" w:rsidP="00967ABE">
            <w:pPr>
              <w:pStyle w:val="CM4"/>
              <w:spacing w:after="120"/>
              <w:jc w:val="both"/>
              <w:rPr>
                <w:rFonts w:ascii="Times New Roman" w:hAnsi="Times New Roman"/>
                <w:b/>
                <w:color w:val="000000" w:themeColor="text1"/>
                <w:sz w:val="20"/>
                <w:szCs w:val="20"/>
                <w:lang w:val="ro-RO"/>
              </w:rPr>
            </w:pPr>
            <w:r w:rsidRPr="00684853">
              <w:rPr>
                <w:rFonts w:ascii="Times New Roman" w:eastAsia="Calibri" w:hAnsi="Times New Roman"/>
                <w:color w:val="000000" w:themeColor="text1"/>
                <w:sz w:val="20"/>
                <w:szCs w:val="20"/>
                <w:lang w:val="ro-RO"/>
              </w:rPr>
              <w:t xml:space="preserve">(3) Finanțarea comerțului, astfel cum este menționată la alineatul (1) punctul 80, este de obicei fără angajament ferm și necesită o documentație satisfăcătoare în sprijinul tranzacției pentru fiecare cerere de tragere, existând posibilitatea refuzului finanțării în caz de dubiu legat de bonitate sau de credibilitatea documentației care susține tranzacția În cazul finanțării comerțului, rambursarea expunerilor este în general independentă de debitor, iar fondurile </w:t>
            </w:r>
            <w:r w:rsidRPr="00684853">
              <w:rPr>
                <w:rFonts w:ascii="Times New Roman" w:eastAsia="Calibri" w:hAnsi="Times New Roman"/>
                <w:color w:val="000000" w:themeColor="text1"/>
                <w:sz w:val="20"/>
                <w:szCs w:val="20"/>
                <w:lang w:val="ro-RO"/>
              </w:rPr>
              <w:lastRenderedPageBreak/>
              <w:t>provin în schimb din sumele primite de la importatori sau rezultă din vânzarea mărfurilor care fac obiectul tranzacției.</w:t>
            </w:r>
          </w:p>
        </w:tc>
        <w:tc>
          <w:tcPr>
            <w:tcW w:w="1636" w:type="pct"/>
          </w:tcPr>
          <w:p w14:paraId="3CE35A72" w14:textId="77777777" w:rsidR="002C7E0B" w:rsidRPr="00684853" w:rsidRDefault="002C7E0B" w:rsidP="002C7E0B">
            <w:pPr>
              <w:spacing w:line="276" w:lineRule="auto"/>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lastRenderedPageBreak/>
              <w:t>finanţarea</w:t>
            </w:r>
            <w:proofErr w:type="spellEnd"/>
            <w:r w:rsidRPr="00684853">
              <w:rPr>
                <w:rFonts w:ascii="Times New Roman" w:hAnsi="Times New Roman" w:cs="Times New Roman"/>
                <w:b/>
                <w:bCs/>
                <w:color w:val="000000" w:themeColor="text1"/>
                <w:sz w:val="20"/>
                <w:szCs w:val="20"/>
                <w:lang w:val="ro-RO"/>
              </w:rPr>
              <w:t xml:space="preserve"> </w:t>
            </w:r>
            <w:proofErr w:type="spellStart"/>
            <w:r w:rsidRPr="00684853">
              <w:rPr>
                <w:rFonts w:ascii="Times New Roman" w:hAnsi="Times New Roman" w:cs="Times New Roman"/>
                <w:b/>
                <w:bCs/>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finanţarea</w:t>
            </w:r>
            <w:proofErr w:type="spellEnd"/>
            <w:r w:rsidRPr="00684853">
              <w:rPr>
                <w:rFonts w:ascii="Times New Roman" w:hAnsi="Times New Roman" w:cs="Times New Roman"/>
                <w:color w:val="000000" w:themeColor="text1"/>
                <w:sz w:val="20"/>
                <w:szCs w:val="20"/>
                <w:lang w:val="ro-RO"/>
              </w:rPr>
              <w:t xml:space="preserve"> (inclusiv </w:t>
            </w:r>
            <w:proofErr w:type="spellStart"/>
            <w:r w:rsidRPr="00684853">
              <w:rPr>
                <w:rFonts w:ascii="Times New Roman" w:hAnsi="Times New Roman" w:cs="Times New Roman"/>
                <w:color w:val="000000" w:themeColor="text1"/>
                <w:sz w:val="20"/>
                <w:szCs w:val="20"/>
                <w:lang w:val="ro-RO"/>
              </w:rPr>
              <w:t>garanţiile</w:t>
            </w:r>
            <w:proofErr w:type="spellEnd"/>
            <w:r w:rsidRPr="00684853">
              <w:rPr>
                <w:rFonts w:ascii="Times New Roman" w:hAnsi="Times New Roman" w:cs="Times New Roman"/>
                <w:color w:val="000000" w:themeColor="text1"/>
                <w:sz w:val="20"/>
                <w:szCs w:val="20"/>
                <w:lang w:val="ro-RO"/>
              </w:rPr>
              <w:t xml:space="preserve">) asociată schimburilor de bunuri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servicii prin intermediul produselor financiare cu </w:t>
            </w:r>
            <w:proofErr w:type="spellStart"/>
            <w:r w:rsidRPr="00684853">
              <w:rPr>
                <w:rFonts w:ascii="Times New Roman" w:hAnsi="Times New Roman" w:cs="Times New Roman"/>
                <w:color w:val="000000" w:themeColor="text1"/>
                <w:sz w:val="20"/>
                <w:szCs w:val="20"/>
                <w:lang w:val="ro-RO"/>
              </w:rPr>
              <w:t>scadenţă</w:t>
            </w:r>
            <w:proofErr w:type="spellEnd"/>
            <w:r w:rsidRPr="00684853">
              <w:rPr>
                <w:rFonts w:ascii="Times New Roman" w:hAnsi="Times New Roman" w:cs="Times New Roman"/>
                <w:color w:val="000000" w:themeColor="text1"/>
                <w:sz w:val="20"/>
                <w:szCs w:val="20"/>
                <w:lang w:val="ro-RO"/>
              </w:rPr>
              <w:t xml:space="preserve"> fixă, în general, mai mică de un an fără </w:t>
            </w:r>
            <w:proofErr w:type="spellStart"/>
            <w:r w:rsidRPr="00684853">
              <w:rPr>
                <w:rFonts w:ascii="Times New Roman" w:hAnsi="Times New Roman" w:cs="Times New Roman"/>
                <w:color w:val="000000" w:themeColor="text1"/>
                <w:sz w:val="20"/>
                <w:szCs w:val="20"/>
                <w:lang w:val="ro-RO"/>
              </w:rPr>
              <w:t>refinanţare</w:t>
            </w:r>
            <w:proofErr w:type="spellEnd"/>
            <w:r w:rsidRPr="00684853">
              <w:rPr>
                <w:rFonts w:ascii="Times New Roman" w:hAnsi="Times New Roman" w:cs="Times New Roman"/>
                <w:color w:val="000000" w:themeColor="text1"/>
                <w:sz w:val="20"/>
                <w:szCs w:val="20"/>
                <w:lang w:val="ro-RO"/>
              </w:rPr>
              <w:t xml:space="preserve"> automată;</w:t>
            </w:r>
          </w:p>
          <w:p w14:paraId="7B5C2E14" w14:textId="79119749" w:rsidR="00395381" w:rsidRPr="00684853" w:rsidRDefault="002C7E0B" w:rsidP="002C7E0B">
            <w:pPr>
              <w:spacing w:line="276" w:lineRule="auto"/>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color w:val="000000" w:themeColor="text1"/>
                <w:sz w:val="20"/>
                <w:szCs w:val="20"/>
                <w:lang w:val="ro-RO"/>
              </w:rPr>
              <w:lastRenderedPageBreak/>
              <w:t>Finanţarea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astfel cum este </w:t>
            </w:r>
            <w:proofErr w:type="spellStart"/>
            <w:r w:rsidRPr="00684853">
              <w:rPr>
                <w:rFonts w:ascii="Times New Roman" w:hAnsi="Times New Roman" w:cs="Times New Roman"/>
                <w:color w:val="000000" w:themeColor="text1"/>
                <w:sz w:val="20"/>
                <w:szCs w:val="20"/>
                <w:lang w:val="ro-RO"/>
              </w:rPr>
              <w:t>menţionată</w:t>
            </w:r>
            <w:proofErr w:type="spellEnd"/>
            <w:r w:rsidRPr="00684853">
              <w:rPr>
                <w:rFonts w:ascii="Times New Roman" w:hAnsi="Times New Roman" w:cs="Times New Roman"/>
                <w:color w:val="000000" w:themeColor="text1"/>
                <w:sz w:val="20"/>
                <w:szCs w:val="20"/>
                <w:lang w:val="ro-RO"/>
              </w:rPr>
              <w:t xml:space="preserve"> mai sus, este de obicei fără angajament ferm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necesită ca </w:t>
            </w:r>
            <w:proofErr w:type="spellStart"/>
            <w:r w:rsidRPr="00684853">
              <w:rPr>
                <w:rFonts w:ascii="Times New Roman" w:hAnsi="Times New Roman" w:cs="Times New Roman"/>
                <w:color w:val="000000" w:themeColor="text1"/>
                <w:sz w:val="20"/>
                <w:szCs w:val="20"/>
                <w:lang w:val="ro-RO"/>
              </w:rPr>
              <w:t>documentaţia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tranzacţiei</w:t>
            </w:r>
            <w:proofErr w:type="spellEnd"/>
            <w:r w:rsidRPr="00684853">
              <w:rPr>
                <w:rFonts w:ascii="Times New Roman" w:hAnsi="Times New Roman" w:cs="Times New Roman"/>
                <w:color w:val="000000" w:themeColor="text1"/>
                <w:sz w:val="20"/>
                <w:szCs w:val="20"/>
                <w:lang w:val="ro-RO"/>
              </w:rPr>
              <w:t xml:space="preserve"> să justifice fiecare cerere de tragere, existând posibilitatea refuzului </w:t>
            </w:r>
            <w:proofErr w:type="spellStart"/>
            <w:r w:rsidRPr="00684853">
              <w:rPr>
                <w:rFonts w:ascii="Times New Roman" w:hAnsi="Times New Roman" w:cs="Times New Roman"/>
                <w:color w:val="000000" w:themeColor="text1"/>
                <w:sz w:val="20"/>
                <w:szCs w:val="20"/>
                <w:lang w:val="ro-RO"/>
              </w:rPr>
              <w:t>finanţării</w:t>
            </w:r>
            <w:proofErr w:type="spellEnd"/>
            <w:r w:rsidRPr="00684853">
              <w:rPr>
                <w:rFonts w:ascii="Times New Roman" w:hAnsi="Times New Roman" w:cs="Times New Roman"/>
                <w:color w:val="000000" w:themeColor="text1"/>
                <w:sz w:val="20"/>
                <w:szCs w:val="20"/>
                <w:lang w:val="ro-RO"/>
              </w:rPr>
              <w:t xml:space="preserve"> în caz de dubiu legat de bonitate sau de credibilitatea </w:t>
            </w:r>
            <w:proofErr w:type="spellStart"/>
            <w:r w:rsidRPr="00684853">
              <w:rPr>
                <w:rFonts w:ascii="Times New Roman" w:hAnsi="Times New Roman" w:cs="Times New Roman"/>
                <w:color w:val="000000" w:themeColor="text1"/>
                <w:sz w:val="20"/>
                <w:szCs w:val="20"/>
                <w:lang w:val="ro-RO"/>
              </w:rPr>
              <w:t>documentaţiei</w:t>
            </w:r>
            <w:proofErr w:type="spellEnd"/>
            <w:r w:rsidRPr="00684853">
              <w:rPr>
                <w:rFonts w:ascii="Times New Roman" w:hAnsi="Times New Roman" w:cs="Times New Roman"/>
                <w:color w:val="000000" w:themeColor="text1"/>
                <w:sz w:val="20"/>
                <w:szCs w:val="20"/>
                <w:lang w:val="ro-RO"/>
              </w:rPr>
              <w:t xml:space="preserve"> care </w:t>
            </w:r>
            <w:proofErr w:type="spellStart"/>
            <w:r w:rsidRPr="00684853">
              <w:rPr>
                <w:rFonts w:ascii="Times New Roman" w:hAnsi="Times New Roman" w:cs="Times New Roman"/>
                <w:color w:val="000000" w:themeColor="text1"/>
                <w:sz w:val="20"/>
                <w:szCs w:val="20"/>
                <w:lang w:val="ro-RO"/>
              </w:rPr>
              <w:t>susţine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tranzacţia</w:t>
            </w:r>
            <w:proofErr w:type="spellEnd"/>
            <w:r w:rsidRPr="00684853">
              <w:rPr>
                <w:rFonts w:ascii="Times New Roman" w:hAnsi="Times New Roman" w:cs="Times New Roman"/>
                <w:color w:val="000000" w:themeColor="text1"/>
                <w:sz w:val="20"/>
                <w:szCs w:val="20"/>
                <w:lang w:val="ro-RO"/>
              </w:rPr>
              <w:t xml:space="preserve">. În cazul </w:t>
            </w:r>
            <w:proofErr w:type="spellStart"/>
            <w:r w:rsidRPr="00684853">
              <w:rPr>
                <w:rFonts w:ascii="Times New Roman" w:hAnsi="Times New Roman" w:cs="Times New Roman"/>
                <w:color w:val="000000" w:themeColor="text1"/>
                <w:sz w:val="20"/>
                <w:szCs w:val="20"/>
                <w:lang w:val="ro-RO"/>
              </w:rPr>
              <w:t>finanţării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rambursarea expunerilor respective este în general independentă de debitor, iar fondurile provin în schimb din sumele primite de la importatori sau rezultă din vânzarea mărfurilor care fac obiectul </w:t>
            </w:r>
            <w:proofErr w:type="spellStart"/>
            <w:r w:rsidRPr="00684853">
              <w:rPr>
                <w:rFonts w:ascii="Times New Roman" w:hAnsi="Times New Roman" w:cs="Times New Roman"/>
                <w:color w:val="000000" w:themeColor="text1"/>
                <w:sz w:val="20"/>
                <w:szCs w:val="20"/>
                <w:lang w:val="ro-RO"/>
              </w:rPr>
              <w:t>tranzacţiei</w:t>
            </w:r>
            <w:proofErr w:type="spellEnd"/>
            <w:r w:rsidRPr="00684853">
              <w:rPr>
                <w:rFonts w:ascii="Times New Roman" w:hAnsi="Times New Roman" w:cs="Times New Roman"/>
                <w:color w:val="000000" w:themeColor="text1"/>
                <w:sz w:val="20"/>
                <w:szCs w:val="20"/>
                <w:lang w:val="ro-RO"/>
              </w:rPr>
              <w:t>;</w:t>
            </w:r>
          </w:p>
        </w:tc>
        <w:tc>
          <w:tcPr>
            <w:tcW w:w="562" w:type="pct"/>
          </w:tcPr>
          <w:p w14:paraId="1A60B1F3"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885" w:type="pct"/>
          </w:tcPr>
          <w:p w14:paraId="0A977459" w14:textId="0A42E043" w:rsidR="00395381" w:rsidRPr="00684853" w:rsidRDefault="00395381"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p.3 din  </w:t>
            </w:r>
            <w:r w:rsidRPr="00684853">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 xml:space="preserve">aprobat prin HCE al BNM </w:t>
            </w:r>
            <w:r w:rsidRPr="00684853">
              <w:rPr>
                <w:rFonts w:ascii="Times New Roman" w:hAnsi="Times New Roman" w:cs="Times New Roman"/>
                <w:color w:val="000000" w:themeColor="text1"/>
                <w:sz w:val="20"/>
                <w:szCs w:val="20"/>
                <w:lang w:val="ro-RO"/>
              </w:rPr>
              <w:lastRenderedPageBreak/>
              <w:t>nr.111/2018, prin noțiunea de „finanțarea comerțului”.</w:t>
            </w:r>
          </w:p>
        </w:tc>
      </w:tr>
      <w:tr w:rsidR="00EA59FA" w:rsidRPr="00684853" w14:paraId="359CE51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0A89B2E" w14:textId="00844383" w:rsidR="00395381" w:rsidRPr="00684853" w:rsidRDefault="00395381" w:rsidP="006A1480">
            <w:pPr>
              <w:jc w:val="both"/>
              <w:rPr>
                <w:rFonts w:ascii="Times New Roman" w:hAnsi="Times New Roman" w:cs="Times New Roman"/>
                <w:color w:val="000000" w:themeColor="text1"/>
                <w:sz w:val="20"/>
                <w:szCs w:val="20"/>
                <w:lang w:val="ro-RO"/>
              </w:rPr>
            </w:pPr>
            <w:hyperlink r:id="rId22" w:tooltip="32019R0876: INSERTED" w:history="1">
              <w:r w:rsidRPr="00684853">
                <w:rPr>
                  <w:rFonts w:ascii="Times New Roman" w:hAnsi="Times New Roman" w:cs="Times New Roman"/>
                  <w:color w:val="000000" w:themeColor="text1"/>
                  <w:sz w:val="20"/>
                  <w:szCs w:val="20"/>
                  <w:lang w:val="ro-RO"/>
                </w:rPr>
                <w:t>▼M8</w:t>
              </w:r>
            </w:hyperlink>
          </w:p>
          <w:p w14:paraId="7F4D9A31" w14:textId="6D1EA013" w:rsidR="00395381" w:rsidRPr="00684853" w:rsidRDefault="00395381"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(4)   ABE elaborează proiecte de standarde tehnice de reglementare care să precizeze circumstanțele în care sunt îndeplinite condițiile prevăzute la alineatul (1) punctul 39.</w:t>
            </w:r>
          </w:p>
          <w:p w14:paraId="5F214030" w14:textId="5DB19638" w:rsidR="00395381" w:rsidRPr="00684853" w:rsidRDefault="00395381"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ABE înaintează Comisiei aceste proiecte de standarde tehnice de reglementare până la 28 iunie 2020.</w:t>
            </w:r>
          </w:p>
          <w:p w14:paraId="63FAF016" w14:textId="451ABE1C" w:rsidR="00395381" w:rsidRPr="00684853" w:rsidRDefault="00395381"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deleagă Comisiei competența de a completa prezentul regulament prin adoptarea standardelor tehnice de reglementare menționate la primul paragraf în conformitate cu articolele 10-14 din Regulamentul (UE) nr. 1093/2010.</w:t>
            </w:r>
          </w:p>
        </w:tc>
        <w:tc>
          <w:tcPr>
            <w:tcW w:w="1636" w:type="pct"/>
          </w:tcPr>
          <w:p w14:paraId="2CD96BA3" w14:textId="77777777" w:rsidR="00395381" w:rsidRPr="00684853" w:rsidRDefault="00395381" w:rsidP="006A1480">
            <w:pPr>
              <w:jc w:val="both"/>
              <w:rPr>
                <w:rFonts w:ascii="Times New Roman" w:hAnsi="Times New Roman" w:cs="Times New Roman"/>
                <w:color w:val="000000" w:themeColor="text1"/>
                <w:sz w:val="20"/>
                <w:szCs w:val="20"/>
                <w:lang w:val="ro-RO"/>
              </w:rPr>
            </w:pPr>
          </w:p>
        </w:tc>
        <w:tc>
          <w:tcPr>
            <w:tcW w:w="562" w:type="pct"/>
          </w:tcPr>
          <w:p w14:paraId="2C03186B" w14:textId="2F1C34C4" w:rsidR="00395381" w:rsidRPr="00684853" w:rsidRDefault="00461483"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w:t>
            </w:r>
            <w:r w:rsidR="00395381" w:rsidRPr="00684853">
              <w:rPr>
                <w:rFonts w:ascii="Times New Roman" w:hAnsi="Times New Roman" w:cs="Times New Roman"/>
                <w:color w:val="000000" w:themeColor="text1"/>
                <w:sz w:val="20"/>
                <w:szCs w:val="20"/>
                <w:lang w:val="ro-RO"/>
              </w:rPr>
              <w:t xml:space="preserve"> UE neaplicabile</w:t>
            </w:r>
          </w:p>
        </w:tc>
        <w:tc>
          <w:tcPr>
            <w:tcW w:w="885" w:type="pct"/>
          </w:tcPr>
          <w:p w14:paraId="0DCC904C" w14:textId="798A97A1" w:rsidR="00395381" w:rsidRPr="00684853" w:rsidRDefault="00AA51FB" w:rsidP="006A1480">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atribuțiile</w:t>
            </w:r>
            <w:r w:rsidR="00395381" w:rsidRPr="00684853">
              <w:rPr>
                <w:rFonts w:ascii="Times New Roman" w:hAnsi="Times New Roman" w:cs="Times New Roman"/>
                <w:color w:val="000000" w:themeColor="text1"/>
                <w:sz w:val="20"/>
                <w:szCs w:val="20"/>
                <w:lang w:val="ro-RO"/>
              </w:rPr>
              <w:t xml:space="preserve"> ABE.</w:t>
            </w:r>
          </w:p>
        </w:tc>
      </w:tr>
      <w:tr w:rsidR="00EA59FA" w:rsidRPr="00684853" w14:paraId="276079B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D4776C0" w14:textId="77777777" w:rsidR="00AA51FB" w:rsidRPr="00684853" w:rsidRDefault="00AA51FB" w:rsidP="00AA51F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353D4466" w14:textId="4FBA26B5" w:rsidR="00AA51FB" w:rsidRPr="00684853" w:rsidRDefault="00AA51FB" w:rsidP="00AA51F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(5)   Până la 10 ianuarie 2026, ABE emite ghiduri în conformitate cu articolul 16 din Regulamentul (UE) nr. 1093/2010, în care precizează criteriile de identificare a activităților menționate la alineatul (1) primul paragraf punctul 18 de la prezentul articol.</w:t>
            </w:r>
          </w:p>
        </w:tc>
        <w:tc>
          <w:tcPr>
            <w:tcW w:w="1636" w:type="pct"/>
          </w:tcPr>
          <w:p w14:paraId="0A75CC68" w14:textId="77777777" w:rsidR="00AA51FB" w:rsidRPr="00684853" w:rsidRDefault="00AA51FB" w:rsidP="00AA51FB">
            <w:pPr>
              <w:jc w:val="both"/>
              <w:rPr>
                <w:rFonts w:ascii="Times New Roman" w:hAnsi="Times New Roman" w:cs="Times New Roman"/>
                <w:color w:val="000000" w:themeColor="text1"/>
                <w:sz w:val="20"/>
                <w:szCs w:val="20"/>
                <w:lang w:val="ro-RO"/>
              </w:rPr>
            </w:pPr>
          </w:p>
        </w:tc>
        <w:tc>
          <w:tcPr>
            <w:tcW w:w="562" w:type="pct"/>
          </w:tcPr>
          <w:p w14:paraId="642F72F8" w14:textId="39711A97" w:rsidR="00AA51FB" w:rsidRPr="00684853" w:rsidDel="00461483" w:rsidRDefault="00AA51FB" w:rsidP="00AA51F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885" w:type="pct"/>
          </w:tcPr>
          <w:p w14:paraId="0B5A6EFC" w14:textId="4315DE02" w:rsidR="00AA51FB" w:rsidRPr="00684853" w:rsidRDefault="00AA51FB" w:rsidP="00AA51FB">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Vizează atribuțiile ABE.</w:t>
            </w:r>
          </w:p>
        </w:tc>
      </w:tr>
      <w:tr w:rsidR="00EA59FA" w:rsidRPr="00684853" w14:paraId="050908A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2F4AC71" w14:textId="77777777"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i/>
                <w:color w:val="000000" w:themeColor="text1"/>
                <w:sz w:val="20"/>
                <w:szCs w:val="20"/>
                <w:lang w:val="ro-RO"/>
              </w:rPr>
              <w:t>Articolul 5</w:t>
            </w:r>
            <w:r w:rsidRPr="00684853">
              <w:rPr>
                <w:rFonts w:ascii="Times New Roman" w:hAnsi="Times New Roman"/>
                <w:b/>
                <w:color w:val="000000" w:themeColor="text1"/>
                <w:sz w:val="20"/>
                <w:szCs w:val="20"/>
                <w:lang w:val="ro-RO"/>
              </w:rPr>
              <w:t xml:space="preserve"> Definiții specifice cerințelor de capital pentru riscul de credit</w:t>
            </w:r>
          </w:p>
        </w:tc>
        <w:tc>
          <w:tcPr>
            <w:tcW w:w="1636" w:type="pct"/>
          </w:tcPr>
          <w:p w14:paraId="0F884378"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799112F4" w14:textId="77777777" w:rsidR="00395381" w:rsidRPr="00684853" w:rsidRDefault="00395381" w:rsidP="00967ABE">
            <w:pPr>
              <w:spacing w:line="276" w:lineRule="auto"/>
              <w:jc w:val="both"/>
              <w:rPr>
                <w:rFonts w:ascii="Times New Roman" w:hAnsi="Times New Roman" w:cs="Times New Roman"/>
                <w:b/>
                <w:color w:val="000000" w:themeColor="text1"/>
                <w:sz w:val="20"/>
                <w:szCs w:val="20"/>
                <w:lang w:val="ro-RO"/>
              </w:rPr>
            </w:pPr>
          </w:p>
        </w:tc>
        <w:tc>
          <w:tcPr>
            <w:tcW w:w="885" w:type="pct"/>
          </w:tcPr>
          <w:p w14:paraId="4D911BF7" w14:textId="314A29A9" w:rsidR="00395381" w:rsidRPr="00684853" w:rsidRDefault="00395381" w:rsidP="00967ABE">
            <w:pPr>
              <w:spacing w:line="276" w:lineRule="auto"/>
              <w:jc w:val="both"/>
              <w:rPr>
                <w:rFonts w:ascii="Times New Roman" w:hAnsi="Times New Roman" w:cs="Times New Roman"/>
                <w:color w:val="000000" w:themeColor="text1"/>
                <w:sz w:val="20"/>
                <w:szCs w:val="20"/>
                <w:lang w:val="ro-RO"/>
              </w:rPr>
            </w:pPr>
          </w:p>
        </w:tc>
      </w:tr>
      <w:tr w:rsidR="00EA59FA" w:rsidRPr="00684853" w14:paraId="65A2C28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5"/>
        </w:trPr>
        <w:tc>
          <w:tcPr>
            <w:tcW w:w="1916" w:type="pct"/>
          </w:tcPr>
          <w:p w14:paraId="469D5FFB" w14:textId="77777777"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În sensul părții a treia titlul II, se aplică următoarele definiții:</w:t>
            </w:r>
          </w:p>
          <w:p w14:paraId="1E78094F" w14:textId="77777777"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 „expunere” însemnă un activ sau un element </w:t>
            </w:r>
            <w:proofErr w:type="spellStart"/>
            <w:r w:rsidRPr="00684853">
              <w:rPr>
                <w:rFonts w:ascii="Times New Roman" w:hAnsi="Times New Roman"/>
                <w:color w:val="000000" w:themeColor="text1"/>
                <w:sz w:val="20"/>
                <w:szCs w:val="20"/>
                <w:lang w:val="ro-RO"/>
              </w:rPr>
              <w:t>extrabilanțier</w:t>
            </w:r>
            <w:proofErr w:type="spellEnd"/>
            <w:r w:rsidRPr="00684853">
              <w:rPr>
                <w:rFonts w:ascii="Times New Roman" w:hAnsi="Times New Roman"/>
                <w:color w:val="000000" w:themeColor="text1"/>
                <w:sz w:val="20"/>
                <w:szCs w:val="20"/>
                <w:lang w:val="ro-RO"/>
              </w:rPr>
              <w:t>;</w:t>
            </w:r>
          </w:p>
        </w:tc>
        <w:tc>
          <w:tcPr>
            <w:tcW w:w="1636" w:type="pct"/>
          </w:tcPr>
          <w:p w14:paraId="7E09EF77" w14:textId="4002A2CD" w:rsidR="00395381" w:rsidRPr="00684853" w:rsidRDefault="00FD5BE2" w:rsidP="00967ABE">
            <w:pPr>
              <w:spacing w:line="276"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expunere</w:t>
            </w:r>
            <w:r w:rsidRPr="00684853">
              <w:rPr>
                <w:rFonts w:ascii="Times New Roman" w:hAnsi="Times New Roman" w:cs="Times New Roman"/>
                <w:color w:val="000000" w:themeColor="text1"/>
                <w:sz w:val="20"/>
                <w:szCs w:val="20"/>
                <w:lang w:val="ro-RO"/>
              </w:rPr>
              <w:t xml:space="preserve"> – un activ sau un element </w:t>
            </w:r>
            <w:proofErr w:type="spellStart"/>
            <w:r w:rsidRPr="00684853">
              <w:rPr>
                <w:rFonts w:ascii="Times New Roman" w:hAnsi="Times New Roman" w:cs="Times New Roman"/>
                <w:color w:val="000000" w:themeColor="text1"/>
                <w:sz w:val="20"/>
                <w:szCs w:val="20"/>
                <w:lang w:val="ro-RO"/>
              </w:rPr>
              <w:t>extrabilanţier</w:t>
            </w:r>
            <w:proofErr w:type="spellEnd"/>
            <w:r w:rsidRPr="00684853">
              <w:rPr>
                <w:rFonts w:ascii="Times New Roman" w:hAnsi="Times New Roman" w:cs="Times New Roman"/>
                <w:color w:val="000000" w:themeColor="text1"/>
                <w:sz w:val="20"/>
                <w:szCs w:val="20"/>
                <w:lang w:val="ro-RO"/>
              </w:rPr>
              <w:t>;</w:t>
            </w:r>
          </w:p>
        </w:tc>
        <w:tc>
          <w:tcPr>
            <w:tcW w:w="562" w:type="pct"/>
          </w:tcPr>
          <w:p w14:paraId="5E34AB47" w14:textId="77777777"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259BB729" w14:textId="2B470ECF" w:rsidR="00395381" w:rsidRPr="00684853" w:rsidRDefault="00395381" w:rsidP="00967ABE">
            <w:pPr>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Transpusă în p.5 din </w:t>
            </w:r>
            <w:r w:rsidRPr="00684853">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684853">
              <w:rPr>
                <w:rFonts w:ascii="Times New Roman" w:hAnsi="Times New Roman" w:cs="Times New Roman"/>
                <w:color w:val="000000" w:themeColor="text1"/>
                <w:sz w:val="20"/>
                <w:szCs w:val="20"/>
                <w:lang w:val="ro-RO"/>
              </w:rPr>
              <w:t>aprobat prin HCE al BNM nr.111/2018.</w:t>
            </w:r>
          </w:p>
        </w:tc>
      </w:tr>
      <w:tr w:rsidR="00EA59FA" w:rsidRPr="00684853" w14:paraId="5EE2373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00E2D95" w14:textId="77777777" w:rsidR="00395381" w:rsidRPr="00684853" w:rsidRDefault="0039538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2. „pierdere” înseamnă pierderea economică, inclusiv efectele actualizărilor importante și costurile semnificative directe și indirecte asociate recuperării sumelor de încasat în baza unui instrument;</w:t>
            </w:r>
          </w:p>
        </w:tc>
        <w:tc>
          <w:tcPr>
            <w:tcW w:w="1636" w:type="pct"/>
          </w:tcPr>
          <w:p w14:paraId="2AF773DD"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7224AABE" w14:textId="540A1AF2" w:rsidR="00395381" w:rsidRPr="00684853" w:rsidRDefault="0034412D"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03B7237A" w14:textId="5D91C550"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cadrul </w:t>
            </w:r>
            <w:r w:rsidRPr="00684853">
              <w:rPr>
                <w:rFonts w:ascii="Times New Roman" w:hAnsi="Times New Roman" w:cs="Times New Roman"/>
                <w:bCs/>
                <w:color w:val="000000" w:themeColor="text1"/>
                <w:sz w:val="20"/>
                <w:szCs w:val="20"/>
                <w:lang w:val="ro-RO"/>
              </w:rPr>
              <w:t>Regulamentului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EA59FA" w:rsidRPr="00684853" w14:paraId="2D9505A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8929B65" w14:textId="77777777" w:rsidR="009D4601" w:rsidRPr="00684853" w:rsidRDefault="009D4601" w:rsidP="00967AB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209DA283" w14:textId="568701A5" w:rsidR="009D4601" w:rsidRPr="00684853" w:rsidRDefault="00395381" w:rsidP="009D460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3. „pierdere așteptată” sau „EL” înseamnă raportul </w:t>
            </w:r>
            <w:r w:rsidR="009D4601" w:rsidRPr="00684853">
              <w:rPr>
                <w:rFonts w:ascii="Times New Roman" w:hAnsi="Times New Roman"/>
                <w:color w:val="000000" w:themeColor="text1"/>
                <w:sz w:val="20"/>
                <w:szCs w:val="20"/>
                <w:lang w:val="ro-RO"/>
              </w:rPr>
              <w:t>legat de o singură facilitate, dintre, pe de o parte, cuantumul pierderii estimate aferente unei expuneri rezultate din oricare dintre următoarele:</w:t>
            </w:r>
          </w:p>
          <w:p w14:paraId="155F26A6" w14:textId="51DE842B" w:rsidR="009D4601" w:rsidRPr="00684853" w:rsidRDefault="009D4601" w:rsidP="009D460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(a) o potențială intrare în stare de nerambursare a unui debitor pe parcursul unui an și, pe de altă parte, cuantumul expus la risc în momentul intrării în stare de nerambursare;</w:t>
            </w:r>
          </w:p>
          <w:p w14:paraId="276DEF7C" w14:textId="62D835FF" w:rsidR="00395381" w:rsidRPr="00684853" w:rsidRDefault="009D4601" w:rsidP="009D4601">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potențial eveniment de diminuare a valorii creanței pe parcursul unui an și, pe de altă parte, cuantumul expus la risc la data producerii evenimentului de diminuare a valorii creanței;</w:t>
            </w:r>
          </w:p>
        </w:tc>
        <w:tc>
          <w:tcPr>
            <w:tcW w:w="1636" w:type="pct"/>
          </w:tcPr>
          <w:p w14:paraId="3F893719"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0E1385C3" w14:textId="2706A961" w:rsidR="00395381" w:rsidRPr="00684853" w:rsidRDefault="0034412D" w:rsidP="00967AB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1DFF4EDA" w14:textId="3858C6FD" w:rsidR="00395381" w:rsidRPr="00684853" w:rsidRDefault="00395381" w:rsidP="00967AB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EA59FA" w:rsidRPr="00684853" w14:paraId="2777E8F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E4EB579"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5F1FE8EB" w14:textId="720C40D7" w:rsidR="000067AE" w:rsidRPr="00684853" w:rsidRDefault="000067AE" w:rsidP="000067AE">
            <w:pPr>
              <w:jc w:val="both"/>
              <w:rPr>
                <w:color w:val="000000" w:themeColor="text1"/>
                <w:lang w:val="ro-RO"/>
              </w:rPr>
            </w:pPr>
            <w:r w:rsidRPr="00684853">
              <w:rPr>
                <w:rFonts w:ascii="Times New Roman" w:eastAsia="Times New Roman" w:hAnsi="Times New Roman" w:cs="Times New Roman"/>
                <w:color w:val="000000" w:themeColor="text1"/>
                <w:sz w:val="20"/>
                <w:szCs w:val="20"/>
                <w:lang w:val="ro-RO"/>
              </w:rPr>
              <w:t>4. „obligație din credite” înseamnă orice obligație care decurge dintr-un contract de credit, inclusiv principalul, dobânda acumulată și comisioanele, datorată de un debitor;</w:t>
            </w:r>
          </w:p>
        </w:tc>
        <w:tc>
          <w:tcPr>
            <w:tcW w:w="1636" w:type="pct"/>
          </w:tcPr>
          <w:p w14:paraId="66377096" w14:textId="77777777" w:rsidR="000067AE" w:rsidRPr="00684853" w:rsidRDefault="000067AE" w:rsidP="000067AE">
            <w:pPr>
              <w:spacing w:line="276" w:lineRule="auto"/>
              <w:rPr>
                <w:rFonts w:ascii="Times New Roman" w:hAnsi="Times New Roman" w:cs="Times New Roman"/>
                <w:color w:val="000000" w:themeColor="text1"/>
                <w:sz w:val="20"/>
                <w:szCs w:val="20"/>
                <w:lang w:val="ro-RO"/>
              </w:rPr>
            </w:pPr>
          </w:p>
        </w:tc>
        <w:tc>
          <w:tcPr>
            <w:tcW w:w="562" w:type="pct"/>
          </w:tcPr>
          <w:p w14:paraId="77E715F0" w14:textId="0078360D" w:rsidR="000067AE" w:rsidRPr="00684853" w:rsidRDefault="000067AE" w:rsidP="000067AE">
            <w:pPr>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77418428" w14:textId="1EBE30F2" w:rsidR="000067AE" w:rsidRPr="00684853" w:rsidRDefault="000067AE" w:rsidP="000067AE">
            <w:pPr>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EA59FA" w:rsidRPr="00684853" w14:paraId="39C1E21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BFDA71A"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M17</w:t>
            </w:r>
          </w:p>
          <w:p w14:paraId="314CBFF9" w14:textId="48E4AEA6"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5. „expunere din credite” înseamnă orice element bilanțier sau </w:t>
            </w:r>
            <w:proofErr w:type="spellStart"/>
            <w:r w:rsidRPr="00684853">
              <w:rPr>
                <w:rFonts w:ascii="Times New Roman" w:eastAsia="Times New Roman" w:hAnsi="Times New Roman" w:cs="Times New Roman"/>
                <w:color w:val="000000" w:themeColor="text1"/>
                <w:sz w:val="20"/>
                <w:szCs w:val="20"/>
                <w:lang w:val="ro-RO"/>
              </w:rPr>
              <w:t>extrabilanțier</w:t>
            </w:r>
            <w:proofErr w:type="spellEnd"/>
            <w:r w:rsidRPr="00684853">
              <w:rPr>
                <w:rFonts w:ascii="Times New Roman" w:eastAsia="Times New Roman" w:hAnsi="Times New Roman" w:cs="Times New Roman"/>
                <w:color w:val="000000" w:themeColor="text1"/>
                <w:sz w:val="20"/>
                <w:szCs w:val="20"/>
                <w:lang w:val="ro-RO"/>
              </w:rPr>
              <w:t xml:space="preserve"> care are sau poate avea ca rezultat o obligație din credite;</w:t>
            </w:r>
          </w:p>
        </w:tc>
        <w:tc>
          <w:tcPr>
            <w:tcW w:w="1636" w:type="pct"/>
          </w:tcPr>
          <w:p w14:paraId="686D88E0"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4D28D5E9" w14:textId="6892B489"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32A331FF" w14:textId="5F24DAE3"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EA59FA" w:rsidRPr="00684853" w14:paraId="50EED2F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1C7F8E9"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3DF34709" w14:textId="0EC2C169"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6. „facilitate” sau „facilitate de credit” înseamnă o expunere din credite care decurge dintr-un contract sau dintr-un set de contracte încheiate între un debitor și o instituție;</w:t>
            </w:r>
          </w:p>
        </w:tc>
        <w:tc>
          <w:tcPr>
            <w:tcW w:w="1636" w:type="pct"/>
          </w:tcPr>
          <w:p w14:paraId="38F90A3F"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450AF4E5" w14:textId="23EE1E9E"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5061BF25" w14:textId="01195950"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EA59FA" w:rsidRPr="00684853" w14:paraId="65B154F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5B243D6"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3F324E50" w14:textId="2B3A9562"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7. „marjă de prudență” înseamnă o majorare încorporată în estimările parametrilor de risc pentru a ține seama de gama preconizată de erori de estimare care pot decurge din deficiențele identificate în ceea ce privește datele, metodele, modelele, modificările standardelor de subscriere, ale apetitului de risc și ale politicilor de colectare și recuperare și orice altă sursă de incertitudine suplimentară, precum și din eroarea de estimare generală;</w:t>
            </w:r>
          </w:p>
        </w:tc>
        <w:tc>
          <w:tcPr>
            <w:tcW w:w="1636" w:type="pct"/>
          </w:tcPr>
          <w:p w14:paraId="07F3390B"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18E016A4" w14:textId="4483F13C"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7D15B88" w14:textId="14CA53DB"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EA59FA" w:rsidRPr="00684853" w14:paraId="57A0EEB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8ED593C"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2F8D4D56" w14:textId="3E025569"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8. „ajustare adecvată” înseamnă impactul asupra estimărilor parametrilor de risc care decurge din aplicarea metodologiilor în cadrul estimării parametrilor de risc pentru a corecta deficiențele identificate în ceea ce privește datele și în ceea ce privește metodele de estimare și pentru a ține seama de modificările standardelor de subscriere, ale apetitului de risc și ale politicilor de colectare și recuperare și de orice altă sursă de incertitudine, în măsura </w:t>
            </w:r>
            <w:r w:rsidRPr="00684853">
              <w:rPr>
                <w:rFonts w:ascii="Times New Roman" w:eastAsia="Times New Roman" w:hAnsi="Times New Roman" w:cs="Times New Roman"/>
                <w:color w:val="000000" w:themeColor="text1"/>
                <w:sz w:val="20"/>
                <w:szCs w:val="20"/>
                <w:lang w:val="ro-RO"/>
              </w:rPr>
              <w:lastRenderedPageBreak/>
              <w:t>posibilului, în vederea evitării denaturărilor în cadrul estimărilor parametrilor de risc;</w:t>
            </w:r>
          </w:p>
        </w:tc>
        <w:tc>
          <w:tcPr>
            <w:tcW w:w="1636" w:type="pct"/>
          </w:tcPr>
          <w:p w14:paraId="5ADCA31F"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5D6AD605" w14:textId="30FFBB52"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6A15E06" w14:textId="5DC20C8F"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EA59FA" w:rsidRPr="00684853" w14:paraId="5DE3C9B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6900FAB" w14:textId="77777777" w:rsidR="009D4601" w:rsidRPr="00684853" w:rsidRDefault="009D4601" w:rsidP="00383CBA">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45B3E49E" w14:textId="4FF85D3D" w:rsidR="00383CBA" w:rsidRPr="00684853" w:rsidRDefault="000F77E8"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9. </w:t>
            </w:r>
            <w:r w:rsidR="00383CBA" w:rsidRPr="00684853">
              <w:rPr>
                <w:rFonts w:ascii="Times New Roman" w:eastAsia="Times New Roman" w:hAnsi="Times New Roman" w:cs="Times New Roman"/>
                <w:color w:val="000000" w:themeColor="text1"/>
                <w:sz w:val="20"/>
                <w:szCs w:val="20"/>
                <w:lang w:val="ro-RO"/>
              </w:rPr>
              <w:t>„întreprindere mică și mijlocie” sau „IMM” înseamnă o societate sau o întreprindere care, conform celor mai recente conturi consolidate, are o cifră de afaceri anuală care nu depășește 50 000 000  EUR;</w:t>
            </w:r>
          </w:p>
        </w:tc>
        <w:tc>
          <w:tcPr>
            <w:tcW w:w="1636" w:type="pct"/>
          </w:tcPr>
          <w:p w14:paraId="21565492" w14:textId="77777777" w:rsidR="009D4601" w:rsidRPr="00684853" w:rsidRDefault="009D4601" w:rsidP="00383CBA">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07F73059" w14:textId="155AE82E" w:rsidR="009D4601" w:rsidRPr="00684853" w:rsidRDefault="00650ADE"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Norme UE netranspuse</w:t>
            </w:r>
          </w:p>
        </w:tc>
        <w:tc>
          <w:tcPr>
            <w:tcW w:w="885" w:type="pct"/>
          </w:tcPr>
          <w:p w14:paraId="31066880" w14:textId="31B4E3BF" w:rsidR="009D4601" w:rsidRPr="00684853" w:rsidRDefault="005B5356"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Conform </w:t>
            </w:r>
            <w:r w:rsidR="00650ADE" w:rsidRPr="00684853">
              <w:rPr>
                <w:rFonts w:ascii="Times New Roman" w:eastAsia="Times New Roman" w:hAnsi="Times New Roman" w:cs="Times New Roman"/>
                <w:color w:val="000000" w:themeColor="text1"/>
                <w:sz w:val="20"/>
                <w:szCs w:val="20"/>
                <w:lang w:val="ro-RO"/>
              </w:rPr>
              <w:t>Leg</w:t>
            </w:r>
            <w:r w:rsidRPr="00684853">
              <w:rPr>
                <w:rFonts w:ascii="Times New Roman" w:eastAsia="Times New Roman" w:hAnsi="Times New Roman" w:cs="Times New Roman"/>
                <w:color w:val="000000" w:themeColor="text1"/>
                <w:sz w:val="20"/>
                <w:szCs w:val="20"/>
                <w:lang w:val="ro-RO"/>
              </w:rPr>
              <w:t>ii</w:t>
            </w:r>
            <w:r w:rsidR="00650ADE" w:rsidRPr="00684853">
              <w:rPr>
                <w:rFonts w:ascii="Times New Roman" w:eastAsia="Times New Roman" w:hAnsi="Times New Roman" w:cs="Times New Roman"/>
                <w:color w:val="000000" w:themeColor="text1"/>
                <w:sz w:val="20"/>
                <w:szCs w:val="20"/>
                <w:lang w:val="ro-RO"/>
              </w:rPr>
              <w:t xml:space="preserve"> nr.179</w:t>
            </w:r>
            <w:r w:rsidRPr="00684853">
              <w:rPr>
                <w:rFonts w:ascii="Times New Roman" w:eastAsia="Times New Roman" w:hAnsi="Times New Roman" w:cs="Times New Roman"/>
                <w:color w:val="000000" w:themeColor="text1"/>
                <w:sz w:val="20"/>
                <w:szCs w:val="20"/>
                <w:lang w:val="ro-RO"/>
              </w:rPr>
              <w:t xml:space="preserve">/2016 cu privire la întreprinderile mici </w:t>
            </w:r>
            <w:proofErr w:type="spellStart"/>
            <w:r w:rsidRPr="00684853">
              <w:rPr>
                <w:rFonts w:ascii="Times New Roman" w:eastAsia="Times New Roman" w:hAnsi="Times New Roman" w:cs="Times New Roman"/>
                <w:color w:val="000000" w:themeColor="text1"/>
                <w:sz w:val="20"/>
                <w:szCs w:val="20"/>
                <w:lang w:val="ro-RO"/>
              </w:rPr>
              <w:t>şi</w:t>
            </w:r>
            <w:proofErr w:type="spellEnd"/>
            <w:r w:rsidRPr="00684853">
              <w:rPr>
                <w:rFonts w:ascii="Times New Roman" w:eastAsia="Times New Roman" w:hAnsi="Times New Roman" w:cs="Times New Roman"/>
                <w:color w:val="000000" w:themeColor="text1"/>
                <w:sz w:val="20"/>
                <w:szCs w:val="20"/>
                <w:lang w:val="ro-RO"/>
              </w:rPr>
              <w:t xml:space="preserve"> mijlocii, modificată prin Legea nr.</w:t>
            </w:r>
            <w:r w:rsidR="00E47D42" w:rsidRPr="00684853">
              <w:rPr>
                <w:rFonts w:ascii="Times New Roman" w:eastAsia="Times New Roman" w:hAnsi="Times New Roman" w:cs="Times New Roman"/>
                <w:color w:val="000000" w:themeColor="text1"/>
                <w:sz w:val="20"/>
                <w:szCs w:val="20"/>
                <w:lang w:val="ro-RO"/>
              </w:rPr>
              <w:t xml:space="preserve"> 187/2025 stabilește plafonul maxim de 25 ml. EUR.</w:t>
            </w:r>
          </w:p>
        </w:tc>
      </w:tr>
      <w:tr w:rsidR="00EA59FA" w:rsidRPr="00684853" w14:paraId="28DEAA3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2A8A3A7" w14:textId="77777777" w:rsidR="009D4601" w:rsidRPr="00684853" w:rsidRDefault="009D4601" w:rsidP="00CC700E">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2F79276E" w14:textId="48F9102F" w:rsidR="00383CBA" w:rsidRPr="00684853" w:rsidRDefault="000F77E8"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10. </w:t>
            </w:r>
            <w:r w:rsidR="00383CBA" w:rsidRPr="00684853">
              <w:rPr>
                <w:rFonts w:ascii="Times New Roman" w:eastAsia="Times New Roman" w:hAnsi="Times New Roman" w:cs="Times New Roman"/>
                <w:color w:val="000000" w:themeColor="text1"/>
                <w:sz w:val="20"/>
                <w:szCs w:val="20"/>
                <w:lang w:val="ro-RO"/>
              </w:rPr>
              <w:t>„angajament” înseamnă orice acord contractual, pe care o instituție îl oferă unui client și care este acceptat de clientul respectiv, de a acorda credite, de a achiziționa active sau de a emite substitute de credit; de asemenea, orice astfel de acord care poate fi revocat necondiționat de către instituție în orice moment, fără notificarea prealabilă a unui debitor, sau orice acord care poate fi revocat de către instituție în cazul în care un debitor nu îndeplinește condițiile prevăzute în documentația facilității, inclusiv condițiile care trebuie îndeplinite de debitor înainte de orice tragere inițială sau ulterioară în temeiul acordului, cu excepția cazului în care acordurile contractuale îndeplinesc toate condițiile următoare:</w:t>
            </w:r>
          </w:p>
          <w:p w14:paraId="5E7ED845" w14:textId="1A1560EB"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(a) acordurile contractuale în cazul cărora instituția nu primește niciun onorariu sau comision pentru a stabili sau a menține respectivele acorduri contractuale;</w:t>
            </w:r>
          </w:p>
          <w:p w14:paraId="2E596D2D" w14:textId="045EC114"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(b) acordurile contractuale în cazul cărora clientul are obligația de a prezenta instituției o cerere pentru tragerea inițială și pentru fiecare tragere ulterioară în temeiul acordurilor contractuale respective;</w:t>
            </w:r>
          </w:p>
          <w:p w14:paraId="233D9939" w14:textId="35B01888"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(c) acordurile contractuale în cazul cărora instituția are autoritate deplină, indiferent de îndeplinirea de către client a condițiilor prevăzute în documentația acordului contractual, asupra executării fiecărei trageri;</w:t>
            </w:r>
          </w:p>
          <w:p w14:paraId="2A59E704" w14:textId="2898E685"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lastRenderedPageBreak/>
              <w:t>(d) acordurile contractuale permit instituției să evalueze bonitatea clientului imediat înainte de a decide cu privire la executarea fiecărei trageri, iar instituția a pus în aplicare și aplică proceduri interne care asigură realizarea unei astfel de evaluări înainte de efectuarea fiecărei trageri;</w:t>
            </w:r>
          </w:p>
          <w:p w14:paraId="6260BE42" w14:textId="24F56487" w:rsidR="00383CBA" w:rsidRPr="00684853" w:rsidRDefault="00383CBA" w:rsidP="00CC700E">
            <w:pPr>
              <w:spacing w:after="0"/>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(e) acordurile contractuale care sunt oferite unei entități corporative, inclusiv unui IMM, care este monitorizată îndeaproape în permanență;</w:t>
            </w:r>
          </w:p>
        </w:tc>
        <w:tc>
          <w:tcPr>
            <w:tcW w:w="1636" w:type="pct"/>
          </w:tcPr>
          <w:p w14:paraId="346FDCC5" w14:textId="7C3CCCA9" w:rsidR="00CC700E" w:rsidRPr="00684853" w:rsidRDefault="00CC700E" w:rsidP="00CC700E">
            <w:pPr>
              <w:spacing w:after="0" w:line="240" w:lineRule="auto"/>
              <w:contextualSpacing/>
              <w:jc w:val="both"/>
              <w:rPr>
                <w:rFonts w:ascii="Times New Roman" w:eastAsia="Times New Roman" w:hAnsi="Times New Roman" w:cs="Times New Roman"/>
                <w:b/>
                <w:bCs/>
                <w:i/>
                <w:iCs/>
                <w:color w:val="000000" w:themeColor="text1"/>
                <w:sz w:val="20"/>
                <w:szCs w:val="20"/>
                <w:lang w:val="ro-RO" w:eastAsia="ro-MD"/>
              </w:rPr>
            </w:pPr>
          </w:p>
        </w:tc>
        <w:tc>
          <w:tcPr>
            <w:tcW w:w="562" w:type="pct"/>
          </w:tcPr>
          <w:p w14:paraId="42752F88" w14:textId="418CF59E" w:rsidR="009D4601" w:rsidRPr="00684853" w:rsidRDefault="00650ADE"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Norme UE netranspuse</w:t>
            </w:r>
          </w:p>
        </w:tc>
        <w:tc>
          <w:tcPr>
            <w:tcW w:w="885" w:type="pct"/>
          </w:tcPr>
          <w:p w14:paraId="5DB395E8" w14:textId="77777777" w:rsidR="00650ADE" w:rsidRPr="00684853" w:rsidRDefault="00650ADE" w:rsidP="00650ADE">
            <w:pPr>
              <w:rPr>
                <w:rFonts w:ascii="Times New Roman" w:hAnsi="Times New Roman" w:cs="Times New Roman"/>
                <w:color w:val="000000" w:themeColor="text1"/>
              </w:rPr>
            </w:pPr>
            <w:r w:rsidRPr="00684853">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24AD5690" w14:textId="77777777" w:rsidR="009D4601" w:rsidRPr="00684853" w:rsidRDefault="009D4601" w:rsidP="00383CBA">
            <w:pPr>
              <w:jc w:val="both"/>
              <w:rPr>
                <w:rFonts w:ascii="Times New Roman" w:eastAsia="Times New Roman" w:hAnsi="Times New Roman" w:cs="Times New Roman"/>
                <w:color w:val="000000" w:themeColor="text1"/>
                <w:sz w:val="20"/>
                <w:szCs w:val="20"/>
              </w:rPr>
            </w:pPr>
          </w:p>
        </w:tc>
      </w:tr>
      <w:tr w:rsidR="00EA59FA" w:rsidRPr="00684853" w14:paraId="3CE5D42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5DA9D37" w14:textId="77777777" w:rsidR="000067AE" w:rsidRPr="00684853" w:rsidRDefault="000067AE" w:rsidP="000067AE">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4F7C6EB4" w14:textId="5F9F6F57"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11. „angajament revocabil necondiționat” înseamnă orice angajament ale cărui condiții permit instituției să anuleze angajamentul, în măsura maximă permisă în temeiul legislației privind protecția consumatorilor și al actelor juridice conexe, după caz, în orice moment, fără notificarea prealabilă a debitorului sau care prevăd efectiv anularea automată ca urmare a unei deteriorări a bonității debitorului.</w:t>
            </w:r>
          </w:p>
        </w:tc>
        <w:tc>
          <w:tcPr>
            <w:tcW w:w="1636" w:type="pct"/>
          </w:tcPr>
          <w:p w14:paraId="73AFD01F" w14:textId="77777777" w:rsidR="000067AE" w:rsidRPr="00684853"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3AD02235" w14:textId="51C844A2"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5DBD294A" w14:textId="0AFDDD76" w:rsidR="000067AE" w:rsidRPr="00684853" w:rsidRDefault="000067AE" w:rsidP="000067AE">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Va fi transpusă în </w:t>
            </w:r>
            <w:r w:rsidRPr="00684853">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684853">
              <w:rPr>
                <w:rFonts w:ascii="Times New Roman" w:hAnsi="Times New Roman" w:cs="Times New Roman"/>
                <w:b/>
                <w:color w:val="000000" w:themeColor="text1"/>
                <w:sz w:val="20"/>
                <w:szCs w:val="20"/>
                <w:lang w:val="ro-RO"/>
              </w:rPr>
              <w:t xml:space="preserve"> </w:t>
            </w:r>
          </w:p>
        </w:tc>
      </w:tr>
      <w:tr w:rsidR="00EA59FA" w:rsidRPr="00684853" w14:paraId="5CB6C82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97D7DB2" w14:textId="77777777" w:rsidR="00441F24" w:rsidRPr="00684853" w:rsidRDefault="00441F24" w:rsidP="00441F2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4E48C8FF" w14:textId="33A09C67" w:rsidR="00441F24" w:rsidRPr="00684853" w:rsidRDefault="00441F24" w:rsidP="00441F2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Articolul 5a Definiții specifice </w:t>
            </w:r>
            <w:proofErr w:type="spellStart"/>
            <w:r w:rsidRPr="00684853">
              <w:rPr>
                <w:rFonts w:ascii="Times New Roman" w:hAnsi="Times New Roman"/>
                <w:color w:val="000000" w:themeColor="text1"/>
                <w:sz w:val="20"/>
                <w:szCs w:val="20"/>
                <w:lang w:val="ro-RO"/>
              </w:rPr>
              <w:t>criptoactivelor</w:t>
            </w:r>
            <w:proofErr w:type="spellEnd"/>
          </w:p>
          <w:p w14:paraId="7D5460EB" w14:textId="77777777" w:rsidR="00441F24" w:rsidRPr="00684853" w:rsidRDefault="00441F24" w:rsidP="00441F2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În sensul prezentului regulament, se aplică următoarele definiții:</w:t>
            </w:r>
          </w:p>
          <w:p w14:paraId="5BBBD14B" w14:textId="4077D237" w:rsidR="00441F24" w:rsidRPr="00684853" w:rsidRDefault="00441F24" w:rsidP="00441F24">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 „</w:t>
            </w:r>
            <w:proofErr w:type="spellStart"/>
            <w:r w:rsidRPr="00684853">
              <w:rPr>
                <w:rFonts w:ascii="Times New Roman" w:hAnsi="Times New Roman"/>
                <w:color w:val="000000" w:themeColor="text1"/>
                <w:sz w:val="20"/>
                <w:szCs w:val="20"/>
                <w:lang w:val="ro-RO"/>
              </w:rPr>
              <w:t>criptoactiv</w:t>
            </w:r>
            <w:proofErr w:type="spellEnd"/>
            <w:r w:rsidRPr="00684853">
              <w:rPr>
                <w:rFonts w:ascii="Times New Roman" w:hAnsi="Times New Roman"/>
                <w:color w:val="000000" w:themeColor="text1"/>
                <w:sz w:val="20"/>
                <w:szCs w:val="20"/>
                <w:lang w:val="ro-RO"/>
              </w:rPr>
              <w:t xml:space="preserve">” înseamnă un </w:t>
            </w:r>
            <w:proofErr w:type="spellStart"/>
            <w:r w:rsidRPr="00684853">
              <w:rPr>
                <w:rFonts w:ascii="Times New Roman" w:hAnsi="Times New Roman"/>
                <w:color w:val="000000" w:themeColor="text1"/>
                <w:sz w:val="20"/>
                <w:szCs w:val="20"/>
                <w:lang w:val="ro-RO"/>
              </w:rPr>
              <w:t>criptoactiv</w:t>
            </w:r>
            <w:proofErr w:type="spellEnd"/>
            <w:r w:rsidRPr="00684853">
              <w:rPr>
                <w:rFonts w:ascii="Times New Roman" w:hAnsi="Times New Roman"/>
                <w:color w:val="000000" w:themeColor="text1"/>
                <w:sz w:val="20"/>
                <w:szCs w:val="20"/>
                <w:lang w:val="ro-RO"/>
              </w:rPr>
              <w:t xml:space="preserve"> definit la articolul 3 alineatul (1) punctul 5 din Regulamentul (UE) 2023/1114 al Parlamentului European și al Consiliului ( 20 ) care nu este o monedă digitală a unei bănci centrale;</w:t>
            </w:r>
          </w:p>
        </w:tc>
        <w:tc>
          <w:tcPr>
            <w:tcW w:w="1636" w:type="pct"/>
          </w:tcPr>
          <w:p w14:paraId="4F590D00" w14:textId="77777777" w:rsidR="00441F24" w:rsidRPr="00684853" w:rsidRDefault="00441F24" w:rsidP="00383CBA">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2654A247" w14:textId="03AD3E43" w:rsidR="00441F24" w:rsidRPr="00684853" w:rsidRDefault="00EE092C" w:rsidP="00383CBA">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17E23924" w14:textId="56BB95BD" w:rsidR="00441F24" w:rsidRPr="00684853" w:rsidRDefault="00EE092C" w:rsidP="00383CBA">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EA59FA" w:rsidRPr="00684853" w14:paraId="4E2A223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F250D9E"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127AD3D4" w14:textId="04236F9D"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2„token de monedă electronică” înseamnă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de monedă electronică astfel cum este definit la articolul 3 alineatul (1) punctul 7 din Regulamentul (UE) 2023/1114;</w:t>
            </w:r>
          </w:p>
        </w:tc>
        <w:tc>
          <w:tcPr>
            <w:tcW w:w="1636" w:type="pct"/>
          </w:tcPr>
          <w:p w14:paraId="0D1D28C9"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32B26669" w14:textId="746DA664"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010F9740" w14:textId="2D952D4F"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EA59FA" w:rsidRPr="00684853" w14:paraId="574B82B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8B6328C"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M17</w:t>
            </w:r>
          </w:p>
          <w:p w14:paraId="7838BB14" w14:textId="3097B9BF"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3. „expunere la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înseamnă un activ sau un element </w:t>
            </w:r>
            <w:proofErr w:type="spellStart"/>
            <w:r w:rsidRPr="00684853">
              <w:rPr>
                <w:rFonts w:ascii="Times New Roman" w:eastAsia="Times New Roman" w:hAnsi="Times New Roman" w:cs="Times New Roman"/>
                <w:color w:val="000000" w:themeColor="text1"/>
                <w:sz w:val="20"/>
                <w:szCs w:val="20"/>
                <w:lang w:val="ro-RO"/>
              </w:rPr>
              <w:t>extrabilanțier</w:t>
            </w:r>
            <w:proofErr w:type="spellEnd"/>
            <w:r w:rsidRPr="00684853">
              <w:rPr>
                <w:rFonts w:ascii="Times New Roman" w:eastAsia="Times New Roman" w:hAnsi="Times New Roman" w:cs="Times New Roman"/>
                <w:color w:val="000000" w:themeColor="text1"/>
                <w:sz w:val="20"/>
                <w:szCs w:val="20"/>
                <w:lang w:val="ro-RO"/>
              </w:rPr>
              <w:t xml:space="preserve"> legat de un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xml:space="preserve"> care generează risc de credit, risc de credit al </w:t>
            </w:r>
            <w:proofErr w:type="spellStart"/>
            <w:r w:rsidRPr="00684853">
              <w:rPr>
                <w:rFonts w:ascii="Times New Roman" w:eastAsia="Times New Roman" w:hAnsi="Times New Roman" w:cs="Times New Roman"/>
                <w:color w:val="000000" w:themeColor="text1"/>
                <w:sz w:val="20"/>
                <w:szCs w:val="20"/>
                <w:lang w:val="ro-RO"/>
              </w:rPr>
              <w:t>contrapărții</w:t>
            </w:r>
            <w:proofErr w:type="spellEnd"/>
            <w:r w:rsidRPr="00684853">
              <w:rPr>
                <w:rFonts w:ascii="Times New Roman" w:eastAsia="Times New Roman" w:hAnsi="Times New Roman" w:cs="Times New Roman"/>
                <w:color w:val="000000" w:themeColor="text1"/>
                <w:sz w:val="20"/>
                <w:szCs w:val="20"/>
                <w:lang w:val="ro-RO"/>
              </w:rPr>
              <w:t>, risc de piață, risc operațional sau risc de lichiditate;</w:t>
            </w:r>
          </w:p>
        </w:tc>
        <w:tc>
          <w:tcPr>
            <w:tcW w:w="1636" w:type="pct"/>
          </w:tcPr>
          <w:p w14:paraId="336DF3F0"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1C3419D4" w14:textId="1E94BEC5"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15CF931D" w14:textId="4B675632"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EA59FA" w:rsidRPr="00684853" w14:paraId="4ABB955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C6505F8"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064C2A98" w14:textId="01C9A1B8"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4. „activ tradițional” înseamnă orice activ, altul decât un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inclusiv:</w:t>
            </w:r>
          </w:p>
          <w:p w14:paraId="48B917A9" w14:textId="41554C4E"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(a) instrumente financiare, astfel cum sunt definite la articolul 4 alineatul (1) punctul 50 din prezentul regulament;</w:t>
            </w:r>
          </w:p>
          <w:p w14:paraId="717B582B" w14:textId="12D76C0D"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(b) fonduri, în sensul definiției de la articolul 4 punctul 25 din Directiva (UE) 2015/2366;</w:t>
            </w:r>
          </w:p>
          <w:p w14:paraId="617EA5DF" w14:textId="77C0D4D9"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(c) depozite, în sensul definiției de la articolul 2 alineatul (1) punctul 3 din Directiva 2014/49/UE a Parlamentului European și a Consiliului ( 21 ), inclusiv depozite structurate;</w:t>
            </w:r>
          </w:p>
          <w:p w14:paraId="6B46D2A3" w14:textId="4342FD7F"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(d) poziții de securitizare în contextul unei securitizări, astfel cum este definită la articolul 2 punctul 1 din Regulamentul (UE) 2017/2402;</w:t>
            </w:r>
          </w:p>
          <w:p w14:paraId="3BBC73F6" w14:textId="5EC2ADAB"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(e) produse de asigurare generală sau de viață care se încadrează în clasele de asigurare enumerate în anexele I și II la Directiva 2009/138/CE sau contractele de reasigurare și de retrocesiune menționate în directiva respectivă;</w:t>
            </w:r>
          </w:p>
          <w:p w14:paraId="49C655DA" w14:textId="5C97CD6D"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(f) produse de pensii, care, în temeiul dreptului intern, sunt recunoscute ca având drept scop principal furnizarea unui venit investitorului în momentul pensionării și care îi conferă acestuia dreptul la anumite beneficii;</w:t>
            </w:r>
          </w:p>
          <w:p w14:paraId="038D5BC5" w14:textId="32064483"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lastRenderedPageBreak/>
              <w:t>(g) sisteme de pensii ocupaționale recunoscute oficial care intră sub incidența Directivei (UE) 2016/2341 a Parlamentului European și a Consiliului ( 22 ) sau a Directivei 2009/138/CE;</w:t>
            </w:r>
          </w:p>
          <w:p w14:paraId="08BFFB62" w14:textId="10344F22"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(h) produse de pensii individuale în cazul cărora dreptul intern prevede o contribuție financiară din partea angajatorului, iar angajatorul sau angajatul nu poate alege produsul de pensii sau furnizorul;</w:t>
            </w:r>
          </w:p>
          <w:p w14:paraId="193B2FEA" w14:textId="09918205"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(i) un produs paneuropean de pensii personale, astfel cum este definit la articolul 2 punctul 2 din Regulamentul (UE) 2019/1238 al Parlamentului European și al Consiliului ( 23 );</w:t>
            </w:r>
          </w:p>
          <w:p w14:paraId="0E45BC8F" w14:textId="55B5324C"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(j) regimuri de securitate socială acoperite de Regulamentul (CE) nr. 883/2004 al Parlamentului European și al Consiliului ( 24 ) și de Regulamentul (CE) nr. 987/2009 al Parlamentului European și al Consiliului ( 25 );</w:t>
            </w:r>
          </w:p>
        </w:tc>
        <w:tc>
          <w:tcPr>
            <w:tcW w:w="1636" w:type="pct"/>
          </w:tcPr>
          <w:p w14:paraId="245F66FC"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7AFE8B63" w14:textId="06262848"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12365DDD" w14:textId="00E4100D"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EA59FA" w:rsidRPr="00684853" w14:paraId="240BFCF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092EF28"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0ACD62AD" w14:textId="2BF262A0"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5. „activ tradițional </w:t>
            </w:r>
            <w:proofErr w:type="spellStart"/>
            <w:r w:rsidRPr="00684853">
              <w:rPr>
                <w:rFonts w:ascii="Times New Roman" w:eastAsia="Times New Roman" w:hAnsi="Times New Roman" w:cs="Times New Roman"/>
                <w:color w:val="000000" w:themeColor="text1"/>
                <w:sz w:val="20"/>
                <w:szCs w:val="20"/>
                <w:lang w:val="ro-RO"/>
              </w:rPr>
              <w:t>tokenizat</w:t>
            </w:r>
            <w:proofErr w:type="spellEnd"/>
            <w:r w:rsidRPr="00684853">
              <w:rPr>
                <w:rFonts w:ascii="Times New Roman" w:eastAsia="Times New Roman" w:hAnsi="Times New Roman" w:cs="Times New Roman"/>
                <w:color w:val="000000" w:themeColor="text1"/>
                <w:sz w:val="20"/>
                <w:szCs w:val="20"/>
                <w:lang w:val="ro-RO"/>
              </w:rPr>
              <w:t xml:space="preserve">” înseamnă un tip de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xml:space="preserve"> care reprezintă un activ tradițional, inclusiv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de monedă electronică;</w:t>
            </w:r>
          </w:p>
        </w:tc>
        <w:tc>
          <w:tcPr>
            <w:tcW w:w="1636" w:type="pct"/>
          </w:tcPr>
          <w:p w14:paraId="044F3C6D"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6ECDD033" w14:textId="524FC13F"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68B933FA" w14:textId="58B5798F"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EA59FA" w:rsidRPr="00684853" w14:paraId="331C796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1FE7F53"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2F755522" w14:textId="23317467"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6.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raportat la active” înseamnă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raportat la active astfel cum este definit la articolul 3 alineatul (1) punctul 6 din Regulamentul (UE) 2023/1114;</w:t>
            </w:r>
          </w:p>
        </w:tc>
        <w:tc>
          <w:tcPr>
            <w:tcW w:w="1636" w:type="pct"/>
          </w:tcPr>
          <w:p w14:paraId="434FC39B"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660FEB5F" w14:textId="45053D76"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0BC58218" w14:textId="7513C1E3"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EA59FA" w:rsidRPr="00684853" w14:paraId="20C1743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8F6F32E" w14:textId="77777777" w:rsidR="00EE092C" w:rsidRPr="00684853" w:rsidRDefault="00EE092C" w:rsidP="00EE092C">
            <w:pPr>
              <w:pStyle w:val="CM4"/>
              <w:spacing w:after="120"/>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1DD039FB" w14:textId="1B5FD99D" w:rsidR="00EE092C" w:rsidRPr="00684853" w:rsidRDefault="00EE092C" w:rsidP="00EE092C">
            <w:pPr>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7. „serviciu de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înseamnă un serviciu de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astfel cum este definit la articolul 3 alineatul (1) punctul 16 din Regulamentul (UE) 2023/1114.</w:t>
            </w:r>
          </w:p>
        </w:tc>
        <w:tc>
          <w:tcPr>
            <w:tcW w:w="1636" w:type="pct"/>
          </w:tcPr>
          <w:p w14:paraId="584D1312" w14:textId="77777777" w:rsidR="00EE092C" w:rsidRPr="00684853" w:rsidRDefault="00EE092C" w:rsidP="00EE092C">
            <w:pPr>
              <w:spacing w:line="276" w:lineRule="auto"/>
              <w:jc w:val="both"/>
              <w:rPr>
                <w:rFonts w:ascii="Times New Roman" w:eastAsia="Times New Roman" w:hAnsi="Times New Roman" w:cs="Times New Roman"/>
                <w:color w:val="000000" w:themeColor="text1"/>
                <w:sz w:val="20"/>
                <w:szCs w:val="20"/>
                <w:lang w:val="ro-RO"/>
              </w:rPr>
            </w:pPr>
          </w:p>
        </w:tc>
        <w:tc>
          <w:tcPr>
            <w:tcW w:w="562" w:type="pct"/>
          </w:tcPr>
          <w:p w14:paraId="1FE17EEB" w14:textId="1202227F"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885" w:type="pct"/>
          </w:tcPr>
          <w:p w14:paraId="28CECDFF" w14:textId="76F20D84" w:rsidR="00EE092C" w:rsidRPr="00684853" w:rsidRDefault="00EE092C" w:rsidP="00EE092C">
            <w:pPr>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Urmează a fi transpus având în vedere transpunerea Regulamentului </w:t>
            </w:r>
            <w:r w:rsidRPr="00684853">
              <w:rPr>
                <w:rFonts w:ascii="Times New Roman" w:hAnsi="Times New Roman"/>
                <w:color w:val="000000" w:themeColor="text1"/>
                <w:sz w:val="20"/>
                <w:szCs w:val="20"/>
                <w:lang w:val="ro-RO"/>
              </w:rPr>
              <w:t>(UE) 2023/1114.</w:t>
            </w:r>
          </w:p>
        </w:tc>
      </w:tr>
      <w:tr w:rsidR="00EA59FA" w:rsidRPr="00684853" w14:paraId="0F04800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4905D152" w14:textId="77777777" w:rsidR="00395381" w:rsidRPr="00684853" w:rsidRDefault="00395381" w:rsidP="00B64E27">
            <w:pPr>
              <w:spacing w:after="120"/>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TITLUL II </w:t>
            </w:r>
            <w:r w:rsidRPr="00684853">
              <w:rPr>
                <w:rFonts w:ascii="Times New Roman" w:eastAsia="Arial Unicode MS" w:hAnsi="Times New Roman" w:cs="Times New Roman"/>
                <w:b/>
                <w:bCs/>
                <w:color w:val="000000" w:themeColor="text1"/>
                <w:sz w:val="20"/>
                <w:szCs w:val="20"/>
                <w:lang w:val="ro-RO"/>
              </w:rPr>
              <w:t>NIVELUL APLICĂRII CERINȚELOR</w:t>
            </w:r>
          </w:p>
        </w:tc>
        <w:tc>
          <w:tcPr>
            <w:tcW w:w="1636" w:type="pct"/>
          </w:tcPr>
          <w:p w14:paraId="7F3C1CD6"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402B4D15" w14:textId="77777777" w:rsidR="00395381" w:rsidRPr="00684853" w:rsidRDefault="00395381" w:rsidP="00967ABE">
            <w:pPr>
              <w:spacing w:line="276" w:lineRule="auto"/>
              <w:jc w:val="both"/>
              <w:rPr>
                <w:rFonts w:ascii="Times New Roman" w:hAnsi="Times New Roman" w:cs="Times New Roman"/>
                <w:b/>
                <w:color w:val="000000" w:themeColor="text1"/>
                <w:sz w:val="20"/>
                <w:szCs w:val="20"/>
                <w:lang w:val="ro-RO"/>
              </w:rPr>
            </w:pPr>
          </w:p>
        </w:tc>
        <w:tc>
          <w:tcPr>
            <w:tcW w:w="885" w:type="pct"/>
          </w:tcPr>
          <w:p w14:paraId="5838E489" w14:textId="0828BC05" w:rsidR="00395381" w:rsidRPr="00684853" w:rsidRDefault="00395381" w:rsidP="00967ABE">
            <w:pPr>
              <w:spacing w:line="276" w:lineRule="auto"/>
              <w:jc w:val="both"/>
              <w:rPr>
                <w:rFonts w:ascii="Times New Roman" w:hAnsi="Times New Roman" w:cs="Times New Roman"/>
                <w:color w:val="000000" w:themeColor="text1"/>
                <w:sz w:val="20"/>
                <w:szCs w:val="20"/>
                <w:lang w:val="ro-RO"/>
              </w:rPr>
            </w:pPr>
          </w:p>
        </w:tc>
      </w:tr>
      <w:tr w:rsidR="00EA59FA" w:rsidRPr="00684853" w14:paraId="370CF0A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AAFA884" w14:textId="77777777" w:rsidR="00395381" w:rsidRPr="00684853" w:rsidRDefault="00395381" w:rsidP="00967ABE">
            <w:pPr>
              <w:spacing w:after="120"/>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CAPITOLUL 1</w:t>
            </w:r>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b/>
                <w:bCs/>
                <w:color w:val="000000" w:themeColor="text1"/>
                <w:sz w:val="20"/>
                <w:szCs w:val="20"/>
                <w:lang w:val="ro-RO"/>
              </w:rPr>
              <w:t>Aplicarea cerințelor pe bază individuală</w:t>
            </w:r>
          </w:p>
        </w:tc>
        <w:tc>
          <w:tcPr>
            <w:tcW w:w="1636" w:type="pct"/>
          </w:tcPr>
          <w:p w14:paraId="7FE096FB" w14:textId="77777777"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660D22E0" w14:textId="77777777" w:rsidR="00395381" w:rsidRPr="00684853" w:rsidRDefault="00395381" w:rsidP="00967ABE">
            <w:pPr>
              <w:spacing w:line="276" w:lineRule="auto"/>
              <w:jc w:val="both"/>
              <w:rPr>
                <w:rFonts w:ascii="Times New Roman" w:hAnsi="Times New Roman" w:cs="Times New Roman"/>
                <w:b/>
                <w:color w:val="000000" w:themeColor="text1"/>
                <w:sz w:val="20"/>
                <w:szCs w:val="20"/>
                <w:lang w:val="ro-RO"/>
              </w:rPr>
            </w:pPr>
          </w:p>
        </w:tc>
        <w:tc>
          <w:tcPr>
            <w:tcW w:w="885" w:type="pct"/>
          </w:tcPr>
          <w:p w14:paraId="20FFE9C8" w14:textId="2CDD1188" w:rsidR="00395381" w:rsidRPr="00684853" w:rsidRDefault="00395381" w:rsidP="00967ABE">
            <w:pPr>
              <w:spacing w:line="276" w:lineRule="auto"/>
              <w:jc w:val="both"/>
              <w:rPr>
                <w:rFonts w:ascii="Times New Roman" w:hAnsi="Times New Roman" w:cs="Times New Roman"/>
                <w:color w:val="000000" w:themeColor="text1"/>
                <w:sz w:val="20"/>
                <w:szCs w:val="20"/>
                <w:lang w:val="ro-RO"/>
              </w:rPr>
            </w:pPr>
          </w:p>
        </w:tc>
      </w:tr>
      <w:tr w:rsidR="00EA59FA" w:rsidRPr="00684853" w14:paraId="16660B1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677FDAD" w14:textId="747BCE5F" w:rsidR="00FB4501" w:rsidRPr="00684853" w:rsidRDefault="00395381" w:rsidP="0018461B">
            <w:pPr>
              <w:spacing w:after="0" w:line="240" w:lineRule="auto"/>
              <w:rPr>
                <w:rFonts w:ascii="Times New Roman" w:eastAsia="Arial Unicode MS" w:hAnsi="Times New Roman" w:cs="Times New Roman"/>
                <w:b/>
                <w:bCs/>
                <w:color w:val="000000" w:themeColor="text1"/>
                <w:sz w:val="20"/>
                <w:szCs w:val="20"/>
                <w:lang w:val="ro-RO"/>
              </w:rPr>
            </w:pPr>
            <w:r w:rsidRPr="00684853">
              <w:rPr>
                <w:rFonts w:ascii="Times New Roman" w:eastAsia="Arial Unicode MS" w:hAnsi="Times New Roman" w:cs="Times New Roman"/>
                <w:i/>
                <w:iCs/>
                <w:color w:val="000000" w:themeColor="text1"/>
                <w:sz w:val="20"/>
                <w:szCs w:val="20"/>
                <w:lang w:val="ro-RO"/>
              </w:rPr>
              <w:t xml:space="preserve">Articolul 6 </w:t>
            </w:r>
            <w:r w:rsidRPr="00684853">
              <w:rPr>
                <w:rFonts w:ascii="Times New Roman" w:eastAsia="Arial Unicode MS" w:hAnsi="Times New Roman" w:cs="Times New Roman"/>
                <w:b/>
                <w:bCs/>
                <w:color w:val="000000" w:themeColor="text1"/>
                <w:sz w:val="20"/>
                <w:szCs w:val="20"/>
                <w:lang w:val="ro-RO"/>
              </w:rPr>
              <w:t xml:space="preserve">Principii generale </w:t>
            </w:r>
            <w:r w:rsidR="0018461B" w:rsidRPr="00684853">
              <w:rPr>
                <w:rFonts w:ascii="Times New Roman" w:eastAsia="Arial Unicode MS" w:hAnsi="Times New Roman" w:cs="Times New Roman"/>
                <w:b/>
                <w:bCs/>
                <w:color w:val="000000" w:themeColor="text1"/>
                <w:sz w:val="20"/>
                <w:szCs w:val="20"/>
                <w:lang w:val="ro-RO"/>
              </w:rPr>
              <w:t xml:space="preserve">- </w:t>
            </w:r>
            <w:r w:rsidR="0018461B" w:rsidRPr="00684853">
              <w:rPr>
                <w:rFonts w:ascii="Times New Roman" w:eastAsia="Arial Unicode MS" w:hAnsi="Times New Roman" w:cs="Times New Roman"/>
                <w:color w:val="000000" w:themeColor="text1"/>
                <w:sz w:val="20"/>
                <w:szCs w:val="20"/>
                <w:lang w:val="ro-RO"/>
              </w:rPr>
              <w:t>Articolul 24</w:t>
            </w:r>
            <w:r w:rsidR="0018461B" w:rsidRPr="00684853">
              <w:rPr>
                <w:rFonts w:ascii="Times New Roman" w:eastAsia="Arial Unicode MS" w:hAnsi="Times New Roman" w:cs="Times New Roman"/>
                <w:b/>
                <w:bCs/>
                <w:color w:val="000000" w:themeColor="text1"/>
                <w:sz w:val="20"/>
                <w:szCs w:val="20"/>
                <w:lang w:val="ro-RO"/>
              </w:rPr>
              <w:t xml:space="preserve"> Evaluarea activelor și a elementelor </w:t>
            </w:r>
            <w:proofErr w:type="spellStart"/>
            <w:r w:rsidR="0018461B" w:rsidRPr="00684853">
              <w:rPr>
                <w:rFonts w:ascii="Times New Roman" w:eastAsia="Arial Unicode MS" w:hAnsi="Times New Roman" w:cs="Times New Roman"/>
                <w:b/>
                <w:bCs/>
                <w:color w:val="000000" w:themeColor="text1"/>
                <w:sz w:val="20"/>
                <w:szCs w:val="20"/>
                <w:lang w:val="ro-RO"/>
              </w:rPr>
              <w:t>extrabilanțiere</w:t>
            </w:r>
            <w:proofErr w:type="spellEnd"/>
          </w:p>
        </w:tc>
        <w:tc>
          <w:tcPr>
            <w:tcW w:w="1636" w:type="pct"/>
          </w:tcPr>
          <w:p w14:paraId="444B82BB" w14:textId="7C7D7844" w:rsidR="00395381" w:rsidRPr="00684853" w:rsidRDefault="00395381" w:rsidP="00967ABE">
            <w:pPr>
              <w:spacing w:line="276" w:lineRule="auto"/>
              <w:rPr>
                <w:rFonts w:ascii="Times New Roman" w:hAnsi="Times New Roman" w:cs="Times New Roman"/>
                <w:color w:val="000000" w:themeColor="text1"/>
                <w:sz w:val="20"/>
                <w:szCs w:val="20"/>
                <w:lang w:val="ro-RO"/>
              </w:rPr>
            </w:pPr>
          </w:p>
        </w:tc>
        <w:tc>
          <w:tcPr>
            <w:tcW w:w="562" w:type="pct"/>
          </w:tcPr>
          <w:p w14:paraId="1FE31235" w14:textId="61FA6383" w:rsidR="00365097" w:rsidRPr="00684853" w:rsidRDefault="00056D7B" w:rsidP="00365097">
            <w:pPr>
              <w:spacing w:line="276"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885" w:type="pct"/>
          </w:tcPr>
          <w:p w14:paraId="653E3FA9" w14:textId="3CCDAED6" w:rsidR="00395381" w:rsidRPr="00684853" w:rsidRDefault="0018461B" w:rsidP="0018461B">
            <w:pPr>
              <w:rPr>
                <w:rFonts w:ascii="Times New Roman" w:hAnsi="Times New Roman" w:cs="Times New Roman"/>
                <w:color w:val="000000" w:themeColor="text1"/>
                <w:sz w:val="20"/>
                <w:szCs w:val="20"/>
              </w:rPr>
            </w:pPr>
            <w:proofErr w:type="spellStart"/>
            <w:r w:rsidRPr="00684853">
              <w:rPr>
                <w:rFonts w:ascii="Times New Roman" w:hAnsi="Times New Roman" w:cs="Times New Roman"/>
                <w:color w:val="000000" w:themeColor="text1"/>
                <w:sz w:val="20"/>
                <w:szCs w:val="20"/>
              </w:rPr>
              <w:t>Regulamentul</w:t>
            </w:r>
            <w:proofErr w:type="spellEnd"/>
            <w:r w:rsidRPr="00684853">
              <w:rPr>
                <w:rFonts w:ascii="Times New Roman" w:hAnsi="Times New Roman" w:cs="Times New Roman"/>
                <w:color w:val="000000" w:themeColor="text1"/>
                <w:sz w:val="20"/>
                <w:szCs w:val="20"/>
              </w:rPr>
              <w:t xml:space="preserve"> nr.101/2020 cu </w:t>
            </w:r>
            <w:proofErr w:type="spellStart"/>
            <w:r w:rsidRPr="00684853">
              <w:rPr>
                <w:rFonts w:ascii="Times New Roman" w:hAnsi="Times New Roman" w:cs="Times New Roman"/>
                <w:color w:val="000000" w:themeColor="text1"/>
                <w:sz w:val="20"/>
                <w:szCs w:val="20"/>
              </w:rPr>
              <w:t>privire</w:t>
            </w:r>
            <w:proofErr w:type="spellEnd"/>
            <w:r w:rsidRPr="00684853">
              <w:rPr>
                <w:rFonts w:ascii="Times New Roman" w:hAnsi="Times New Roman" w:cs="Times New Roman"/>
                <w:color w:val="000000" w:themeColor="text1"/>
                <w:sz w:val="20"/>
                <w:szCs w:val="20"/>
              </w:rPr>
              <w:t xml:space="preserve"> la </w:t>
            </w:r>
            <w:proofErr w:type="spellStart"/>
            <w:r w:rsidRPr="00684853">
              <w:rPr>
                <w:rFonts w:ascii="Times New Roman" w:hAnsi="Times New Roman" w:cs="Times New Roman"/>
                <w:color w:val="000000" w:themeColor="text1"/>
                <w:sz w:val="20"/>
                <w:szCs w:val="20"/>
              </w:rPr>
              <w:t>supravegherea</w:t>
            </w:r>
            <w:proofErr w:type="spellEnd"/>
            <w:r w:rsidRPr="00684853">
              <w:rPr>
                <w:rFonts w:ascii="Times New Roman" w:hAnsi="Times New Roman" w:cs="Times New Roman"/>
                <w:color w:val="000000" w:themeColor="text1"/>
                <w:sz w:val="20"/>
                <w:szCs w:val="20"/>
              </w:rPr>
              <w:t xml:space="preserve"> pe </w:t>
            </w:r>
            <w:proofErr w:type="spellStart"/>
            <w:r w:rsidRPr="00684853">
              <w:rPr>
                <w:rFonts w:ascii="Times New Roman" w:hAnsi="Times New Roman" w:cs="Times New Roman"/>
                <w:color w:val="000000" w:themeColor="text1"/>
                <w:sz w:val="20"/>
                <w:szCs w:val="20"/>
              </w:rPr>
              <w:t>bază</w:t>
            </w:r>
            <w:proofErr w:type="spellEnd"/>
            <w:r w:rsidRPr="00684853">
              <w:rPr>
                <w:rFonts w:ascii="Times New Roman" w:hAnsi="Times New Roman" w:cs="Times New Roman"/>
                <w:color w:val="000000" w:themeColor="text1"/>
                <w:sz w:val="20"/>
                <w:szCs w:val="20"/>
              </w:rPr>
              <w:t xml:space="preserve"> </w:t>
            </w:r>
            <w:proofErr w:type="spellStart"/>
            <w:r w:rsidRPr="00684853">
              <w:rPr>
                <w:rFonts w:ascii="Times New Roman" w:hAnsi="Times New Roman" w:cs="Times New Roman"/>
                <w:color w:val="000000" w:themeColor="text1"/>
                <w:sz w:val="20"/>
                <w:szCs w:val="20"/>
              </w:rPr>
              <w:t>consolidată</w:t>
            </w:r>
            <w:proofErr w:type="spellEnd"/>
            <w:r w:rsidRPr="00684853">
              <w:rPr>
                <w:rFonts w:ascii="Times New Roman" w:hAnsi="Times New Roman" w:cs="Times New Roman"/>
                <w:color w:val="000000" w:themeColor="text1"/>
                <w:sz w:val="20"/>
                <w:szCs w:val="20"/>
              </w:rPr>
              <w:t xml:space="preserve"> a </w:t>
            </w:r>
            <w:proofErr w:type="spellStart"/>
            <w:r w:rsidRPr="00684853">
              <w:rPr>
                <w:rFonts w:ascii="Times New Roman" w:hAnsi="Times New Roman" w:cs="Times New Roman"/>
                <w:color w:val="000000" w:themeColor="text1"/>
                <w:sz w:val="20"/>
                <w:szCs w:val="20"/>
              </w:rPr>
              <w:t>băncilor</w:t>
            </w:r>
            <w:proofErr w:type="spellEnd"/>
          </w:p>
        </w:tc>
      </w:tr>
      <w:tr w:rsidR="00EA59FA" w:rsidRPr="00684853" w14:paraId="1FCCD2E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7295024" w14:textId="1F370E9B" w:rsidR="000B16E0" w:rsidRPr="00684853" w:rsidRDefault="000B16E0" w:rsidP="00352ACD">
            <w:pPr>
              <w:shd w:val="clear" w:color="auto" w:fill="FFFFFF"/>
              <w:spacing w:after="0" w:line="240" w:lineRule="auto"/>
              <w:rPr>
                <w:rFonts w:ascii="Times New Roman" w:eastAsia="Arial Unicode MS" w:hAnsi="Times New Roman" w:cs="Times New Roman"/>
                <w:i/>
                <w:iCs/>
                <w:color w:val="000000" w:themeColor="text1"/>
                <w:sz w:val="20"/>
                <w:szCs w:val="20"/>
                <w:lang w:val="ro-RO"/>
              </w:rPr>
            </w:pPr>
            <w:r w:rsidRPr="00684853">
              <w:rPr>
                <w:rFonts w:ascii="Times New Roman" w:hAnsi="Times New Roman" w:cs="Times New Roman"/>
                <w:i/>
                <w:color w:val="000000" w:themeColor="text1"/>
                <w:sz w:val="20"/>
                <w:szCs w:val="20"/>
                <w:lang w:val="ro-RO" w:bidi="or-IN"/>
              </w:rPr>
              <w:t>Articolul 25</w:t>
            </w:r>
            <w:r w:rsidRPr="00684853">
              <w:rPr>
                <w:rFonts w:ascii="Times New Roman" w:hAnsi="Times New Roman" w:cs="Times New Roman"/>
                <w:b/>
                <w:color w:val="000000" w:themeColor="text1"/>
                <w:sz w:val="20"/>
                <w:szCs w:val="20"/>
                <w:lang w:val="ro-RO" w:bidi="or-IN"/>
              </w:rPr>
              <w:t xml:space="preserve"> Fonduri proprii de nivel 1</w:t>
            </w:r>
            <w:r w:rsidR="00352ACD">
              <w:rPr>
                <w:rFonts w:ascii="Times New Roman" w:hAnsi="Times New Roman" w:cs="Times New Roman"/>
                <w:b/>
                <w:color w:val="000000" w:themeColor="text1"/>
                <w:sz w:val="20"/>
                <w:szCs w:val="20"/>
                <w:lang w:val="ro-RO" w:bidi="or-IN"/>
              </w:rPr>
              <w:t xml:space="preserve"> - </w:t>
            </w:r>
            <w:r w:rsidR="00352ACD" w:rsidRPr="00684853">
              <w:rPr>
                <w:rFonts w:ascii="Times New Roman" w:eastAsia="Arial Unicode MS" w:hAnsi="Times New Roman" w:cs="Times New Roman"/>
                <w:i/>
                <w:color w:val="000000" w:themeColor="text1"/>
                <w:sz w:val="20"/>
                <w:szCs w:val="20"/>
                <w:lang w:val="it-IT" w:eastAsia="ro-MD"/>
              </w:rPr>
              <w:t xml:space="preserve">Articolul 98 </w:t>
            </w:r>
            <w:r w:rsidR="00352ACD" w:rsidRPr="00684853">
              <w:rPr>
                <w:rFonts w:ascii="Times New Roman" w:eastAsia="Arial Unicode MS" w:hAnsi="Times New Roman" w:cs="Times New Roman"/>
                <w:b/>
                <w:color w:val="000000" w:themeColor="text1"/>
                <w:sz w:val="20"/>
                <w:szCs w:val="20"/>
                <w:lang w:val="it-IT" w:eastAsia="ro-MD"/>
              </w:rPr>
              <w:t>Fonduri proprii pentru firmele de investiții pe bază consolidată</w:t>
            </w:r>
          </w:p>
        </w:tc>
        <w:tc>
          <w:tcPr>
            <w:tcW w:w="1636" w:type="pct"/>
          </w:tcPr>
          <w:p w14:paraId="66F46265" w14:textId="77777777" w:rsidR="000B16E0" w:rsidRPr="00684853" w:rsidRDefault="000B16E0" w:rsidP="00967ABE">
            <w:pPr>
              <w:spacing w:line="276" w:lineRule="auto"/>
              <w:rPr>
                <w:rFonts w:ascii="Times New Roman" w:hAnsi="Times New Roman" w:cs="Times New Roman"/>
                <w:color w:val="000000" w:themeColor="text1"/>
                <w:sz w:val="20"/>
                <w:szCs w:val="20"/>
                <w:lang w:val="ro-RO"/>
              </w:rPr>
            </w:pPr>
          </w:p>
        </w:tc>
        <w:tc>
          <w:tcPr>
            <w:tcW w:w="562" w:type="pct"/>
          </w:tcPr>
          <w:p w14:paraId="486FBD6B" w14:textId="77777777" w:rsidR="000B16E0" w:rsidRPr="00684853" w:rsidRDefault="000B16E0" w:rsidP="00365097">
            <w:pPr>
              <w:spacing w:line="276" w:lineRule="auto"/>
              <w:jc w:val="both"/>
              <w:rPr>
                <w:rFonts w:ascii="Times New Roman" w:hAnsi="Times New Roman" w:cs="Times New Roman"/>
                <w:color w:val="000000" w:themeColor="text1"/>
                <w:sz w:val="20"/>
                <w:szCs w:val="20"/>
                <w:lang w:val="ro-RO"/>
              </w:rPr>
            </w:pPr>
          </w:p>
        </w:tc>
        <w:tc>
          <w:tcPr>
            <w:tcW w:w="885" w:type="pct"/>
          </w:tcPr>
          <w:p w14:paraId="01C28DF6" w14:textId="1E380B0E" w:rsidR="000B16E0" w:rsidRPr="00684853" w:rsidRDefault="000B16E0" w:rsidP="00352ACD">
            <w:pPr>
              <w:rPr>
                <w:rFonts w:ascii="Times New Roman" w:hAnsi="Times New Roman" w:cs="Times New Roman"/>
                <w:color w:val="000000" w:themeColor="text1"/>
                <w:sz w:val="20"/>
                <w:szCs w:val="20"/>
              </w:rPr>
            </w:pPr>
            <w:r w:rsidRPr="00684853">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EA59FA" w:rsidRPr="00684853" w14:paraId="62248C5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ACFBA31" w14:textId="77777777" w:rsidR="00352ACD" w:rsidRPr="00684853" w:rsidRDefault="00352ACD" w:rsidP="00352ACD">
            <w:pPr>
              <w:spacing w:after="12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M8</w:t>
            </w:r>
          </w:p>
          <w:p w14:paraId="5971CC64" w14:textId="0E26DFAB" w:rsidR="000B16E0" w:rsidRPr="00684853" w:rsidRDefault="00352ACD" w:rsidP="00352ACD">
            <w:pPr>
              <w:autoSpaceDE w:val="0"/>
              <w:autoSpaceDN w:val="0"/>
              <w:adjustRightInd w:val="0"/>
              <w:spacing w:after="120"/>
              <w:jc w:val="both"/>
              <w:rPr>
                <w:rFonts w:ascii="Times New Roman" w:hAnsi="Times New Roman" w:cs="Times New Roman"/>
                <w:i/>
                <w:color w:val="000000" w:themeColor="text1"/>
                <w:sz w:val="20"/>
                <w:szCs w:val="20"/>
                <w:lang w:val="ro-RO" w:bidi="or-IN"/>
              </w:rPr>
            </w:pPr>
            <w:r w:rsidRPr="00684853">
              <w:rPr>
                <w:rFonts w:ascii="Times New Roman" w:eastAsia="Arial Unicode MS" w:hAnsi="Times New Roman" w:cs="Times New Roman"/>
                <w:color w:val="000000" w:themeColor="text1"/>
                <w:sz w:val="20"/>
                <w:szCs w:val="20"/>
                <w:lang w:val="ro-RO"/>
              </w:rPr>
              <w:t>Articolele 99 – 101 Abrogat</w:t>
            </w:r>
          </w:p>
        </w:tc>
        <w:tc>
          <w:tcPr>
            <w:tcW w:w="1636" w:type="pct"/>
          </w:tcPr>
          <w:p w14:paraId="7DBB032C" w14:textId="77777777" w:rsidR="000B16E0" w:rsidRPr="00684853" w:rsidRDefault="000B16E0" w:rsidP="00967ABE">
            <w:pPr>
              <w:spacing w:line="276" w:lineRule="auto"/>
              <w:rPr>
                <w:rFonts w:ascii="Times New Roman" w:hAnsi="Times New Roman" w:cs="Times New Roman"/>
                <w:color w:val="000000" w:themeColor="text1"/>
                <w:sz w:val="20"/>
                <w:szCs w:val="20"/>
                <w:lang w:val="ro-RO"/>
              </w:rPr>
            </w:pPr>
          </w:p>
        </w:tc>
        <w:tc>
          <w:tcPr>
            <w:tcW w:w="562" w:type="pct"/>
          </w:tcPr>
          <w:p w14:paraId="0A75AFF1" w14:textId="77777777" w:rsidR="000B16E0" w:rsidRPr="00684853" w:rsidRDefault="000B16E0" w:rsidP="00365097">
            <w:pPr>
              <w:spacing w:line="276" w:lineRule="auto"/>
              <w:jc w:val="both"/>
              <w:rPr>
                <w:rFonts w:ascii="Times New Roman" w:hAnsi="Times New Roman" w:cs="Times New Roman"/>
                <w:color w:val="000000" w:themeColor="text1"/>
                <w:sz w:val="20"/>
                <w:szCs w:val="20"/>
                <w:lang w:val="ro-RO"/>
              </w:rPr>
            </w:pPr>
          </w:p>
        </w:tc>
        <w:tc>
          <w:tcPr>
            <w:tcW w:w="885" w:type="pct"/>
          </w:tcPr>
          <w:p w14:paraId="5FEB54E4" w14:textId="77777777" w:rsidR="000B16E0" w:rsidRPr="00684853" w:rsidRDefault="000B16E0" w:rsidP="000B16E0">
            <w:pPr>
              <w:rPr>
                <w:rFonts w:ascii="Times New Roman" w:hAnsi="Times New Roman" w:cs="Times New Roman"/>
                <w:bCs/>
                <w:color w:val="000000" w:themeColor="text1"/>
                <w:sz w:val="20"/>
                <w:szCs w:val="20"/>
                <w:lang w:val="ro-RO"/>
              </w:rPr>
            </w:pPr>
          </w:p>
        </w:tc>
      </w:tr>
      <w:tr w:rsidR="00EA59FA" w:rsidRPr="00684853" w14:paraId="1389E18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DED11AD" w14:textId="0000C6E1" w:rsidR="00352ACD" w:rsidRPr="00684853" w:rsidRDefault="00DE78A2" w:rsidP="00DE78A2">
            <w:pPr>
              <w:spacing w:after="120"/>
              <w:jc w:val="both"/>
              <w:rPr>
                <w:rFonts w:ascii="Times New Roman" w:eastAsia="Arial Unicode MS" w:hAnsi="Times New Roman" w:cs="Times New Roman"/>
                <w:color w:val="000000" w:themeColor="text1"/>
                <w:sz w:val="20"/>
                <w:szCs w:val="20"/>
                <w:lang w:val="ro-RO"/>
              </w:rPr>
            </w:pPr>
            <w:r w:rsidRPr="00DE78A2">
              <w:rPr>
                <w:rFonts w:ascii="Times New Roman" w:eastAsia="Arial Unicode MS" w:hAnsi="Times New Roman" w:cs="Times New Roman"/>
                <w:i/>
                <w:iCs/>
                <w:color w:val="000000" w:themeColor="text1"/>
                <w:sz w:val="20"/>
                <w:szCs w:val="20"/>
                <w:lang w:val="ro-RO"/>
              </w:rPr>
              <w:t>Articolul 102</w:t>
            </w:r>
            <w:r>
              <w:rPr>
                <w:rFonts w:ascii="Times New Roman" w:eastAsia="Arial Unicode MS" w:hAnsi="Times New Roman" w:cs="Times New Roman"/>
                <w:color w:val="000000" w:themeColor="text1"/>
                <w:sz w:val="20"/>
                <w:szCs w:val="20"/>
                <w:lang w:val="ro-RO"/>
              </w:rPr>
              <w:t xml:space="preserve"> </w:t>
            </w:r>
            <w:r w:rsidRPr="00DE78A2">
              <w:rPr>
                <w:rFonts w:ascii="Times New Roman" w:eastAsia="Arial Unicode MS" w:hAnsi="Times New Roman" w:cs="Times New Roman"/>
                <w:b/>
                <w:bCs/>
                <w:color w:val="000000" w:themeColor="text1"/>
                <w:sz w:val="20"/>
                <w:szCs w:val="20"/>
                <w:lang w:val="ro-RO"/>
              </w:rPr>
              <w:t>Cerințe pentru portofoliul de tranzacționare</w:t>
            </w:r>
            <w:r>
              <w:rPr>
                <w:rFonts w:ascii="Times New Roman" w:eastAsia="Arial Unicode MS" w:hAnsi="Times New Roman" w:cs="Times New Roman"/>
                <w:color w:val="000000" w:themeColor="text1"/>
                <w:sz w:val="20"/>
                <w:szCs w:val="20"/>
                <w:lang w:val="ro-RO"/>
              </w:rPr>
              <w:t xml:space="preserve"> - </w:t>
            </w:r>
            <w:r w:rsidRPr="00DE78A2">
              <w:rPr>
                <w:rFonts w:ascii="Times New Roman" w:eastAsia="Arial Unicode MS" w:hAnsi="Times New Roman" w:cs="Times New Roman"/>
                <w:i/>
                <w:iCs/>
                <w:color w:val="000000" w:themeColor="text1"/>
                <w:sz w:val="20"/>
                <w:szCs w:val="20"/>
                <w:lang w:val="ro-RO"/>
              </w:rPr>
              <w:t xml:space="preserve">Articolul 106 </w:t>
            </w:r>
            <w:r w:rsidRPr="00DE78A2">
              <w:rPr>
                <w:rFonts w:ascii="Times New Roman" w:eastAsia="Arial Unicode MS" w:hAnsi="Times New Roman" w:cs="Times New Roman"/>
                <w:b/>
                <w:bCs/>
                <w:color w:val="000000" w:themeColor="text1"/>
                <w:sz w:val="20"/>
                <w:szCs w:val="20"/>
                <w:lang w:val="ro-RO"/>
              </w:rPr>
              <w:t>Acoperiri interne</w:t>
            </w:r>
          </w:p>
        </w:tc>
        <w:tc>
          <w:tcPr>
            <w:tcW w:w="1636" w:type="pct"/>
          </w:tcPr>
          <w:p w14:paraId="0ACC08F8" w14:textId="77777777" w:rsidR="00352ACD" w:rsidRPr="00684853" w:rsidRDefault="00352ACD" w:rsidP="00967ABE">
            <w:pPr>
              <w:spacing w:line="276" w:lineRule="auto"/>
              <w:rPr>
                <w:rFonts w:ascii="Times New Roman" w:hAnsi="Times New Roman" w:cs="Times New Roman"/>
                <w:color w:val="000000" w:themeColor="text1"/>
                <w:sz w:val="20"/>
                <w:szCs w:val="20"/>
                <w:lang w:val="ro-RO"/>
              </w:rPr>
            </w:pPr>
          </w:p>
        </w:tc>
        <w:tc>
          <w:tcPr>
            <w:tcW w:w="562" w:type="pct"/>
          </w:tcPr>
          <w:p w14:paraId="5080D3F4" w14:textId="0668648A" w:rsidR="00352ACD" w:rsidRPr="00DE78A2" w:rsidRDefault="00DE78A2" w:rsidP="00365097">
            <w:pPr>
              <w:spacing w:line="276"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Parțial compatibil</w:t>
            </w:r>
          </w:p>
        </w:tc>
        <w:tc>
          <w:tcPr>
            <w:tcW w:w="885" w:type="pct"/>
          </w:tcPr>
          <w:p w14:paraId="79502AE1" w14:textId="73EBD47C" w:rsidR="00352ACD" w:rsidRPr="00684853" w:rsidRDefault="00DE78A2" w:rsidP="000B16E0">
            <w:pPr>
              <w:rPr>
                <w:rFonts w:ascii="Times New Roman" w:hAnsi="Times New Roman" w:cs="Times New Roman"/>
                <w:bCs/>
                <w:color w:val="000000" w:themeColor="text1"/>
                <w:sz w:val="20"/>
                <w:szCs w:val="20"/>
                <w:lang w:val="ro-RO"/>
              </w:rPr>
            </w:pPr>
            <w:r>
              <w:rPr>
                <w:rFonts w:ascii="Times New Roman" w:hAnsi="Times New Roman" w:cs="Times New Roman"/>
                <w:bCs/>
                <w:color w:val="000000" w:themeColor="text1"/>
                <w:sz w:val="20"/>
                <w:szCs w:val="20"/>
                <w:lang w:val="ro-RO"/>
              </w:rPr>
              <w:t xml:space="preserve">Regulamentul 114/2018 cu privire la </w:t>
            </w:r>
            <w:proofErr w:type="spellStart"/>
            <w:r>
              <w:rPr>
                <w:rFonts w:ascii="Times New Roman" w:hAnsi="Times New Roman" w:cs="Times New Roman"/>
                <w:bCs/>
                <w:color w:val="000000" w:themeColor="text1"/>
                <w:sz w:val="20"/>
                <w:szCs w:val="20"/>
                <w:lang w:val="ro-RO"/>
              </w:rPr>
              <w:t>tratmentul</w:t>
            </w:r>
            <w:proofErr w:type="spellEnd"/>
            <w:r>
              <w:rPr>
                <w:rFonts w:ascii="Times New Roman" w:hAnsi="Times New Roman" w:cs="Times New Roman"/>
                <w:bCs/>
                <w:color w:val="000000" w:themeColor="text1"/>
                <w:sz w:val="20"/>
                <w:szCs w:val="20"/>
                <w:lang w:val="ro-RO"/>
              </w:rPr>
              <w:t xml:space="preserve"> riscului de piață pentru bănci potrivit abordării standardizate</w:t>
            </w:r>
          </w:p>
        </w:tc>
      </w:tr>
      <w:tr w:rsidR="00EA59FA" w:rsidRPr="00684853" w14:paraId="039D7BB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70D91BB" w14:textId="124C1844" w:rsidR="00DE78A2" w:rsidRPr="00DE78A2" w:rsidRDefault="00DE78A2" w:rsidP="00DE78A2">
            <w:pPr>
              <w:pStyle w:val="CM4"/>
              <w:tabs>
                <w:tab w:val="left" w:pos="150"/>
              </w:tabs>
              <w:ind w:left="-43"/>
              <w:jc w:val="both"/>
              <w:rPr>
                <w:rFonts w:ascii="Times New Roman" w:hAnsi="Times New Roman"/>
                <w:iCs/>
                <w:sz w:val="18"/>
                <w:szCs w:val="18"/>
                <w:lang w:val="ro-RO" w:eastAsia="ru-RU"/>
              </w:rPr>
            </w:pPr>
            <w:r w:rsidRPr="009F31EF">
              <w:rPr>
                <w:rFonts w:ascii="Times New Roman" w:eastAsia="Arial Unicode MS" w:hAnsi="Times New Roman"/>
                <w:i/>
                <w:iCs/>
                <w:sz w:val="18"/>
                <w:szCs w:val="18"/>
                <w:lang w:val="ro-RO"/>
              </w:rPr>
              <w:t>Articolul 107</w:t>
            </w:r>
            <w:r w:rsidRPr="009F31EF">
              <w:rPr>
                <w:rFonts w:ascii="Times New Roman" w:eastAsia="Arial Unicode MS" w:hAnsi="Times New Roman"/>
                <w:iCs/>
                <w:sz w:val="18"/>
                <w:szCs w:val="18"/>
                <w:lang w:val="ro-RO"/>
              </w:rPr>
              <w:t xml:space="preserve"> </w:t>
            </w:r>
            <w:r w:rsidRPr="009F31EF">
              <w:rPr>
                <w:rFonts w:ascii="Times New Roman" w:eastAsia="Arial Unicode MS" w:hAnsi="Times New Roman"/>
                <w:b/>
                <w:iCs/>
                <w:sz w:val="18"/>
                <w:szCs w:val="18"/>
                <w:lang w:val="ro-RO"/>
              </w:rPr>
              <w:t>Abordări ale riscului de credit</w:t>
            </w:r>
            <w:r>
              <w:rPr>
                <w:rFonts w:ascii="Times New Roman" w:eastAsia="Arial Unicode MS" w:hAnsi="Times New Roman"/>
                <w:b/>
                <w:iCs/>
                <w:sz w:val="18"/>
                <w:szCs w:val="18"/>
                <w:lang w:val="ro-RO"/>
              </w:rPr>
              <w:t xml:space="preserve"> - </w:t>
            </w:r>
            <w:r w:rsidRPr="009F31EF">
              <w:rPr>
                <w:rFonts w:ascii="Times New Roman" w:hAnsi="Times New Roman"/>
                <w:i/>
                <w:iCs/>
                <w:sz w:val="18"/>
                <w:szCs w:val="18"/>
                <w:lang w:val="ro-RO" w:eastAsia="ru-RU"/>
              </w:rPr>
              <w:t>Articolul 141</w:t>
            </w:r>
            <w:r w:rsidRPr="009F31EF">
              <w:rPr>
                <w:rFonts w:ascii="Times New Roman" w:hAnsi="Times New Roman"/>
                <w:iCs/>
                <w:sz w:val="18"/>
                <w:szCs w:val="18"/>
                <w:lang w:val="ro-RO" w:eastAsia="ru-RU"/>
              </w:rPr>
              <w:t xml:space="preserve"> </w:t>
            </w:r>
            <w:r w:rsidRPr="009F31EF">
              <w:rPr>
                <w:rFonts w:ascii="Times New Roman" w:hAnsi="Times New Roman"/>
                <w:b/>
                <w:iCs/>
                <w:sz w:val="18"/>
                <w:szCs w:val="18"/>
                <w:lang w:val="ro-RO" w:eastAsia="ru-RU"/>
              </w:rPr>
              <w:t>Elemente denominate în moneda națională și într-o monedă străină</w:t>
            </w:r>
          </w:p>
          <w:p w14:paraId="527E77F5" w14:textId="77777777" w:rsidR="00DE78A2" w:rsidRPr="00DE78A2" w:rsidRDefault="00DE78A2" w:rsidP="00DE78A2">
            <w:pPr>
              <w:spacing w:after="120"/>
              <w:jc w:val="both"/>
              <w:rPr>
                <w:rFonts w:ascii="Times New Roman" w:eastAsia="Arial Unicode MS" w:hAnsi="Times New Roman" w:cs="Times New Roman"/>
                <w:i/>
                <w:iCs/>
                <w:color w:val="000000" w:themeColor="text1"/>
                <w:sz w:val="20"/>
                <w:szCs w:val="20"/>
                <w:lang w:val="ro-RO"/>
              </w:rPr>
            </w:pPr>
          </w:p>
        </w:tc>
        <w:tc>
          <w:tcPr>
            <w:tcW w:w="1636" w:type="pct"/>
          </w:tcPr>
          <w:p w14:paraId="58CCCDA4" w14:textId="77777777" w:rsidR="00DE78A2" w:rsidRPr="00684853" w:rsidRDefault="00DE78A2" w:rsidP="00967ABE">
            <w:pPr>
              <w:spacing w:line="276" w:lineRule="auto"/>
              <w:rPr>
                <w:rFonts w:ascii="Times New Roman" w:hAnsi="Times New Roman" w:cs="Times New Roman"/>
                <w:color w:val="000000" w:themeColor="text1"/>
                <w:sz w:val="20"/>
                <w:szCs w:val="20"/>
                <w:lang w:val="ro-RO"/>
              </w:rPr>
            </w:pPr>
          </w:p>
        </w:tc>
        <w:tc>
          <w:tcPr>
            <w:tcW w:w="562" w:type="pct"/>
          </w:tcPr>
          <w:p w14:paraId="43F9EC09" w14:textId="77777777" w:rsidR="00DE78A2" w:rsidRDefault="00DE78A2" w:rsidP="00365097">
            <w:pPr>
              <w:spacing w:line="276" w:lineRule="auto"/>
              <w:jc w:val="both"/>
              <w:rPr>
                <w:rFonts w:ascii="Times New Roman" w:hAnsi="Times New Roman" w:cs="Times New Roman"/>
                <w:color w:val="000000" w:themeColor="text1"/>
                <w:sz w:val="20"/>
                <w:szCs w:val="20"/>
                <w:lang w:val="ro-RO"/>
              </w:rPr>
            </w:pPr>
          </w:p>
        </w:tc>
        <w:tc>
          <w:tcPr>
            <w:tcW w:w="885" w:type="pct"/>
          </w:tcPr>
          <w:p w14:paraId="65E0FED7" w14:textId="614E1C4E" w:rsidR="00DE78A2" w:rsidRDefault="00DE78A2" w:rsidP="000B16E0">
            <w:pPr>
              <w:rPr>
                <w:rFonts w:ascii="Times New Roman" w:hAnsi="Times New Roman" w:cs="Times New Roman"/>
                <w:bCs/>
                <w:color w:val="000000" w:themeColor="text1"/>
                <w:sz w:val="20"/>
                <w:szCs w:val="20"/>
                <w:lang w:val="ro-RO"/>
              </w:rPr>
            </w:pPr>
            <w:r w:rsidRPr="00DE78A2">
              <w:rPr>
                <w:rFonts w:ascii="Times New Roman" w:hAnsi="Times New Roman" w:cs="Times New Roman"/>
                <w:bCs/>
                <w:color w:val="000000" w:themeColor="text1"/>
                <w:sz w:val="20"/>
                <w:szCs w:val="20"/>
                <w:lang w:val="ro-RO"/>
              </w:rPr>
              <w:t>Regulamentul nr.111/2018</w:t>
            </w:r>
            <w:r>
              <w:rPr>
                <w:rFonts w:ascii="Times New Roman" w:hAnsi="Times New Roman" w:cs="Times New Roman"/>
                <w:bCs/>
                <w:color w:val="000000" w:themeColor="text1"/>
                <w:sz w:val="20"/>
                <w:szCs w:val="20"/>
                <w:lang w:val="ro-RO"/>
              </w:rPr>
              <w:t xml:space="preserve"> </w:t>
            </w:r>
            <w:r w:rsidRPr="00DE78A2">
              <w:rPr>
                <w:rFonts w:ascii="Times New Roman" w:hAnsi="Times New Roman" w:cs="Times New Roman"/>
                <w:bCs/>
                <w:color w:val="000000" w:themeColor="text1"/>
                <w:sz w:val="20"/>
                <w:szCs w:val="20"/>
                <w:lang w:val="ro-RO"/>
              </w:rPr>
              <w:t>cu privire la tratamentul riscului de credit pentru bănci potrivit abordării standardizate</w:t>
            </w:r>
          </w:p>
        </w:tc>
      </w:tr>
      <w:tr w:rsidR="00560264" w:rsidRPr="00684853" w14:paraId="7C9B11C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1916" w:type="pct"/>
          </w:tcPr>
          <w:p w14:paraId="0A3BBF49" w14:textId="08B69952" w:rsidR="00DE78A2" w:rsidRPr="009F31EF" w:rsidRDefault="00DE78A2" w:rsidP="00DE78A2">
            <w:pPr>
              <w:spacing w:after="0" w:line="240" w:lineRule="auto"/>
              <w:jc w:val="both"/>
              <w:rPr>
                <w:rFonts w:ascii="Times New Roman" w:eastAsia="Arial Unicode MS" w:hAnsi="Times New Roman" w:cs="Times New Roman"/>
                <w:i/>
                <w:iCs/>
                <w:sz w:val="18"/>
                <w:szCs w:val="18"/>
                <w:lang w:val="ro-RO"/>
              </w:rPr>
            </w:pPr>
            <w:r w:rsidRPr="009F31EF">
              <w:rPr>
                <w:rFonts w:ascii="Times New Roman" w:eastAsia="Arial Unicode MS" w:hAnsi="Times New Roman"/>
                <w:i/>
                <w:iCs/>
                <w:sz w:val="18"/>
                <w:szCs w:val="18"/>
                <w:lang w:val="ro-RO"/>
              </w:rPr>
              <w:t xml:space="preserve">Articolul 142 </w:t>
            </w:r>
            <w:r w:rsidRPr="009F31EF">
              <w:rPr>
                <w:rFonts w:ascii="Times New Roman" w:eastAsia="Arial Unicode MS" w:hAnsi="Times New Roman"/>
                <w:b/>
                <w:bCs/>
                <w:sz w:val="18"/>
                <w:szCs w:val="18"/>
                <w:lang w:val="ro-RO"/>
              </w:rPr>
              <w:t xml:space="preserve">Definiții – </w:t>
            </w:r>
            <w:r w:rsidRPr="009F31EF">
              <w:rPr>
                <w:rFonts w:ascii="Times New Roman" w:eastAsia="Arial Unicode MS" w:hAnsi="Times New Roman"/>
                <w:bCs/>
                <w:i/>
                <w:sz w:val="18"/>
                <w:szCs w:val="18"/>
                <w:lang w:val="ro-RO"/>
              </w:rPr>
              <w:t xml:space="preserve">Articolul 177 </w:t>
            </w:r>
            <w:r w:rsidRPr="009F31EF">
              <w:rPr>
                <w:rFonts w:ascii="Times New Roman" w:eastAsia="Arial Unicode MS" w:hAnsi="Times New Roman"/>
                <w:b/>
                <w:bCs/>
                <w:sz w:val="18"/>
                <w:szCs w:val="18"/>
                <w:lang w:val="ro-RO"/>
              </w:rPr>
              <w:t>Simulările de criză (</w:t>
            </w:r>
            <w:proofErr w:type="spellStart"/>
            <w:r w:rsidRPr="009F31EF">
              <w:rPr>
                <w:rFonts w:ascii="Times New Roman" w:eastAsia="Arial Unicode MS" w:hAnsi="Times New Roman"/>
                <w:b/>
                <w:bCs/>
                <w:sz w:val="18"/>
                <w:szCs w:val="18"/>
                <w:lang w:val="ro-RO"/>
              </w:rPr>
              <w:t>stress</w:t>
            </w:r>
            <w:proofErr w:type="spellEnd"/>
            <w:r w:rsidRPr="009F31EF">
              <w:rPr>
                <w:rFonts w:ascii="Times New Roman" w:eastAsia="Arial Unicode MS" w:hAnsi="Times New Roman"/>
                <w:b/>
                <w:bCs/>
                <w:sz w:val="18"/>
                <w:szCs w:val="18"/>
                <w:lang w:val="ro-RO"/>
              </w:rPr>
              <w:t xml:space="preserve"> </w:t>
            </w:r>
            <w:proofErr w:type="spellStart"/>
            <w:r w:rsidRPr="009F31EF">
              <w:rPr>
                <w:rFonts w:ascii="Times New Roman" w:eastAsia="Arial Unicode MS" w:hAnsi="Times New Roman"/>
                <w:b/>
                <w:bCs/>
                <w:sz w:val="18"/>
                <w:szCs w:val="18"/>
                <w:lang w:val="ro-RO"/>
              </w:rPr>
              <w:t>tests</w:t>
            </w:r>
            <w:proofErr w:type="spellEnd"/>
            <w:r w:rsidRPr="009F31EF">
              <w:rPr>
                <w:rFonts w:ascii="Times New Roman" w:eastAsia="Arial Unicode MS" w:hAnsi="Times New Roman"/>
                <w:b/>
                <w:bCs/>
                <w:sz w:val="18"/>
                <w:szCs w:val="18"/>
                <w:lang w:val="ro-RO"/>
              </w:rPr>
              <w:t xml:space="preserve">) utilizate la evaluarea adecvării capitalului </w:t>
            </w:r>
          </w:p>
        </w:tc>
        <w:tc>
          <w:tcPr>
            <w:tcW w:w="1636" w:type="pct"/>
          </w:tcPr>
          <w:p w14:paraId="31261CE0" w14:textId="77777777" w:rsidR="00DE78A2" w:rsidRPr="00684853" w:rsidRDefault="00DE78A2" w:rsidP="00DE78A2">
            <w:pPr>
              <w:spacing w:line="276" w:lineRule="auto"/>
              <w:rPr>
                <w:rFonts w:ascii="Times New Roman" w:hAnsi="Times New Roman" w:cs="Times New Roman"/>
                <w:color w:val="000000" w:themeColor="text1"/>
                <w:sz w:val="20"/>
                <w:szCs w:val="20"/>
                <w:lang w:val="ro-RO"/>
              </w:rPr>
            </w:pPr>
          </w:p>
        </w:tc>
        <w:tc>
          <w:tcPr>
            <w:tcW w:w="562" w:type="pct"/>
          </w:tcPr>
          <w:p w14:paraId="1E2E908C" w14:textId="15C0EC11" w:rsidR="00DE78A2" w:rsidRDefault="00DE78A2" w:rsidP="00DE78A2">
            <w:pPr>
              <w:spacing w:line="276" w:lineRule="auto"/>
              <w:jc w:val="both"/>
              <w:rPr>
                <w:rFonts w:ascii="Times New Roman" w:hAnsi="Times New Roman" w:cs="Times New Roman"/>
                <w:color w:val="000000" w:themeColor="text1"/>
                <w:sz w:val="20"/>
                <w:szCs w:val="20"/>
                <w:lang w:val="ro-RO"/>
              </w:rPr>
            </w:pPr>
            <w:r>
              <w:rPr>
                <w:rFonts w:ascii="Times New Roman" w:hAnsi="Times New Roman" w:cs="Times New Roman"/>
                <w:sz w:val="18"/>
                <w:szCs w:val="18"/>
                <w:lang w:val="ro-RO"/>
              </w:rPr>
              <w:t>Prevederi</w:t>
            </w:r>
            <w:r w:rsidRPr="009F31EF">
              <w:rPr>
                <w:rFonts w:ascii="Times New Roman" w:hAnsi="Times New Roman" w:cs="Times New Roman"/>
                <w:sz w:val="18"/>
                <w:szCs w:val="18"/>
                <w:lang w:val="ro-RO"/>
              </w:rPr>
              <w:t xml:space="preserve"> UE netranspuse</w:t>
            </w:r>
          </w:p>
        </w:tc>
        <w:tc>
          <w:tcPr>
            <w:tcW w:w="885" w:type="pct"/>
          </w:tcPr>
          <w:p w14:paraId="7B6C1629" w14:textId="252CF98F" w:rsidR="00DE78A2" w:rsidRPr="00DE78A2" w:rsidRDefault="00DE78A2" w:rsidP="00DE78A2">
            <w:pPr>
              <w:rPr>
                <w:rFonts w:ascii="Times New Roman" w:hAnsi="Times New Roman" w:cs="Times New Roman"/>
                <w:bCs/>
                <w:color w:val="000000" w:themeColor="text1"/>
                <w:sz w:val="20"/>
                <w:szCs w:val="20"/>
                <w:lang w:val="ro-RO"/>
              </w:rPr>
            </w:pPr>
            <w:r w:rsidRPr="009F31EF">
              <w:rPr>
                <w:rFonts w:ascii="Times New Roman" w:hAnsi="Times New Roman" w:cs="Times New Roman"/>
                <w:sz w:val="18"/>
                <w:szCs w:val="18"/>
                <w:lang w:val="ro-RO"/>
              </w:rPr>
              <w:t>Va fi transpusă în reglementările ce țin de abordarea IRB.</w:t>
            </w:r>
          </w:p>
        </w:tc>
      </w:tr>
      <w:tr w:rsidR="00EA59FA" w:rsidRPr="00684853" w14:paraId="35AA555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
        </w:trPr>
        <w:tc>
          <w:tcPr>
            <w:tcW w:w="1916" w:type="pct"/>
          </w:tcPr>
          <w:p w14:paraId="3D94CC97" w14:textId="16446BAB" w:rsidR="00DE78A2" w:rsidRPr="00DE78A2" w:rsidRDefault="00DE78A2" w:rsidP="00DE78A2">
            <w:pPr>
              <w:shd w:val="clear" w:color="auto" w:fill="FFFFFF"/>
              <w:spacing w:after="0" w:line="240" w:lineRule="auto"/>
              <w:rPr>
                <w:rFonts w:ascii="Times New Roman" w:eastAsia="Times New Roman" w:hAnsi="Times New Roman" w:cs="Times New Roman"/>
                <w:b/>
                <w:bCs/>
                <w:color w:val="000000" w:themeColor="text1"/>
                <w:sz w:val="18"/>
                <w:szCs w:val="18"/>
                <w:lang w:val="ro-RO" w:eastAsia="ro-MD"/>
              </w:rPr>
            </w:pPr>
            <w:r w:rsidRPr="009F31EF">
              <w:rPr>
                <w:rFonts w:ascii="Times New Roman" w:hAnsi="Times New Roman" w:cs="Times New Roman"/>
                <w:i/>
                <w:iCs/>
                <w:sz w:val="18"/>
                <w:szCs w:val="18"/>
                <w:lang w:val="ro-RO" w:eastAsia="ru-RU"/>
              </w:rPr>
              <w:t>Articolul 178</w:t>
            </w:r>
            <w:r w:rsidRPr="009F31EF">
              <w:rPr>
                <w:rFonts w:ascii="Times New Roman" w:hAnsi="Times New Roman" w:cs="Times New Roman"/>
                <w:iCs/>
                <w:sz w:val="18"/>
                <w:szCs w:val="18"/>
                <w:lang w:val="ro-RO" w:eastAsia="ru-RU"/>
              </w:rPr>
              <w:t xml:space="preserve"> </w:t>
            </w:r>
            <w:r w:rsidRPr="009F31EF">
              <w:rPr>
                <w:rFonts w:ascii="Times New Roman" w:eastAsia="Times New Roman" w:hAnsi="Times New Roman" w:cs="Times New Roman"/>
                <w:b/>
                <w:bCs/>
                <w:sz w:val="18"/>
                <w:szCs w:val="18"/>
                <w:lang w:val="ro-RO" w:eastAsia="ro-MD"/>
              </w:rPr>
              <w:t>Intrarea</w:t>
            </w:r>
            <w:r w:rsidRPr="009F31EF">
              <w:rPr>
                <w:rFonts w:ascii="Times New Roman" w:eastAsia="Times New Roman" w:hAnsi="Times New Roman" w:cs="Times New Roman"/>
                <w:b/>
                <w:bCs/>
                <w:color w:val="000000" w:themeColor="text1"/>
                <w:sz w:val="18"/>
                <w:szCs w:val="18"/>
                <w:lang w:val="ro-RO" w:eastAsia="ro-MD"/>
              </w:rPr>
              <w:t xml:space="preserve"> în stare de nerambursare</w:t>
            </w:r>
            <w:r w:rsidRPr="009F31EF">
              <w:rPr>
                <w:rFonts w:ascii="Times New Roman" w:eastAsia="Times New Roman" w:hAnsi="Times New Roman" w:cs="Times New Roman"/>
                <w:b/>
                <w:bCs/>
                <w:sz w:val="18"/>
                <w:szCs w:val="18"/>
                <w:lang w:val="ro-RO" w:eastAsia="ro-MD"/>
              </w:rPr>
              <w:t xml:space="preserve"> a unui debitor sau a unei facilități de credit</w:t>
            </w:r>
          </w:p>
        </w:tc>
        <w:tc>
          <w:tcPr>
            <w:tcW w:w="1636" w:type="pct"/>
          </w:tcPr>
          <w:p w14:paraId="107993DA" w14:textId="77777777" w:rsidR="00DE78A2" w:rsidRPr="00684853" w:rsidRDefault="00DE78A2" w:rsidP="00967ABE">
            <w:pPr>
              <w:spacing w:line="276" w:lineRule="auto"/>
              <w:rPr>
                <w:rFonts w:ascii="Times New Roman" w:hAnsi="Times New Roman" w:cs="Times New Roman"/>
                <w:color w:val="000000" w:themeColor="text1"/>
                <w:sz w:val="20"/>
                <w:szCs w:val="20"/>
                <w:lang w:val="ro-RO"/>
              </w:rPr>
            </w:pPr>
          </w:p>
        </w:tc>
        <w:tc>
          <w:tcPr>
            <w:tcW w:w="562" w:type="pct"/>
          </w:tcPr>
          <w:p w14:paraId="2329C141" w14:textId="77777777" w:rsidR="00DE78A2" w:rsidRDefault="00DE78A2" w:rsidP="00365097">
            <w:pPr>
              <w:spacing w:line="276" w:lineRule="auto"/>
              <w:jc w:val="both"/>
              <w:rPr>
                <w:rFonts w:ascii="Times New Roman" w:hAnsi="Times New Roman" w:cs="Times New Roman"/>
                <w:color w:val="000000" w:themeColor="text1"/>
                <w:sz w:val="20"/>
                <w:szCs w:val="20"/>
                <w:lang w:val="ro-RO"/>
              </w:rPr>
            </w:pPr>
          </w:p>
        </w:tc>
        <w:tc>
          <w:tcPr>
            <w:tcW w:w="885" w:type="pct"/>
          </w:tcPr>
          <w:p w14:paraId="13E790CA" w14:textId="4B805B89" w:rsidR="00DE78A2" w:rsidRPr="00DE78A2" w:rsidRDefault="00DE78A2" w:rsidP="000B16E0">
            <w:pPr>
              <w:rPr>
                <w:rFonts w:ascii="Times New Roman" w:hAnsi="Times New Roman" w:cs="Times New Roman"/>
                <w:bCs/>
                <w:color w:val="000000" w:themeColor="text1"/>
                <w:sz w:val="20"/>
                <w:szCs w:val="20"/>
                <w:lang w:val="ro-RO"/>
              </w:rPr>
            </w:pPr>
            <w:r w:rsidRPr="00DE78A2">
              <w:rPr>
                <w:rFonts w:ascii="Times New Roman" w:hAnsi="Times New Roman" w:cs="Times New Roman"/>
                <w:bCs/>
                <w:color w:val="000000" w:themeColor="text1"/>
                <w:sz w:val="20"/>
                <w:szCs w:val="20"/>
                <w:lang w:val="ro-RO"/>
              </w:rPr>
              <w:t>Regulamentul nr.111/2018</w:t>
            </w:r>
            <w:r>
              <w:rPr>
                <w:rFonts w:ascii="Times New Roman" w:hAnsi="Times New Roman" w:cs="Times New Roman"/>
                <w:bCs/>
                <w:color w:val="000000" w:themeColor="text1"/>
                <w:sz w:val="20"/>
                <w:szCs w:val="20"/>
                <w:lang w:val="ro-RO"/>
              </w:rPr>
              <w:t xml:space="preserve"> </w:t>
            </w:r>
            <w:r w:rsidRPr="00DE78A2">
              <w:rPr>
                <w:rFonts w:ascii="Times New Roman" w:hAnsi="Times New Roman" w:cs="Times New Roman"/>
                <w:bCs/>
                <w:color w:val="000000" w:themeColor="text1"/>
                <w:sz w:val="20"/>
                <w:szCs w:val="20"/>
                <w:lang w:val="ro-RO"/>
              </w:rPr>
              <w:t>cu privire la tratamentul riscului de credit pentru bănci potrivit abordării standardizate</w:t>
            </w:r>
          </w:p>
        </w:tc>
      </w:tr>
      <w:tr w:rsidR="00560264" w:rsidRPr="00684853" w14:paraId="6C5470E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7251224" w14:textId="3C4DD486" w:rsidR="00DE78A2" w:rsidRPr="009F31EF" w:rsidRDefault="00DE78A2" w:rsidP="00DE78A2">
            <w:pPr>
              <w:spacing w:after="0" w:line="240" w:lineRule="auto"/>
              <w:jc w:val="both"/>
              <w:rPr>
                <w:rFonts w:ascii="Times New Roman" w:eastAsia="Arial Unicode MS" w:hAnsi="Times New Roman" w:cs="Times New Roman"/>
                <w:i/>
                <w:iCs/>
                <w:sz w:val="18"/>
                <w:szCs w:val="18"/>
                <w:lang w:val="ro-RO"/>
              </w:rPr>
            </w:pPr>
            <w:r w:rsidRPr="009F31EF">
              <w:rPr>
                <w:rFonts w:ascii="Times New Roman" w:eastAsia="Arial Unicode MS" w:hAnsi="Times New Roman"/>
                <w:i/>
                <w:iCs/>
                <w:sz w:val="18"/>
                <w:szCs w:val="18"/>
                <w:lang w:val="ro-RO"/>
              </w:rPr>
              <w:lastRenderedPageBreak/>
              <w:t>Articolul 1</w:t>
            </w:r>
            <w:r w:rsidRPr="009F31EF">
              <w:rPr>
                <w:rFonts w:ascii="Times New Roman" w:eastAsia="Arial Unicode MS" w:hAnsi="Times New Roman"/>
                <w:bCs/>
                <w:i/>
                <w:sz w:val="18"/>
                <w:szCs w:val="18"/>
                <w:lang w:val="ro-RO"/>
              </w:rPr>
              <w:t xml:space="preserve">79 </w:t>
            </w:r>
            <w:r w:rsidRPr="009F31EF">
              <w:rPr>
                <w:rFonts w:ascii="Times New Roman" w:eastAsia="Arial Unicode MS" w:hAnsi="Times New Roman"/>
                <w:b/>
                <w:bCs/>
                <w:sz w:val="18"/>
                <w:szCs w:val="18"/>
                <w:lang w:val="ro-RO"/>
              </w:rPr>
              <w:t>Cerințe generale privind estimare</w:t>
            </w:r>
            <w:r>
              <w:rPr>
                <w:rFonts w:ascii="Times New Roman" w:eastAsia="Arial Unicode MS" w:hAnsi="Times New Roman"/>
                <w:b/>
                <w:bCs/>
                <w:sz w:val="18"/>
                <w:szCs w:val="18"/>
                <w:lang w:val="ro-RO"/>
              </w:rPr>
              <w:t>a</w:t>
            </w:r>
            <w:r w:rsidRPr="009F31EF">
              <w:rPr>
                <w:rFonts w:ascii="Times New Roman" w:eastAsia="Arial Unicode MS" w:hAnsi="Times New Roman"/>
                <w:bCs/>
                <w:sz w:val="18"/>
                <w:szCs w:val="18"/>
                <w:lang w:val="ro-RO"/>
              </w:rPr>
              <w:t xml:space="preserve"> - </w:t>
            </w:r>
            <w:r w:rsidRPr="009F31EF">
              <w:rPr>
                <w:rFonts w:ascii="Times New Roman" w:eastAsia="Arial Unicode MS" w:hAnsi="Times New Roman"/>
                <w:bCs/>
                <w:i/>
                <w:sz w:val="18"/>
                <w:szCs w:val="18"/>
                <w:lang w:val="ro-RO"/>
              </w:rPr>
              <w:t>Articolul 191</w:t>
            </w:r>
            <w:r w:rsidRPr="009F31EF">
              <w:rPr>
                <w:rFonts w:ascii="Times New Roman" w:eastAsia="Arial Unicode MS" w:hAnsi="Times New Roman"/>
                <w:b/>
                <w:bCs/>
                <w:sz w:val="18"/>
                <w:szCs w:val="18"/>
                <w:lang w:val="ro-RO"/>
              </w:rPr>
              <w:t xml:space="preserve"> Auditul intern</w:t>
            </w:r>
          </w:p>
        </w:tc>
        <w:tc>
          <w:tcPr>
            <w:tcW w:w="1636" w:type="pct"/>
          </w:tcPr>
          <w:p w14:paraId="1435CF10" w14:textId="77777777" w:rsidR="00DE78A2" w:rsidRPr="00684853" w:rsidRDefault="00DE78A2" w:rsidP="00DE78A2">
            <w:pPr>
              <w:spacing w:line="276" w:lineRule="auto"/>
              <w:rPr>
                <w:rFonts w:ascii="Times New Roman" w:hAnsi="Times New Roman" w:cs="Times New Roman"/>
                <w:color w:val="000000" w:themeColor="text1"/>
                <w:sz w:val="20"/>
                <w:szCs w:val="20"/>
                <w:lang w:val="ro-RO"/>
              </w:rPr>
            </w:pPr>
          </w:p>
        </w:tc>
        <w:tc>
          <w:tcPr>
            <w:tcW w:w="562" w:type="pct"/>
          </w:tcPr>
          <w:p w14:paraId="6F556670" w14:textId="17597F44" w:rsidR="00DE78A2" w:rsidRDefault="00DE78A2" w:rsidP="00DE78A2">
            <w:pPr>
              <w:spacing w:line="276" w:lineRule="auto"/>
              <w:jc w:val="both"/>
              <w:rPr>
                <w:rFonts w:ascii="Times New Roman" w:hAnsi="Times New Roman" w:cs="Times New Roman"/>
                <w:color w:val="000000" w:themeColor="text1"/>
                <w:sz w:val="20"/>
                <w:szCs w:val="20"/>
                <w:lang w:val="ro-RO"/>
              </w:rPr>
            </w:pPr>
            <w:r>
              <w:rPr>
                <w:rFonts w:ascii="Times New Roman" w:hAnsi="Times New Roman" w:cs="Times New Roman"/>
                <w:sz w:val="18"/>
                <w:szCs w:val="18"/>
                <w:lang w:val="ro-RO"/>
              </w:rPr>
              <w:t>Prevederi</w:t>
            </w:r>
            <w:r w:rsidRPr="009F31EF">
              <w:rPr>
                <w:rFonts w:ascii="Times New Roman" w:hAnsi="Times New Roman" w:cs="Times New Roman"/>
                <w:sz w:val="18"/>
                <w:szCs w:val="18"/>
                <w:lang w:val="ro-RO"/>
              </w:rPr>
              <w:t xml:space="preserve"> UE netranspuse</w:t>
            </w:r>
          </w:p>
        </w:tc>
        <w:tc>
          <w:tcPr>
            <w:tcW w:w="885" w:type="pct"/>
          </w:tcPr>
          <w:p w14:paraId="3A47B76C" w14:textId="5F740AEC" w:rsidR="00DE78A2" w:rsidRPr="00DE78A2" w:rsidRDefault="00DE78A2" w:rsidP="00DE78A2">
            <w:pPr>
              <w:rPr>
                <w:rFonts w:ascii="Times New Roman" w:hAnsi="Times New Roman" w:cs="Times New Roman"/>
                <w:bCs/>
                <w:color w:val="000000" w:themeColor="text1"/>
                <w:sz w:val="20"/>
                <w:szCs w:val="20"/>
                <w:lang w:val="ro-RO"/>
              </w:rPr>
            </w:pPr>
            <w:r w:rsidRPr="009F31EF">
              <w:rPr>
                <w:rFonts w:ascii="Times New Roman" w:hAnsi="Times New Roman" w:cs="Times New Roman"/>
                <w:sz w:val="18"/>
                <w:szCs w:val="18"/>
                <w:lang w:val="ro-RO"/>
              </w:rPr>
              <w:t>Va fi transpusă în reglementările ce țin de abordarea IRB.</w:t>
            </w:r>
          </w:p>
        </w:tc>
      </w:tr>
      <w:tr w:rsidR="00560264" w:rsidRPr="00684853" w14:paraId="20C93DB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03E10D12" w14:textId="77777777" w:rsidR="00DE78A2" w:rsidRPr="002C32BA" w:rsidRDefault="00DE78A2" w:rsidP="00DE78A2">
            <w:pPr>
              <w:pStyle w:val="CM4"/>
              <w:tabs>
                <w:tab w:val="left" w:pos="150"/>
              </w:tabs>
              <w:ind w:left="-43"/>
              <w:jc w:val="center"/>
              <w:rPr>
                <w:rFonts w:ascii="Times New Roman" w:hAnsi="Times New Roman"/>
                <w:iCs/>
                <w:sz w:val="20"/>
                <w:szCs w:val="20"/>
                <w:lang w:val="ro-RO" w:eastAsia="ru-RU"/>
              </w:rPr>
            </w:pPr>
            <w:r w:rsidRPr="002C32BA">
              <w:rPr>
                <w:rFonts w:ascii="Times New Roman" w:hAnsi="Times New Roman"/>
                <w:iCs/>
                <w:sz w:val="20"/>
                <w:szCs w:val="20"/>
                <w:lang w:val="ro-RO" w:eastAsia="ru-RU"/>
              </w:rPr>
              <w:t>CAPITOLUL 4</w:t>
            </w:r>
          </w:p>
          <w:p w14:paraId="6BBF18A5" w14:textId="77777777" w:rsidR="00DE78A2" w:rsidRPr="002C32BA" w:rsidRDefault="00DE78A2" w:rsidP="00DE78A2">
            <w:pPr>
              <w:pStyle w:val="CM4"/>
              <w:tabs>
                <w:tab w:val="left" w:pos="150"/>
              </w:tabs>
              <w:ind w:left="-43"/>
              <w:jc w:val="center"/>
              <w:rPr>
                <w:rFonts w:ascii="Times New Roman" w:hAnsi="Times New Roman"/>
                <w:b/>
                <w:iCs/>
                <w:sz w:val="20"/>
                <w:szCs w:val="20"/>
                <w:lang w:val="ro-RO" w:eastAsia="ru-RU"/>
              </w:rPr>
            </w:pPr>
            <w:r w:rsidRPr="002C32BA">
              <w:rPr>
                <w:rFonts w:ascii="Times New Roman" w:hAnsi="Times New Roman"/>
                <w:b/>
                <w:iCs/>
                <w:sz w:val="20"/>
                <w:szCs w:val="20"/>
                <w:lang w:val="ro-RO" w:eastAsia="ru-RU"/>
              </w:rPr>
              <w:t>Diminuarea riscului de credit</w:t>
            </w:r>
          </w:p>
          <w:p w14:paraId="3B4FFF00" w14:textId="77777777" w:rsidR="00DE78A2" w:rsidRPr="009F31EF" w:rsidRDefault="00DE78A2" w:rsidP="00DE78A2">
            <w:pPr>
              <w:spacing w:after="0" w:line="240" w:lineRule="auto"/>
              <w:jc w:val="both"/>
              <w:rPr>
                <w:rFonts w:ascii="Times New Roman" w:eastAsia="Arial Unicode MS" w:hAnsi="Times New Roman"/>
                <w:i/>
                <w:iCs/>
                <w:sz w:val="18"/>
                <w:szCs w:val="18"/>
                <w:lang w:val="ro-RO"/>
              </w:rPr>
            </w:pPr>
          </w:p>
        </w:tc>
        <w:tc>
          <w:tcPr>
            <w:tcW w:w="1636" w:type="pct"/>
          </w:tcPr>
          <w:p w14:paraId="06F67A98" w14:textId="77777777" w:rsidR="00DE78A2" w:rsidRPr="00684853" w:rsidRDefault="00DE78A2" w:rsidP="00DE78A2">
            <w:pPr>
              <w:spacing w:line="276" w:lineRule="auto"/>
              <w:rPr>
                <w:rFonts w:ascii="Times New Roman" w:hAnsi="Times New Roman" w:cs="Times New Roman"/>
                <w:color w:val="000000" w:themeColor="text1"/>
                <w:sz w:val="20"/>
                <w:szCs w:val="20"/>
                <w:lang w:val="ro-RO"/>
              </w:rPr>
            </w:pPr>
          </w:p>
        </w:tc>
        <w:tc>
          <w:tcPr>
            <w:tcW w:w="562" w:type="pct"/>
          </w:tcPr>
          <w:p w14:paraId="38C9D9A8" w14:textId="77777777" w:rsidR="00DE78A2" w:rsidRDefault="00DE78A2" w:rsidP="00DE78A2">
            <w:pPr>
              <w:spacing w:line="276" w:lineRule="auto"/>
              <w:jc w:val="both"/>
              <w:rPr>
                <w:rFonts w:ascii="Times New Roman" w:hAnsi="Times New Roman" w:cs="Times New Roman"/>
                <w:sz w:val="18"/>
                <w:szCs w:val="18"/>
                <w:lang w:val="ro-RO"/>
              </w:rPr>
            </w:pPr>
          </w:p>
        </w:tc>
        <w:tc>
          <w:tcPr>
            <w:tcW w:w="885" w:type="pct"/>
          </w:tcPr>
          <w:p w14:paraId="32AFE3F7" w14:textId="55D05D1F" w:rsidR="00DE78A2" w:rsidRPr="009F31EF" w:rsidRDefault="00F96EE7" w:rsidP="00DE78A2">
            <w:pPr>
              <w:rPr>
                <w:rFonts w:ascii="Times New Roman" w:hAnsi="Times New Roman" w:cs="Times New Roman"/>
                <w:sz w:val="18"/>
                <w:szCs w:val="18"/>
                <w:lang w:val="ro-RO"/>
              </w:rPr>
            </w:pPr>
            <w:r w:rsidRPr="00F96EE7">
              <w:rPr>
                <w:rFonts w:ascii="Times New Roman" w:hAnsi="Times New Roman" w:cs="Times New Roman"/>
                <w:sz w:val="20"/>
                <w:szCs w:val="20"/>
                <w:lang w:val="ro-RO"/>
              </w:rPr>
              <w:t>Regulamentul nr.112/2018</w:t>
            </w:r>
          </w:p>
        </w:tc>
      </w:tr>
      <w:tr w:rsidR="003C7E61" w:rsidRPr="002C32BA" w14:paraId="172A7CB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3D58AD47" w14:textId="77777777" w:rsidR="00DE78A2" w:rsidRPr="002C32BA" w:rsidRDefault="00DE78A2" w:rsidP="00DE78A2">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Secțiunea 1</w:t>
            </w:r>
          </w:p>
          <w:p w14:paraId="0DFC6433" w14:textId="77777777" w:rsidR="00DE78A2" w:rsidRPr="00DE78A2" w:rsidRDefault="00DE78A2" w:rsidP="00DE78A2">
            <w:pPr>
              <w:pStyle w:val="CM4"/>
              <w:tabs>
                <w:tab w:val="left" w:pos="150"/>
              </w:tabs>
              <w:ind w:left="-43"/>
              <w:rPr>
                <w:rFonts w:ascii="Times New Roman" w:hAnsi="Times New Roman"/>
                <w:b/>
                <w:bCs/>
                <w:iCs/>
                <w:sz w:val="20"/>
                <w:szCs w:val="20"/>
                <w:lang w:val="ro-RO" w:eastAsia="ru-RU"/>
              </w:rPr>
            </w:pPr>
            <w:r w:rsidRPr="00DE78A2">
              <w:rPr>
                <w:rFonts w:ascii="Times New Roman" w:hAnsi="Times New Roman"/>
                <w:b/>
                <w:bCs/>
                <w:iCs/>
                <w:sz w:val="20"/>
                <w:szCs w:val="20"/>
                <w:lang w:val="ro-RO" w:eastAsia="ru-RU"/>
              </w:rPr>
              <w:t xml:space="preserve">Definiții și </w:t>
            </w:r>
            <w:proofErr w:type="spellStart"/>
            <w:r w:rsidRPr="00DE78A2">
              <w:rPr>
                <w:rFonts w:ascii="Times New Roman" w:hAnsi="Times New Roman"/>
                <w:b/>
                <w:bCs/>
                <w:iCs/>
                <w:sz w:val="20"/>
                <w:szCs w:val="20"/>
                <w:lang w:val="ro-RO" w:eastAsia="ru-RU"/>
              </w:rPr>
              <w:t>cerinţe</w:t>
            </w:r>
            <w:proofErr w:type="spellEnd"/>
            <w:r w:rsidRPr="00DE78A2">
              <w:rPr>
                <w:rFonts w:ascii="Times New Roman" w:hAnsi="Times New Roman"/>
                <w:b/>
                <w:bCs/>
                <w:iCs/>
                <w:sz w:val="20"/>
                <w:szCs w:val="20"/>
                <w:lang w:val="ro-RO" w:eastAsia="ru-RU"/>
              </w:rPr>
              <w:t xml:space="preserve"> generale</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69C9F1E" w14:textId="77777777" w:rsidR="00DE78A2" w:rsidRPr="00DE78A2" w:rsidRDefault="00DE78A2" w:rsidP="00DE78A2">
            <w:pPr>
              <w:spacing w:line="276" w:lineRule="auto"/>
              <w:rPr>
                <w:rFonts w:ascii="Times New Roman" w:hAnsi="Times New Roman" w:cs="Times New Roman"/>
                <w:color w:val="000000" w:themeColor="text1"/>
                <w:sz w:val="20"/>
                <w:szCs w:val="20"/>
                <w:lang w:val="ro-RO"/>
              </w:rPr>
            </w:pPr>
          </w:p>
        </w:tc>
        <w:tc>
          <w:tcPr>
            <w:tcW w:w="562" w:type="pct"/>
            <w:tcBorders>
              <w:top w:val="single" w:sz="4" w:space="0" w:color="auto"/>
              <w:left w:val="single" w:sz="4" w:space="0" w:color="auto"/>
              <w:bottom w:val="single" w:sz="4" w:space="0" w:color="auto"/>
              <w:right w:val="single" w:sz="4" w:space="0" w:color="auto"/>
            </w:tcBorders>
          </w:tcPr>
          <w:p w14:paraId="61910A47" w14:textId="77777777" w:rsidR="00DE78A2" w:rsidRPr="00DE78A2" w:rsidRDefault="00DE78A2" w:rsidP="00DE78A2">
            <w:pPr>
              <w:spacing w:line="276" w:lineRule="auto"/>
              <w:jc w:val="both"/>
              <w:rPr>
                <w:rFonts w:ascii="Times New Roman" w:hAnsi="Times New Roman" w:cs="Times New Roman"/>
                <w:sz w:val="18"/>
                <w:szCs w:val="18"/>
                <w:lang w:val="ro-RO"/>
              </w:rPr>
            </w:pPr>
          </w:p>
        </w:tc>
        <w:tc>
          <w:tcPr>
            <w:tcW w:w="885" w:type="pct"/>
            <w:tcBorders>
              <w:top w:val="single" w:sz="4" w:space="0" w:color="auto"/>
              <w:left w:val="single" w:sz="4" w:space="0" w:color="auto"/>
              <w:bottom w:val="single" w:sz="4" w:space="0" w:color="auto"/>
              <w:right w:val="single" w:sz="4" w:space="0" w:color="auto"/>
            </w:tcBorders>
          </w:tcPr>
          <w:p w14:paraId="14443178" w14:textId="77777777" w:rsidR="00DE78A2" w:rsidRPr="00DE78A2" w:rsidRDefault="00DE78A2" w:rsidP="00DE78A2">
            <w:pPr>
              <w:rPr>
                <w:rFonts w:ascii="Times New Roman" w:hAnsi="Times New Roman" w:cs="Times New Roman"/>
                <w:b/>
                <w:bCs/>
                <w:sz w:val="20"/>
                <w:szCs w:val="20"/>
                <w:lang w:val="ro-RO"/>
              </w:rPr>
            </w:pPr>
          </w:p>
        </w:tc>
      </w:tr>
      <w:tr w:rsidR="003C7E61" w:rsidRPr="002C32BA" w14:paraId="123B6BD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54006F0C" w14:textId="77777777" w:rsidR="00DE78A2" w:rsidRPr="002C32BA" w:rsidRDefault="00DE78A2" w:rsidP="003C7E61">
            <w:pPr>
              <w:pStyle w:val="CM4"/>
              <w:tabs>
                <w:tab w:val="left" w:pos="150"/>
              </w:tabs>
              <w:ind w:left="-43"/>
              <w:rPr>
                <w:rFonts w:ascii="Times New Roman" w:hAnsi="Times New Roman"/>
                <w:iCs/>
                <w:sz w:val="20"/>
                <w:szCs w:val="20"/>
                <w:lang w:val="ro-RO" w:eastAsia="ru-RU"/>
              </w:rPr>
            </w:pPr>
            <w:r w:rsidRPr="00DE78A2">
              <w:rPr>
                <w:rFonts w:ascii="Times New Roman" w:hAnsi="Times New Roman"/>
                <w:i/>
                <w:sz w:val="20"/>
                <w:szCs w:val="20"/>
                <w:lang w:val="ro-RO" w:eastAsia="ru-RU"/>
              </w:rPr>
              <w:t>Articolul 192</w:t>
            </w:r>
            <w:r w:rsidRPr="002C32BA">
              <w:rPr>
                <w:rFonts w:ascii="Times New Roman" w:hAnsi="Times New Roman"/>
                <w:iCs/>
                <w:sz w:val="20"/>
                <w:szCs w:val="20"/>
                <w:lang w:val="ro-RO" w:eastAsia="ru-RU"/>
              </w:rPr>
              <w:t xml:space="preserve"> </w:t>
            </w:r>
            <w:r w:rsidRPr="00DE78A2">
              <w:rPr>
                <w:rFonts w:ascii="Times New Roman" w:hAnsi="Times New Roman"/>
                <w:b/>
                <w:bCs/>
                <w:iCs/>
                <w:sz w:val="20"/>
                <w:szCs w:val="20"/>
                <w:lang w:val="ro-RO" w:eastAsia="ru-RU"/>
              </w:rPr>
              <w:t>Definiții</w:t>
            </w:r>
          </w:p>
          <w:p w14:paraId="2FB0FA06" w14:textId="77777777" w:rsidR="00DE78A2" w:rsidRPr="002C32BA" w:rsidRDefault="00DE78A2" w:rsidP="003C7E61">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În sensul prezentului capitol, se aplică următoarele definiții:</w:t>
            </w:r>
          </w:p>
          <w:p w14:paraId="14DC8765" w14:textId="0CF57D38" w:rsidR="00DE78A2" w:rsidRPr="002C32BA" w:rsidRDefault="00DE78A2"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(1) „instituție creditoare” înseamnă instituția care deține expunerea în cauză;</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762F9653" w14:textId="40D18E4F" w:rsidR="00DE78A2" w:rsidRPr="00DE78A2" w:rsidRDefault="00DE78A2" w:rsidP="00D62F3C">
            <w:pPr>
              <w:spacing w:line="276" w:lineRule="auto"/>
              <w:rPr>
                <w:rFonts w:ascii="Times New Roman" w:hAnsi="Times New Roman" w:cs="Times New Roman"/>
                <w:color w:val="000000" w:themeColor="text1"/>
                <w:sz w:val="20"/>
                <w:szCs w:val="20"/>
                <w:lang w:val="ro-RO"/>
              </w:rPr>
            </w:pPr>
            <w:r w:rsidRPr="003C7E61">
              <w:rPr>
                <w:rFonts w:ascii="Times New Roman" w:hAnsi="Times New Roman" w:cs="Times New Roman"/>
                <w:i/>
                <w:iCs/>
                <w:color w:val="000000" w:themeColor="text1"/>
                <w:sz w:val="20"/>
                <w:szCs w:val="20"/>
                <w:lang w:val="ro-RO"/>
              </w:rPr>
              <w:t>bancă creditoare</w:t>
            </w:r>
            <w:r w:rsidRPr="00DE78A2">
              <w:rPr>
                <w:rFonts w:ascii="Times New Roman" w:hAnsi="Times New Roman" w:cs="Times New Roman"/>
                <w:color w:val="000000" w:themeColor="text1"/>
                <w:sz w:val="20"/>
                <w:szCs w:val="20"/>
                <w:lang w:val="ro-RO"/>
              </w:rPr>
              <w:t xml:space="preserve"> – banca care deține expunerea în cauză;</w:t>
            </w:r>
          </w:p>
        </w:tc>
        <w:tc>
          <w:tcPr>
            <w:tcW w:w="562" w:type="pct"/>
            <w:tcBorders>
              <w:top w:val="single" w:sz="4" w:space="0" w:color="auto"/>
              <w:left w:val="single" w:sz="4" w:space="0" w:color="auto"/>
              <w:bottom w:val="single" w:sz="4" w:space="0" w:color="auto"/>
              <w:right w:val="single" w:sz="4" w:space="0" w:color="auto"/>
            </w:tcBorders>
          </w:tcPr>
          <w:p w14:paraId="1AA6E30B" w14:textId="77777777" w:rsidR="00DE78A2" w:rsidRPr="00DE78A2" w:rsidRDefault="00DE78A2" w:rsidP="00DE78A2">
            <w:pPr>
              <w:spacing w:line="276" w:lineRule="auto"/>
              <w:jc w:val="both"/>
              <w:rPr>
                <w:rFonts w:ascii="Times New Roman" w:hAnsi="Times New Roman" w:cs="Times New Roman"/>
                <w:sz w:val="18"/>
                <w:szCs w:val="18"/>
                <w:lang w:val="ro-RO"/>
              </w:rPr>
            </w:pPr>
            <w:r w:rsidRPr="00DE78A2">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0F60DE43" w14:textId="1ADB22E1" w:rsidR="00DE78A2" w:rsidRPr="00F96EE7" w:rsidRDefault="00DE78A2" w:rsidP="00DE78A2">
            <w:pPr>
              <w:rPr>
                <w:rFonts w:ascii="Times New Roman" w:hAnsi="Times New Roman" w:cs="Times New Roman"/>
                <w:sz w:val="20"/>
                <w:szCs w:val="20"/>
                <w:lang w:val="ro-RO"/>
              </w:rPr>
            </w:pPr>
            <w:r w:rsidRPr="00F96EE7">
              <w:rPr>
                <w:rFonts w:ascii="Times New Roman" w:hAnsi="Times New Roman" w:cs="Times New Roman"/>
                <w:sz w:val="20"/>
                <w:szCs w:val="20"/>
                <w:lang w:val="ro-RO"/>
              </w:rPr>
              <w:t>Regulamentul nr.112/2018</w:t>
            </w:r>
          </w:p>
        </w:tc>
      </w:tr>
      <w:tr w:rsidR="00D62F3C" w:rsidRPr="002C32BA" w14:paraId="26E286B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53054195" w14:textId="17E427E5" w:rsidR="00D62F3C" w:rsidRPr="00DE78A2" w:rsidRDefault="00D62F3C" w:rsidP="00D62F3C">
            <w:pPr>
              <w:pStyle w:val="CM4"/>
              <w:tabs>
                <w:tab w:val="left" w:pos="150"/>
              </w:tabs>
              <w:ind w:left="-43"/>
              <w:rPr>
                <w:rFonts w:ascii="Times New Roman" w:hAnsi="Times New Roman"/>
                <w:i/>
                <w:sz w:val="20"/>
                <w:szCs w:val="20"/>
                <w:lang w:val="ro-RO" w:eastAsia="ru-RU"/>
              </w:rPr>
            </w:pPr>
            <w:r w:rsidRPr="002C32BA">
              <w:rPr>
                <w:rFonts w:ascii="Times New Roman" w:hAnsi="Times New Roman"/>
                <w:iCs/>
                <w:sz w:val="20"/>
                <w:szCs w:val="20"/>
                <w:lang w:val="ro-RO" w:eastAsia="ru-RU"/>
              </w:rPr>
              <w:t>(2) „tranzacție de creditare garantată” înseamnă orice tranzacție care dă naștere unei expuneri garantate cu garanție reală și care nu include nicio prevedere ce conferă instituției dreptul de a primi marjă cel puțin zilnic;</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0BB1CC8C" w14:textId="6F2919CC" w:rsidR="00D62F3C" w:rsidRPr="00D62F3C" w:rsidRDefault="00D62F3C" w:rsidP="00D62F3C">
            <w:pPr>
              <w:spacing w:line="276" w:lineRule="auto"/>
              <w:rPr>
                <w:rFonts w:ascii="Times New Roman" w:hAnsi="Times New Roman" w:cs="Times New Roman"/>
                <w:color w:val="000000" w:themeColor="text1"/>
                <w:sz w:val="20"/>
                <w:szCs w:val="20"/>
                <w:lang w:val="ro-RO"/>
              </w:rPr>
            </w:pPr>
            <w:r w:rsidRPr="003C7E61">
              <w:rPr>
                <w:rFonts w:ascii="Times New Roman" w:hAnsi="Times New Roman" w:cs="Times New Roman"/>
                <w:i/>
                <w:iCs/>
                <w:color w:val="000000" w:themeColor="text1"/>
                <w:sz w:val="20"/>
                <w:szCs w:val="20"/>
                <w:lang w:val="ro-RO"/>
              </w:rPr>
              <w:t>tranzacție de creditare garantată</w:t>
            </w:r>
            <w:r w:rsidRPr="00DE78A2">
              <w:rPr>
                <w:rFonts w:ascii="Times New Roman" w:hAnsi="Times New Roman" w:cs="Times New Roman"/>
                <w:color w:val="000000" w:themeColor="text1"/>
                <w:sz w:val="20"/>
                <w:szCs w:val="20"/>
                <w:lang w:val="ro-RO"/>
              </w:rPr>
              <w:t xml:space="preserve"> – orice tranzacție care dă naștere unei expuneri garantate cu garanție reală și care nu include nicio prevedere ce conferă băncii dreptul de a primi marjă (</w:t>
            </w:r>
            <w:proofErr w:type="spellStart"/>
            <w:r w:rsidRPr="00DE78A2">
              <w:rPr>
                <w:rFonts w:ascii="Times New Roman" w:hAnsi="Times New Roman" w:cs="Times New Roman"/>
                <w:color w:val="000000" w:themeColor="text1"/>
                <w:sz w:val="20"/>
                <w:szCs w:val="20"/>
                <w:lang w:val="ro-RO"/>
              </w:rPr>
              <w:t>margin</w:t>
            </w:r>
            <w:proofErr w:type="spellEnd"/>
            <w:r w:rsidRPr="00DE78A2">
              <w:rPr>
                <w:rFonts w:ascii="Times New Roman" w:hAnsi="Times New Roman" w:cs="Times New Roman"/>
                <w:color w:val="000000" w:themeColor="text1"/>
                <w:sz w:val="20"/>
                <w:szCs w:val="20"/>
                <w:lang w:val="ro-RO"/>
              </w:rPr>
              <w:t>) cel puțin zilnic;</w:t>
            </w:r>
          </w:p>
        </w:tc>
        <w:tc>
          <w:tcPr>
            <w:tcW w:w="562" w:type="pct"/>
            <w:tcBorders>
              <w:top w:val="single" w:sz="4" w:space="0" w:color="auto"/>
              <w:left w:val="single" w:sz="4" w:space="0" w:color="auto"/>
              <w:bottom w:val="single" w:sz="4" w:space="0" w:color="auto"/>
              <w:right w:val="single" w:sz="4" w:space="0" w:color="auto"/>
            </w:tcBorders>
          </w:tcPr>
          <w:p w14:paraId="3F00BB0D" w14:textId="3560266E" w:rsidR="00D62F3C" w:rsidRPr="00DE78A2" w:rsidRDefault="00D62F3C" w:rsidP="00D62F3C">
            <w:pPr>
              <w:spacing w:line="276" w:lineRule="auto"/>
              <w:jc w:val="both"/>
              <w:rPr>
                <w:rFonts w:ascii="Times New Roman" w:hAnsi="Times New Roman" w:cs="Times New Roman"/>
                <w:sz w:val="18"/>
                <w:szCs w:val="18"/>
                <w:lang w:val="ro-RO"/>
              </w:rPr>
            </w:pPr>
            <w:r w:rsidRPr="00DE78A2">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1A14B14D" w14:textId="44AF1F74" w:rsidR="00D62F3C" w:rsidRPr="00F96EE7" w:rsidRDefault="00D62F3C" w:rsidP="00D62F3C">
            <w:pPr>
              <w:rPr>
                <w:rFonts w:ascii="Times New Roman" w:hAnsi="Times New Roman" w:cs="Times New Roman"/>
                <w:sz w:val="20"/>
                <w:szCs w:val="20"/>
                <w:lang w:val="ro-RO"/>
              </w:rPr>
            </w:pPr>
            <w:r w:rsidRPr="00F96EE7">
              <w:rPr>
                <w:rFonts w:ascii="Times New Roman" w:hAnsi="Times New Roman" w:cs="Times New Roman"/>
                <w:sz w:val="20"/>
                <w:szCs w:val="20"/>
                <w:lang w:val="ro-RO"/>
              </w:rPr>
              <w:t>Regulamentul nr.112/2018</w:t>
            </w:r>
          </w:p>
        </w:tc>
      </w:tr>
      <w:tr w:rsidR="00D62F3C" w:rsidRPr="002C32BA" w14:paraId="56D6DD5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3060A33A" w14:textId="40CD0836" w:rsidR="00D62F3C" w:rsidRPr="00DE78A2" w:rsidRDefault="00D62F3C" w:rsidP="00D62F3C">
            <w:pPr>
              <w:pStyle w:val="CM4"/>
              <w:tabs>
                <w:tab w:val="left" w:pos="150"/>
              </w:tabs>
              <w:ind w:left="-43"/>
              <w:rPr>
                <w:rFonts w:ascii="Times New Roman" w:hAnsi="Times New Roman"/>
                <w:i/>
                <w:sz w:val="20"/>
                <w:szCs w:val="20"/>
                <w:lang w:val="ro-RO" w:eastAsia="ru-RU"/>
              </w:rPr>
            </w:pPr>
            <w:r w:rsidRPr="002C32BA">
              <w:rPr>
                <w:rFonts w:ascii="Times New Roman" w:hAnsi="Times New Roman"/>
                <w:iCs/>
                <w:sz w:val="20"/>
                <w:szCs w:val="20"/>
                <w:lang w:val="ro-RO" w:eastAsia="ru-RU"/>
              </w:rPr>
              <w:t>(3) „operațiune ajustată la condițiile pieței de capital” înseamnă orice operațiune care dă naștere unei expuneri garantate cu garanție reală și care include o prevedere ce conferă instituției dreptul de a primi marjă cel puțin zilnic;</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0662B626" w14:textId="68F5D368" w:rsidR="00D62F3C" w:rsidRPr="00D62F3C" w:rsidRDefault="00D62F3C" w:rsidP="00D62F3C">
            <w:pPr>
              <w:spacing w:line="276" w:lineRule="auto"/>
              <w:rPr>
                <w:rFonts w:ascii="Times New Roman" w:hAnsi="Times New Roman" w:cs="Times New Roman"/>
                <w:color w:val="000000" w:themeColor="text1"/>
                <w:sz w:val="20"/>
                <w:szCs w:val="20"/>
                <w:lang w:val="ro-RO"/>
              </w:rPr>
            </w:pPr>
            <w:r w:rsidRPr="003C7E61">
              <w:rPr>
                <w:rFonts w:ascii="Times New Roman" w:hAnsi="Times New Roman" w:cs="Times New Roman"/>
                <w:i/>
                <w:iCs/>
                <w:color w:val="000000" w:themeColor="text1"/>
                <w:sz w:val="20"/>
                <w:szCs w:val="20"/>
                <w:lang w:val="ro-RO"/>
              </w:rPr>
              <w:t>operațiune ajustată la condițiile pieței de capital</w:t>
            </w:r>
            <w:r w:rsidRPr="00DE78A2">
              <w:rPr>
                <w:rFonts w:ascii="Times New Roman" w:hAnsi="Times New Roman" w:cs="Times New Roman"/>
                <w:color w:val="000000" w:themeColor="text1"/>
                <w:sz w:val="20"/>
                <w:szCs w:val="20"/>
                <w:lang w:val="ro-RO"/>
              </w:rPr>
              <w:t xml:space="preserve"> – orice operațiune care dă naștere unei expuneri garantate cu garanție reală și care include o prevedere ce conferă băncii dreptul de a primi marjă (</w:t>
            </w:r>
            <w:proofErr w:type="spellStart"/>
            <w:r w:rsidRPr="00DE78A2">
              <w:rPr>
                <w:rFonts w:ascii="Times New Roman" w:hAnsi="Times New Roman" w:cs="Times New Roman"/>
                <w:color w:val="000000" w:themeColor="text1"/>
                <w:sz w:val="20"/>
                <w:szCs w:val="20"/>
                <w:lang w:val="ro-RO"/>
              </w:rPr>
              <w:t>margin</w:t>
            </w:r>
            <w:proofErr w:type="spellEnd"/>
            <w:r w:rsidRPr="00DE78A2">
              <w:rPr>
                <w:rFonts w:ascii="Times New Roman" w:hAnsi="Times New Roman" w:cs="Times New Roman"/>
                <w:color w:val="000000" w:themeColor="text1"/>
                <w:sz w:val="20"/>
                <w:szCs w:val="20"/>
                <w:lang w:val="ro-RO"/>
              </w:rPr>
              <w:t>) cel puțin zilnic;</w:t>
            </w:r>
          </w:p>
        </w:tc>
        <w:tc>
          <w:tcPr>
            <w:tcW w:w="562" w:type="pct"/>
            <w:tcBorders>
              <w:top w:val="single" w:sz="4" w:space="0" w:color="auto"/>
              <w:left w:val="single" w:sz="4" w:space="0" w:color="auto"/>
              <w:bottom w:val="single" w:sz="4" w:space="0" w:color="auto"/>
              <w:right w:val="single" w:sz="4" w:space="0" w:color="auto"/>
            </w:tcBorders>
          </w:tcPr>
          <w:p w14:paraId="13F28DA0" w14:textId="0D5688A6" w:rsidR="00D62F3C" w:rsidRPr="00DE78A2" w:rsidRDefault="00D62F3C" w:rsidP="00D62F3C">
            <w:pPr>
              <w:spacing w:line="276" w:lineRule="auto"/>
              <w:jc w:val="both"/>
              <w:rPr>
                <w:rFonts w:ascii="Times New Roman" w:hAnsi="Times New Roman" w:cs="Times New Roman"/>
                <w:sz w:val="18"/>
                <w:szCs w:val="18"/>
                <w:lang w:val="ro-RO"/>
              </w:rPr>
            </w:pPr>
            <w:r w:rsidRPr="00DE78A2">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5B2FE0FB" w14:textId="4BC5042C" w:rsidR="00D62F3C" w:rsidRPr="00F96EE7" w:rsidRDefault="00D62F3C" w:rsidP="00D62F3C">
            <w:pPr>
              <w:rPr>
                <w:rFonts w:ascii="Times New Roman" w:hAnsi="Times New Roman" w:cs="Times New Roman"/>
                <w:sz w:val="20"/>
                <w:szCs w:val="20"/>
                <w:lang w:val="ro-RO"/>
              </w:rPr>
            </w:pPr>
            <w:r w:rsidRPr="00F96EE7">
              <w:rPr>
                <w:rFonts w:ascii="Times New Roman" w:hAnsi="Times New Roman" w:cs="Times New Roman"/>
                <w:sz w:val="20"/>
                <w:szCs w:val="20"/>
                <w:lang w:val="ro-RO"/>
              </w:rPr>
              <w:t>Regulamentul nr.112/2018</w:t>
            </w:r>
          </w:p>
        </w:tc>
      </w:tr>
      <w:tr w:rsidR="00D62F3C" w:rsidRPr="002C32BA" w14:paraId="03B8F9C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7717EF99" w14:textId="052F2B26" w:rsidR="00D62F3C" w:rsidRPr="00DE78A2" w:rsidRDefault="00D62F3C" w:rsidP="00D62F3C">
            <w:pPr>
              <w:pStyle w:val="CM4"/>
              <w:tabs>
                <w:tab w:val="left" w:pos="150"/>
              </w:tabs>
              <w:ind w:left="-43"/>
              <w:rPr>
                <w:rFonts w:ascii="Times New Roman" w:hAnsi="Times New Roman"/>
                <w:i/>
                <w:sz w:val="20"/>
                <w:szCs w:val="20"/>
                <w:lang w:val="ro-RO" w:eastAsia="ru-RU"/>
              </w:rPr>
            </w:pPr>
            <w:r w:rsidRPr="002C32BA">
              <w:rPr>
                <w:rFonts w:ascii="Times New Roman" w:hAnsi="Times New Roman"/>
                <w:iCs/>
                <w:sz w:val="20"/>
                <w:szCs w:val="20"/>
                <w:lang w:val="ro-RO" w:eastAsia="ru-RU"/>
              </w:rPr>
              <w:t>(4) „OPC suport” înseamnă un OPC în ale cărui acțiuni sau unități a investit un alt OPC.</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C4FB817" w14:textId="20AC1A11" w:rsidR="00D62F3C" w:rsidRPr="003C7E61" w:rsidRDefault="00D62F3C" w:rsidP="00D62F3C">
            <w:pPr>
              <w:spacing w:line="276" w:lineRule="auto"/>
              <w:rPr>
                <w:rFonts w:ascii="Times New Roman" w:hAnsi="Times New Roman" w:cs="Times New Roman"/>
                <w:i/>
                <w:iCs/>
                <w:color w:val="000000" w:themeColor="text1"/>
                <w:sz w:val="20"/>
                <w:szCs w:val="20"/>
                <w:lang w:val="ro-RO"/>
              </w:rPr>
            </w:pPr>
            <w:r w:rsidRPr="003C7E61">
              <w:rPr>
                <w:rFonts w:ascii="Times New Roman" w:hAnsi="Times New Roman" w:cs="Times New Roman"/>
                <w:i/>
                <w:iCs/>
                <w:color w:val="000000" w:themeColor="text1"/>
                <w:sz w:val="20"/>
                <w:szCs w:val="20"/>
                <w:lang w:val="ro-RO"/>
              </w:rPr>
              <w:t>OPC-suport</w:t>
            </w:r>
            <w:r w:rsidRPr="00DE78A2">
              <w:rPr>
                <w:rFonts w:ascii="Times New Roman" w:hAnsi="Times New Roman" w:cs="Times New Roman"/>
                <w:color w:val="000000" w:themeColor="text1"/>
                <w:sz w:val="20"/>
                <w:szCs w:val="20"/>
                <w:lang w:val="ro-RO"/>
              </w:rPr>
              <w:t xml:space="preserve"> – organism de plasament colectiv (OPC) în ale cărui acțiuni sau unități a investit un alt OPC;</w:t>
            </w:r>
          </w:p>
        </w:tc>
        <w:tc>
          <w:tcPr>
            <w:tcW w:w="562" w:type="pct"/>
            <w:tcBorders>
              <w:top w:val="single" w:sz="4" w:space="0" w:color="auto"/>
              <w:left w:val="single" w:sz="4" w:space="0" w:color="auto"/>
              <w:bottom w:val="single" w:sz="4" w:space="0" w:color="auto"/>
              <w:right w:val="single" w:sz="4" w:space="0" w:color="auto"/>
            </w:tcBorders>
          </w:tcPr>
          <w:p w14:paraId="49563FC5" w14:textId="603DEAD8" w:rsidR="00D62F3C" w:rsidRPr="00DE78A2" w:rsidRDefault="00D62F3C" w:rsidP="00D62F3C">
            <w:pPr>
              <w:spacing w:line="276" w:lineRule="auto"/>
              <w:jc w:val="both"/>
              <w:rPr>
                <w:rFonts w:ascii="Times New Roman" w:hAnsi="Times New Roman" w:cs="Times New Roman"/>
                <w:sz w:val="18"/>
                <w:szCs w:val="18"/>
                <w:lang w:val="ro-RO"/>
              </w:rPr>
            </w:pPr>
            <w:r w:rsidRPr="00DE78A2">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0CD93453" w14:textId="426738A9" w:rsidR="00D62F3C" w:rsidRPr="00F96EE7" w:rsidRDefault="00D62F3C" w:rsidP="00D62F3C">
            <w:pPr>
              <w:rPr>
                <w:rFonts w:ascii="Times New Roman" w:hAnsi="Times New Roman" w:cs="Times New Roman"/>
                <w:sz w:val="20"/>
                <w:szCs w:val="20"/>
                <w:lang w:val="ro-RO"/>
              </w:rPr>
            </w:pPr>
            <w:r w:rsidRPr="00F96EE7">
              <w:rPr>
                <w:rFonts w:ascii="Times New Roman" w:hAnsi="Times New Roman" w:cs="Times New Roman"/>
                <w:sz w:val="20"/>
                <w:szCs w:val="20"/>
                <w:lang w:val="ro-RO"/>
              </w:rPr>
              <w:t>Regulamentul nr.112/2018</w:t>
            </w:r>
          </w:p>
        </w:tc>
      </w:tr>
      <w:tr w:rsidR="00D62F3C" w:rsidRPr="002C32BA" w14:paraId="3C050C2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512CA2A6" w14:textId="77777777" w:rsidR="00D62F3C" w:rsidRPr="007E37D2" w:rsidRDefault="00D62F3C" w:rsidP="00D62F3C">
            <w:pPr>
              <w:pStyle w:val="CM4"/>
              <w:tabs>
                <w:tab w:val="left" w:pos="150"/>
              </w:tabs>
              <w:ind w:left="-43"/>
              <w:rPr>
                <w:rFonts w:ascii="Times New Roman" w:hAnsi="Times New Roman"/>
                <w:iCs/>
                <w:sz w:val="20"/>
                <w:szCs w:val="20"/>
                <w:lang w:eastAsia="ru-RU"/>
              </w:rPr>
            </w:pPr>
            <w:r w:rsidRPr="007E37D2">
              <w:rPr>
                <w:rFonts w:ascii="Times New Roman" w:hAnsi="Times New Roman"/>
                <w:iCs/>
                <w:sz w:val="20"/>
                <w:szCs w:val="20"/>
                <w:lang w:eastAsia="ru-RU"/>
              </w:rPr>
              <w:t>▼M17</w:t>
            </w:r>
          </w:p>
          <w:p w14:paraId="55FA75D5" w14:textId="53807DCC" w:rsidR="00D62F3C" w:rsidRPr="007E37D2" w:rsidRDefault="00D62F3C" w:rsidP="00D62F3C">
            <w:pPr>
              <w:pStyle w:val="CM4"/>
              <w:tabs>
                <w:tab w:val="left" w:pos="150"/>
              </w:tabs>
              <w:ind w:left="-43"/>
              <w:rPr>
                <w:rFonts w:ascii="Times New Roman" w:hAnsi="Times New Roman"/>
                <w:iCs/>
                <w:sz w:val="20"/>
                <w:szCs w:val="20"/>
                <w:lang w:eastAsia="ru-RU"/>
              </w:rPr>
            </w:pPr>
            <w:r w:rsidRPr="007E37D2">
              <w:rPr>
                <w:rFonts w:ascii="Times New Roman" w:hAnsi="Times New Roman"/>
                <w:iCs/>
                <w:sz w:val="20"/>
                <w:szCs w:val="20"/>
                <w:lang w:eastAsia="ru-RU"/>
              </w:rPr>
              <w:t>5. „</w:t>
            </w:r>
            <w:proofErr w:type="spellStart"/>
            <w:r w:rsidRPr="007E37D2">
              <w:rPr>
                <w:rFonts w:ascii="Times New Roman" w:hAnsi="Times New Roman"/>
                <w:iCs/>
                <w:sz w:val="20"/>
                <w:szCs w:val="20"/>
                <w:lang w:eastAsia="ru-RU"/>
              </w:rPr>
              <w:t>abordarea</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constând</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în</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înlocuirea</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parametrilor</w:t>
            </w:r>
            <w:proofErr w:type="spellEnd"/>
            <w:r w:rsidRPr="007E37D2">
              <w:rPr>
                <w:rFonts w:ascii="Times New Roman" w:hAnsi="Times New Roman"/>
                <w:iCs/>
                <w:sz w:val="20"/>
                <w:szCs w:val="20"/>
                <w:lang w:eastAsia="ru-RU"/>
              </w:rPr>
              <w:t xml:space="preserve"> de </w:t>
            </w:r>
            <w:proofErr w:type="spellStart"/>
            <w:r w:rsidRPr="007E37D2">
              <w:rPr>
                <w:rFonts w:ascii="Times New Roman" w:hAnsi="Times New Roman"/>
                <w:iCs/>
                <w:sz w:val="20"/>
                <w:szCs w:val="20"/>
                <w:lang w:eastAsia="ru-RU"/>
              </w:rPr>
              <w:t>risc</w:t>
            </w:r>
            <w:proofErr w:type="spellEnd"/>
            <w:r w:rsidRPr="007E37D2">
              <w:rPr>
                <w:rFonts w:ascii="Times New Roman" w:hAnsi="Times New Roman"/>
                <w:iCs/>
                <w:sz w:val="20"/>
                <w:szCs w:val="20"/>
                <w:lang w:eastAsia="ru-RU"/>
              </w:rPr>
              <w:t xml:space="preserve"> pe </w:t>
            </w:r>
            <w:proofErr w:type="spellStart"/>
            <w:r w:rsidRPr="007E37D2">
              <w:rPr>
                <w:rFonts w:ascii="Times New Roman" w:hAnsi="Times New Roman"/>
                <w:iCs/>
                <w:sz w:val="20"/>
                <w:szCs w:val="20"/>
                <w:lang w:eastAsia="ru-RU"/>
              </w:rPr>
              <w:t>baza</w:t>
            </w:r>
            <w:proofErr w:type="spellEnd"/>
            <w:r w:rsidRPr="007E37D2">
              <w:rPr>
                <w:rFonts w:ascii="Times New Roman" w:hAnsi="Times New Roman"/>
                <w:iCs/>
                <w:sz w:val="20"/>
                <w:szCs w:val="20"/>
                <w:lang w:eastAsia="ru-RU"/>
              </w:rPr>
              <w:t xml:space="preserve"> A-IRB” </w:t>
            </w:r>
            <w:proofErr w:type="spellStart"/>
            <w:r w:rsidRPr="007E37D2">
              <w:rPr>
                <w:rFonts w:ascii="Times New Roman" w:hAnsi="Times New Roman"/>
                <w:iCs/>
                <w:sz w:val="20"/>
                <w:szCs w:val="20"/>
                <w:lang w:eastAsia="ru-RU"/>
              </w:rPr>
              <w:t>înseamnă</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înlocuirea</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în</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conformitate</w:t>
            </w:r>
            <w:proofErr w:type="spellEnd"/>
            <w:r w:rsidRPr="007E37D2">
              <w:rPr>
                <w:rFonts w:ascii="Times New Roman" w:hAnsi="Times New Roman"/>
                <w:iCs/>
                <w:sz w:val="20"/>
                <w:szCs w:val="20"/>
                <w:lang w:eastAsia="ru-RU"/>
              </w:rPr>
              <w:t xml:space="preserve"> cu </w:t>
            </w:r>
            <w:proofErr w:type="spellStart"/>
            <w:r w:rsidRPr="007E37D2">
              <w:rPr>
                <w:rFonts w:ascii="Times New Roman" w:hAnsi="Times New Roman"/>
                <w:iCs/>
                <w:sz w:val="20"/>
                <w:szCs w:val="20"/>
                <w:lang w:eastAsia="ru-RU"/>
              </w:rPr>
              <w:t>articolul</w:t>
            </w:r>
            <w:proofErr w:type="spellEnd"/>
            <w:r w:rsidRPr="007E37D2">
              <w:rPr>
                <w:rFonts w:ascii="Times New Roman" w:hAnsi="Times New Roman"/>
                <w:iCs/>
                <w:sz w:val="20"/>
                <w:szCs w:val="20"/>
                <w:lang w:eastAsia="ru-RU"/>
              </w:rPr>
              <w:t xml:space="preserve"> 236a, a </w:t>
            </w:r>
            <w:proofErr w:type="spellStart"/>
            <w:r w:rsidRPr="007E37D2">
              <w:rPr>
                <w:rFonts w:ascii="Times New Roman" w:hAnsi="Times New Roman"/>
                <w:iCs/>
                <w:sz w:val="20"/>
                <w:szCs w:val="20"/>
                <w:lang w:eastAsia="ru-RU"/>
              </w:rPr>
              <w:t>parametrilor</w:t>
            </w:r>
            <w:proofErr w:type="spellEnd"/>
            <w:r w:rsidRPr="007E37D2">
              <w:rPr>
                <w:rFonts w:ascii="Times New Roman" w:hAnsi="Times New Roman"/>
                <w:iCs/>
                <w:sz w:val="20"/>
                <w:szCs w:val="20"/>
                <w:lang w:eastAsia="ru-RU"/>
              </w:rPr>
              <w:t xml:space="preserve"> de </w:t>
            </w:r>
            <w:proofErr w:type="spellStart"/>
            <w:r w:rsidRPr="007E37D2">
              <w:rPr>
                <w:rFonts w:ascii="Times New Roman" w:hAnsi="Times New Roman"/>
                <w:iCs/>
                <w:sz w:val="20"/>
                <w:szCs w:val="20"/>
                <w:lang w:eastAsia="ru-RU"/>
              </w:rPr>
              <w:t>risc</w:t>
            </w:r>
            <w:proofErr w:type="spellEnd"/>
            <w:r w:rsidRPr="007E37D2">
              <w:rPr>
                <w:rFonts w:ascii="Times New Roman" w:hAnsi="Times New Roman"/>
                <w:iCs/>
                <w:sz w:val="20"/>
                <w:szCs w:val="20"/>
                <w:lang w:eastAsia="ru-RU"/>
              </w:rPr>
              <w:t xml:space="preserve"> PD </w:t>
            </w:r>
            <w:proofErr w:type="spellStart"/>
            <w:r w:rsidRPr="007E37D2">
              <w:rPr>
                <w:rFonts w:ascii="Times New Roman" w:hAnsi="Times New Roman"/>
                <w:iCs/>
                <w:sz w:val="20"/>
                <w:szCs w:val="20"/>
                <w:lang w:eastAsia="ru-RU"/>
              </w:rPr>
              <w:t>și</w:t>
            </w:r>
            <w:proofErr w:type="spellEnd"/>
            <w:r w:rsidRPr="007E37D2">
              <w:rPr>
                <w:rFonts w:ascii="Times New Roman" w:hAnsi="Times New Roman"/>
                <w:iCs/>
                <w:sz w:val="20"/>
                <w:szCs w:val="20"/>
                <w:lang w:eastAsia="ru-RU"/>
              </w:rPr>
              <w:t xml:space="preserve"> LGD </w:t>
            </w:r>
            <w:proofErr w:type="spellStart"/>
            <w:r w:rsidRPr="007E37D2">
              <w:rPr>
                <w:rFonts w:ascii="Times New Roman" w:hAnsi="Times New Roman"/>
                <w:iCs/>
                <w:sz w:val="20"/>
                <w:szCs w:val="20"/>
                <w:lang w:eastAsia="ru-RU"/>
              </w:rPr>
              <w:t>aferenți</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expunerii-suport</w:t>
            </w:r>
            <w:proofErr w:type="spellEnd"/>
            <w:r w:rsidRPr="007E37D2">
              <w:rPr>
                <w:rFonts w:ascii="Times New Roman" w:hAnsi="Times New Roman"/>
                <w:iCs/>
                <w:sz w:val="20"/>
                <w:szCs w:val="20"/>
                <w:lang w:eastAsia="ru-RU"/>
              </w:rPr>
              <w:t xml:space="preserve"> cu PD </w:t>
            </w:r>
            <w:proofErr w:type="spellStart"/>
            <w:r w:rsidRPr="007E37D2">
              <w:rPr>
                <w:rFonts w:ascii="Times New Roman" w:hAnsi="Times New Roman"/>
                <w:iCs/>
                <w:sz w:val="20"/>
                <w:szCs w:val="20"/>
                <w:lang w:eastAsia="ru-RU"/>
              </w:rPr>
              <w:t>și</w:t>
            </w:r>
            <w:proofErr w:type="spellEnd"/>
            <w:r w:rsidRPr="007E37D2">
              <w:rPr>
                <w:rFonts w:ascii="Times New Roman" w:hAnsi="Times New Roman"/>
                <w:iCs/>
                <w:sz w:val="20"/>
                <w:szCs w:val="20"/>
                <w:lang w:eastAsia="ru-RU"/>
              </w:rPr>
              <w:t xml:space="preserve"> LGD </w:t>
            </w:r>
            <w:proofErr w:type="spellStart"/>
            <w:r w:rsidRPr="007E37D2">
              <w:rPr>
                <w:rFonts w:ascii="Times New Roman" w:hAnsi="Times New Roman"/>
                <w:iCs/>
                <w:sz w:val="20"/>
                <w:szCs w:val="20"/>
                <w:lang w:eastAsia="ru-RU"/>
              </w:rPr>
              <w:t>corespunzătoare</w:t>
            </w:r>
            <w:proofErr w:type="spellEnd"/>
            <w:r w:rsidRPr="007E37D2">
              <w:rPr>
                <w:rFonts w:ascii="Times New Roman" w:hAnsi="Times New Roman"/>
                <w:iCs/>
                <w:sz w:val="20"/>
                <w:szCs w:val="20"/>
                <w:lang w:eastAsia="ru-RU"/>
              </w:rPr>
              <w:t xml:space="preserve"> care </w:t>
            </w:r>
            <w:proofErr w:type="spellStart"/>
            <w:r w:rsidRPr="007E37D2">
              <w:rPr>
                <w:rFonts w:ascii="Times New Roman" w:hAnsi="Times New Roman"/>
                <w:iCs/>
                <w:sz w:val="20"/>
                <w:szCs w:val="20"/>
                <w:lang w:eastAsia="ru-RU"/>
              </w:rPr>
              <w:t>ar</w:t>
            </w:r>
            <w:proofErr w:type="spellEnd"/>
            <w:r w:rsidRPr="007E37D2">
              <w:rPr>
                <w:rFonts w:ascii="Times New Roman" w:hAnsi="Times New Roman"/>
                <w:iCs/>
                <w:sz w:val="20"/>
                <w:szCs w:val="20"/>
                <w:lang w:eastAsia="ru-RU"/>
              </w:rPr>
              <w:t xml:space="preserve"> fi </w:t>
            </w:r>
            <w:proofErr w:type="spellStart"/>
            <w:r w:rsidRPr="007E37D2">
              <w:rPr>
                <w:rFonts w:ascii="Times New Roman" w:hAnsi="Times New Roman"/>
                <w:iCs/>
                <w:sz w:val="20"/>
                <w:szCs w:val="20"/>
                <w:lang w:eastAsia="ru-RU"/>
              </w:rPr>
              <w:t>atribuite</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în</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cadrul</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abordării</w:t>
            </w:r>
            <w:proofErr w:type="spellEnd"/>
            <w:r w:rsidRPr="007E37D2">
              <w:rPr>
                <w:rFonts w:ascii="Times New Roman" w:hAnsi="Times New Roman"/>
                <w:iCs/>
                <w:sz w:val="20"/>
                <w:szCs w:val="20"/>
                <w:lang w:eastAsia="ru-RU"/>
              </w:rPr>
              <w:t xml:space="preserve"> IRB, </w:t>
            </w:r>
            <w:proofErr w:type="spellStart"/>
            <w:r w:rsidRPr="007E37D2">
              <w:rPr>
                <w:rFonts w:ascii="Times New Roman" w:hAnsi="Times New Roman"/>
                <w:iCs/>
                <w:sz w:val="20"/>
                <w:szCs w:val="20"/>
                <w:lang w:eastAsia="ru-RU"/>
              </w:rPr>
              <w:t>utilizând</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propriile</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estimări</w:t>
            </w:r>
            <w:proofErr w:type="spellEnd"/>
            <w:r w:rsidRPr="007E37D2">
              <w:rPr>
                <w:rFonts w:ascii="Times New Roman" w:hAnsi="Times New Roman"/>
                <w:iCs/>
                <w:sz w:val="20"/>
                <w:szCs w:val="20"/>
                <w:lang w:eastAsia="ru-RU"/>
              </w:rPr>
              <w:t xml:space="preserve"> ale LGD, </w:t>
            </w:r>
            <w:proofErr w:type="spellStart"/>
            <w:r w:rsidRPr="007E37D2">
              <w:rPr>
                <w:rFonts w:ascii="Times New Roman" w:hAnsi="Times New Roman"/>
                <w:iCs/>
                <w:sz w:val="20"/>
                <w:szCs w:val="20"/>
                <w:lang w:eastAsia="ru-RU"/>
              </w:rPr>
              <w:t>unei</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expuneri</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directe</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comparabile</w:t>
            </w:r>
            <w:proofErr w:type="spellEnd"/>
            <w:r w:rsidRPr="007E37D2">
              <w:rPr>
                <w:rFonts w:ascii="Times New Roman" w:hAnsi="Times New Roman"/>
                <w:iCs/>
                <w:sz w:val="20"/>
                <w:szCs w:val="20"/>
                <w:lang w:eastAsia="ru-RU"/>
              </w:rPr>
              <w:t xml:space="preserve"> </w:t>
            </w:r>
            <w:proofErr w:type="spellStart"/>
            <w:r w:rsidRPr="007E37D2">
              <w:rPr>
                <w:rFonts w:ascii="Times New Roman" w:hAnsi="Times New Roman"/>
                <w:iCs/>
                <w:sz w:val="20"/>
                <w:szCs w:val="20"/>
                <w:lang w:eastAsia="ru-RU"/>
              </w:rPr>
              <w:t>față</w:t>
            </w:r>
            <w:proofErr w:type="spellEnd"/>
            <w:r w:rsidRPr="007E37D2">
              <w:rPr>
                <w:rFonts w:ascii="Times New Roman" w:hAnsi="Times New Roman"/>
                <w:iCs/>
                <w:sz w:val="20"/>
                <w:szCs w:val="20"/>
                <w:lang w:eastAsia="ru-RU"/>
              </w:rPr>
              <w:t xml:space="preserve"> de </w:t>
            </w:r>
            <w:proofErr w:type="spellStart"/>
            <w:r w:rsidRPr="007E37D2">
              <w:rPr>
                <w:rFonts w:ascii="Times New Roman" w:hAnsi="Times New Roman"/>
                <w:iCs/>
                <w:sz w:val="20"/>
                <w:szCs w:val="20"/>
                <w:lang w:eastAsia="ru-RU"/>
              </w:rPr>
              <w:t>furnizorul</w:t>
            </w:r>
            <w:proofErr w:type="spellEnd"/>
            <w:r w:rsidRPr="007E37D2">
              <w:rPr>
                <w:rFonts w:ascii="Times New Roman" w:hAnsi="Times New Roman"/>
                <w:iCs/>
                <w:sz w:val="20"/>
                <w:szCs w:val="20"/>
                <w:lang w:eastAsia="ru-RU"/>
              </w:rPr>
              <w:t xml:space="preserve"> de </w:t>
            </w:r>
            <w:proofErr w:type="spellStart"/>
            <w:r w:rsidRPr="007E37D2">
              <w:rPr>
                <w:rFonts w:ascii="Times New Roman" w:hAnsi="Times New Roman"/>
                <w:iCs/>
                <w:sz w:val="20"/>
                <w:szCs w:val="20"/>
                <w:lang w:eastAsia="ru-RU"/>
              </w:rPr>
              <w:t>protecție</w:t>
            </w:r>
            <w:proofErr w:type="spellEnd"/>
            <w:r w:rsidRPr="007E37D2">
              <w:rPr>
                <w:rFonts w:ascii="Times New Roman" w:hAnsi="Times New Roman"/>
                <w:iCs/>
                <w:sz w:val="20"/>
                <w:szCs w:val="20"/>
                <w:lang w:eastAsia="ru-RU"/>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1F601F81" w14:textId="77777777" w:rsidR="00D62F3C" w:rsidRDefault="00D62F3C" w:rsidP="00D62F3C">
            <w:pPr>
              <w:spacing w:line="276" w:lineRule="auto"/>
              <w:rPr>
                <w:rFonts w:ascii="Times New Roman" w:hAnsi="Times New Roman" w:cs="Times New Roman"/>
                <w:color w:val="000000" w:themeColor="text1"/>
                <w:sz w:val="20"/>
                <w:szCs w:val="20"/>
                <w:lang w:val="ro-RO"/>
              </w:rPr>
            </w:pPr>
            <w:r w:rsidRPr="007E37D2">
              <w:rPr>
                <w:rFonts w:ascii="Times New Roman" w:hAnsi="Times New Roman" w:cs="Times New Roman"/>
                <w:i/>
                <w:iCs/>
                <w:color w:val="000000" w:themeColor="text1"/>
                <w:sz w:val="20"/>
                <w:szCs w:val="20"/>
                <w:lang w:val="ro-RO"/>
              </w:rPr>
              <w:t>abordarea constând în înlocuirea parametrilor de risc pe baza A-IRB</w:t>
            </w:r>
            <w:r w:rsidRPr="007E37D2">
              <w:rPr>
                <w:rFonts w:ascii="Times New Roman" w:hAnsi="Times New Roman" w:cs="Times New Roman"/>
                <w:color w:val="000000" w:themeColor="text1"/>
                <w:sz w:val="20"/>
                <w:szCs w:val="20"/>
                <w:lang w:val="ro-RO"/>
              </w:rPr>
              <w:t xml:space="preserve"> - înlocuirea, în conformitate cu punctele11613-11617, a parametrilor de risc PD și LGD aferenți expunerii-suport cu PD și LGD corespunzătoare care ar fi atribuite în cadrul abordării bazate pe modele interne de rating (IRB), utilizând propriile estimări ale </w:t>
            </w:r>
            <w:r w:rsidRPr="007E37D2">
              <w:rPr>
                <w:rFonts w:ascii="Times New Roman" w:hAnsi="Times New Roman" w:cs="Times New Roman"/>
                <w:color w:val="000000" w:themeColor="text1"/>
                <w:sz w:val="20"/>
                <w:szCs w:val="20"/>
                <w:lang w:val="ro-RO"/>
              </w:rPr>
              <w:lastRenderedPageBreak/>
              <w:t>LGD, unei expuneri directe comparabile față de furnizorul de protecție.</w:t>
            </w:r>
          </w:p>
          <w:p w14:paraId="04875296" w14:textId="08C7B3DB" w:rsidR="00D62F3C" w:rsidRPr="00F96EE7" w:rsidRDefault="00D62F3C" w:rsidP="00D62F3C">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Borders>
              <w:top w:val="single" w:sz="4" w:space="0" w:color="auto"/>
              <w:left w:val="single" w:sz="4" w:space="0" w:color="auto"/>
              <w:bottom w:val="single" w:sz="4" w:space="0" w:color="auto"/>
              <w:right w:val="single" w:sz="4" w:space="0" w:color="auto"/>
            </w:tcBorders>
          </w:tcPr>
          <w:p w14:paraId="5677EEAD" w14:textId="7914AC28" w:rsidR="00D62F3C" w:rsidRPr="00DE78A2" w:rsidRDefault="00D62F3C" w:rsidP="00D62F3C">
            <w:pPr>
              <w:spacing w:line="276" w:lineRule="auto"/>
              <w:jc w:val="both"/>
              <w:rPr>
                <w:rFonts w:ascii="Times New Roman" w:hAnsi="Times New Roman" w:cs="Times New Roman"/>
                <w:sz w:val="18"/>
                <w:szCs w:val="18"/>
                <w:lang w:val="ro-RO"/>
              </w:rPr>
            </w:pPr>
            <w:r w:rsidRPr="003C7E61">
              <w:rPr>
                <w:rFonts w:ascii="Times New Roman" w:hAnsi="Times New Roman" w:cs="Times New Roman"/>
                <w:sz w:val="18"/>
                <w:szCs w:val="18"/>
                <w:lang w:val="ro-RO"/>
              </w:rPr>
              <w:lastRenderedPageBreak/>
              <w:t>Compatibil</w:t>
            </w:r>
          </w:p>
        </w:tc>
        <w:tc>
          <w:tcPr>
            <w:tcW w:w="885" w:type="pct"/>
            <w:tcBorders>
              <w:top w:val="single" w:sz="4" w:space="0" w:color="auto"/>
              <w:left w:val="single" w:sz="4" w:space="0" w:color="auto"/>
              <w:bottom w:val="single" w:sz="4" w:space="0" w:color="auto"/>
              <w:right w:val="single" w:sz="4" w:space="0" w:color="auto"/>
            </w:tcBorders>
          </w:tcPr>
          <w:p w14:paraId="520C46CD" w14:textId="291D6874" w:rsidR="00D62F3C" w:rsidRPr="003C7E61" w:rsidRDefault="00D62F3C" w:rsidP="00D62F3C">
            <w:pPr>
              <w:rPr>
                <w:rFonts w:ascii="Times New Roman" w:hAnsi="Times New Roman" w:cs="Times New Roman"/>
                <w:sz w:val="20"/>
                <w:szCs w:val="20"/>
                <w:lang w:val="ro-RO"/>
              </w:rPr>
            </w:pPr>
            <w:r w:rsidRPr="00D6392F">
              <w:rPr>
                <w:rFonts w:ascii="Times New Roman" w:hAnsi="Times New Roman" w:cs="Times New Roman"/>
                <w:sz w:val="20"/>
                <w:szCs w:val="20"/>
                <w:lang w:val="ro-RO"/>
              </w:rPr>
              <w:t>Regulamentul nr.112/2018</w:t>
            </w:r>
          </w:p>
        </w:tc>
      </w:tr>
      <w:tr w:rsidR="00D62F3C" w:rsidRPr="002C32BA" w14:paraId="73AEF8F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03DA1722" w14:textId="77777777" w:rsidR="00D62F3C" w:rsidRDefault="00D62F3C" w:rsidP="00D62F3C">
            <w:pPr>
              <w:pStyle w:val="CM4"/>
              <w:tabs>
                <w:tab w:val="left" w:pos="150"/>
              </w:tabs>
              <w:ind w:left="-43"/>
              <w:rPr>
                <w:rFonts w:ascii="Times New Roman" w:hAnsi="Times New Roman"/>
                <w:b/>
                <w:bCs/>
                <w:iCs/>
                <w:sz w:val="20"/>
                <w:szCs w:val="20"/>
                <w:lang w:val="ro-RO" w:eastAsia="ru-RU"/>
              </w:rPr>
            </w:pPr>
            <w:r w:rsidRPr="003C7E61">
              <w:rPr>
                <w:rFonts w:ascii="Times New Roman" w:hAnsi="Times New Roman"/>
                <w:i/>
                <w:sz w:val="20"/>
                <w:szCs w:val="20"/>
                <w:lang w:val="ro-RO" w:eastAsia="ru-RU"/>
              </w:rPr>
              <w:t>Articolul 193</w:t>
            </w:r>
            <w:r w:rsidRPr="003C7E61">
              <w:rPr>
                <w:rFonts w:ascii="Times New Roman" w:hAnsi="Times New Roman"/>
                <w:iCs/>
                <w:sz w:val="20"/>
                <w:szCs w:val="20"/>
                <w:lang w:val="ro-RO" w:eastAsia="ru-RU"/>
              </w:rPr>
              <w:t xml:space="preserve"> </w:t>
            </w:r>
            <w:r w:rsidRPr="003C7E61">
              <w:rPr>
                <w:rFonts w:ascii="Times New Roman" w:hAnsi="Times New Roman"/>
                <w:b/>
                <w:bCs/>
                <w:iCs/>
                <w:sz w:val="20"/>
                <w:szCs w:val="20"/>
                <w:lang w:val="ro-RO" w:eastAsia="ru-RU"/>
              </w:rPr>
              <w:t>Principii privind recunoașterea efectului tehnicilor de diminuare a riscului de credit</w:t>
            </w:r>
          </w:p>
          <w:p w14:paraId="08A4588F" w14:textId="77777777" w:rsidR="00A6328A" w:rsidRPr="00A6328A" w:rsidRDefault="00A6328A" w:rsidP="00A6328A">
            <w:pPr>
              <w:rPr>
                <w:lang w:val="ro-RO" w:eastAsia="ru-RU"/>
              </w:rPr>
            </w:pPr>
          </w:p>
          <w:p w14:paraId="60B61A3D"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(1) Nicio expunere pentru care o instituție obține diminuarea riscului de credit nu poate produce un cuantum ponderat la risc al expunerii mai mare sau un cuantum al pierderii așteptate mai mare decât o expunere identică pentru care o instituție nu are o diminuare a riscului de credit.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5197A6A" w14:textId="77777777" w:rsidR="00D62F3C" w:rsidRPr="003C7E61" w:rsidRDefault="00D62F3C" w:rsidP="00D62F3C">
            <w:pPr>
              <w:spacing w:line="276" w:lineRule="auto"/>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Capitolul II. Cerințe generale</w:t>
            </w:r>
          </w:p>
          <w:p w14:paraId="7D7A0FB1" w14:textId="77777777" w:rsidR="00D62F3C" w:rsidRPr="003C7E61" w:rsidRDefault="00D62F3C" w:rsidP="00D62F3C">
            <w:pPr>
              <w:spacing w:line="276" w:lineRule="auto"/>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Secțiunea 1. Principii pentru recunoașterea efectului tehnicilor de diminuare a riscului de credit</w:t>
            </w:r>
          </w:p>
          <w:p w14:paraId="4EB8FBAD" w14:textId="77777777" w:rsidR="00D62F3C" w:rsidRPr="003C7E61" w:rsidRDefault="00D62F3C" w:rsidP="00D62F3C">
            <w:pPr>
              <w:spacing w:line="276" w:lineRule="auto"/>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5. Nicio expunere pentru care o bancă obține diminuarea riscului de credit nu poate să producă o valoare ponderată la risc a expunerii mai mare decât o expunere identică pentru care o bancă nu are o diminuare a riscului de credit.</w:t>
            </w:r>
          </w:p>
        </w:tc>
        <w:tc>
          <w:tcPr>
            <w:tcW w:w="562" w:type="pct"/>
            <w:tcBorders>
              <w:top w:val="single" w:sz="4" w:space="0" w:color="auto"/>
              <w:left w:val="single" w:sz="4" w:space="0" w:color="auto"/>
              <w:bottom w:val="single" w:sz="4" w:space="0" w:color="auto"/>
              <w:right w:val="single" w:sz="4" w:space="0" w:color="auto"/>
            </w:tcBorders>
          </w:tcPr>
          <w:p w14:paraId="299BF7C9" w14:textId="77777777" w:rsidR="00D62F3C" w:rsidRPr="003C7E61" w:rsidRDefault="00D62F3C" w:rsidP="00D62F3C">
            <w:pPr>
              <w:spacing w:line="276" w:lineRule="auto"/>
              <w:jc w:val="both"/>
              <w:rPr>
                <w:rFonts w:ascii="Times New Roman" w:hAnsi="Times New Roman" w:cs="Times New Roman"/>
                <w:sz w:val="18"/>
                <w:szCs w:val="18"/>
                <w:lang w:val="ro-RO"/>
              </w:rPr>
            </w:pPr>
            <w:r w:rsidRPr="003C7E61">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5F7DAEFD" w14:textId="704B7BD9" w:rsidR="00D62F3C" w:rsidRPr="002C32BA" w:rsidRDefault="00D62F3C" w:rsidP="00D62F3C">
            <w:pPr>
              <w:rPr>
                <w:rFonts w:ascii="Times New Roman" w:hAnsi="Times New Roman" w:cs="Times New Roman"/>
                <w:sz w:val="20"/>
                <w:szCs w:val="20"/>
                <w:lang w:val="ro-RO"/>
              </w:rPr>
            </w:pPr>
            <w:r w:rsidRPr="00D6392F">
              <w:rPr>
                <w:rFonts w:ascii="Times New Roman" w:hAnsi="Times New Roman" w:cs="Times New Roman"/>
                <w:sz w:val="20"/>
                <w:szCs w:val="20"/>
                <w:lang w:val="ro-RO"/>
              </w:rPr>
              <w:t>Regulamentul nr.112/2018</w:t>
            </w:r>
          </w:p>
        </w:tc>
      </w:tr>
      <w:tr w:rsidR="00D62F3C" w:rsidRPr="002C32BA" w14:paraId="22438EB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A934DB8"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(2) În cazul în care cuantumul ponderat la risc al expunerii ia deja în considerare protecția creditului în temeiul capitolului 2 sau al capitolului 3, după caz, instituțiile nu țin seama de această protecție a creditului în calculele efectuate în temeiul prezentului capitol.</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2655D6B" w14:textId="77777777" w:rsidR="00D62F3C" w:rsidRDefault="00D62F3C" w:rsidP="00D62F3C">
            <w:pPr>
              <w:spacing w:line="276" w:lineRule="auto"/>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 xml:space="preserve">6. </w:t>
            </w:r>
            <w:r w:rsidRPr="00D62F3C">
              <w:rPr>
                <w:rFonts w:ascii="Times New Roman" w:hAnsi="Times New Roman" w:cs="Times New Roman"/>
                <w:color w:val="000000" w:themeColor="text1"/>
                <w:sz w:val="20"/>
                <w:szCs w:val="20"/>
                <w:lang w:val="ro-RO"/>
              </w:rPr>
              <w:t>În cazul în care valoarea ponderată la risc a expunerii ia deja în considerare protecția creditului în temeiul Regulamentului nr.111/2018 sau actului normativ al Băncii Naționale a Moldovei aferent tratamentului riscului de credit pentru bănci potrivit abordării IRB, după caz, băncile nu trebuie să țină seama de această protecție a creditului în calculele efectuate în temeiul prezentului regulament.</w:t>
            </w:r>
          </w:p>
          <w:p w14:paraId="201941B8" w14:textId="69AEF134" w:rsidR="00D62F3C" w:rsidRPr="00D62F3C" w:rsidRDefault="00D62F3C" w:rsidP="00D62F3C">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Borders>
              <w:top w:val="single" w:sz="4" w:space="0" w:color="auto"/>
              <w:left w:val="single" w:sz="4" w:space="0" w:color="auto"/>
              <w:bottom w:val="single" w:sz="4" w:space="0" w:color="auto"/>
              <w:right w:val="single" w:sz="4" w:space="0" w:color="auto"/>
            </w:tcBorders>
          </w:tcPr>
          <w:p w14:paraId="03FAFA54" w14:textId="77777777" w:rsidR="00D62F3C" w:rsidRPr="003C7E61" w:rsidRDefault="00D62F3C" w:rsidP="00D62F3C">
            <w:pPr>
              <w:spacing w:line="276" w:lineRule="auto"/>
              <w:jc w:val="both"/>
              <w:rPr>
                <w:rFonts w:ascii="Times New Roman" w:hAnsi="Times New Roman" w:cs="Times New Roman"/>
                <w:sz w:val="18"/>
                <w:szCs w:val="18"/>
                <w:lang w:val="ro-RO"/>
              </w:rPr>
            </w:pPr>
            <w:r w:rsidRPr="003C7E61">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4E620AC2" w14:textId="2C425315" w:rsidR="00D62F3C" w:rsidRPr="002C32BA" w:rsidRDefault="00D62F3C" w:rsidP="00D62F3C">
            <w:pPr>
              <w:rPr>
                <w:rFonts w:ascii="Times New Roman" w:hAnsi="Times New Roman" w:cs="Times New Roman"/>
                <w:sz w:val="20"/>
                <w:szCs w:val="20"/>
                <w:lang w:val="ro-RO"/>
              </w:rPr>
            </w:pPr>
            <w:r w:rsidRPr="00D6392F">
              <w:rPr>
                <w:rFonts w:ascii="Times New Roman" w:hAnsi="Times New Roman" w:cs="Times New Roman"/>
                <w:sz w:val="20"/>
                <w:szCs w:val="20"/>
                <w:lang w:val="ro-RO"/>
              </w:rPr>
              <w:t>Regulamentul nr.112/2018</w:t>
            </w:r>
          </w:p>
        </w:tc>
      </w:tr>
      <w:tr w:rsidR="00D62F3C" w:rsidRPr="002C32BA" w14:paraId="4B8A7F0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4C5EA74"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(3) În cazul în care sunt respectate dispozițiile din secțiunile 2 și 3, instituțiile pot modifica calculul cuantumurilor ponderate la risc ale expunerilor potrivit abordării standardizate și calculul cuantumurilor </w:t>
            </w:r>
            <w:r w:rsidRPr="002C32BA">
              <w:rPr>
                <w:rFonts w:ascii="Times New Roman" w:hAnsi="Times New Roman"/>
                <w:iCs/>
                <w:sz w:val="20"/>
                <w:szCs w:val="20"/>
                <w:lang w:val="ro-RO" w:eastAsia="ru-RU"/>
              </w:rPr>
              <w:lastRenderedPageBreak/>
              <w:t>ponderate la risc ale expunerilor și al cuantumurilor pierderilor așteptate potrivit abordării IRB, în conformitate cu dispozițiile din secțiunile 4, 5 și 6.</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586E0195" w14:textId="77777777" w:rsidR="00D62F3C" w:rsidRDefault="00D62F3C" w:rsidP="00D62F3C">
            <w:pPr>
              <w:spacing w:line="276" w:lineRule="auto"/>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lastRenderedPageBreak/>
              <w:t xml:space="preserve">7. </w:t>
            </w:r>
            <w:r w:rsidRPr="00D62F3C">
              <w:rPr>
                <w:rFonts w:ascii="Times New Roman" w:hAnsi="Times New Roman" w:cs="Times New Roman"/>
                <w:color w:val="000000" w:themeColor="text1"/>
                <w:sz w:val="20"/>
                <w:szCs w:val="20"/>
                <w:lang w:val="ro-RO"/>
              </w:rPr>
              <w:t xml:space="preserve">În cazul în care sunt respectate prevederile titlurilor II și III, băncile pot modifica calculul valorilor ponderate la </w:t>
            </w:r>
            <w:r w:rsidRPr="00D62F3C">
              <w:rPr>
                <w:rFonts w:ascii="Times New Roman" w:hAnsi="Times New Roman" w:cs="Times New Roman"/>
                <w:color w:val="000000" w:themeColor="text1"/>
                <w:sz w:val="20"/>
                <w:szCs w:val="20"/>
                <w:lang w:val="ro-RO"/>
              </w:rPr>
              <w:lastRenderedPageBreak/>
              <w:t>risc ale expunerilor potrivit abordării standardizate și calculul cuantumurilor ponderate la risc ale expunerilor și al cuantumurilor pierderilor așteptate potrivit abordării IRB în conformitate cu prevederile titlurilor IV, V</w:t>
            </w:r>
            <w:r>
              <w:rPr>
                <w:rFonts w:ascii="Times New Roman" w:hAnsi="Times New Roman" w:cs="Times New Roman"/>
                <w:color w:val="000000" w:themeColor="text1"/>
                <w:sz w:val="20"/>
                <w:szCs w:val="20"/>
                <w:lang w:val="ro-RO"/>
              </w:rPr>
              <w:t>.</w:t>
            </w:r>
          </w:p>
          <w:p w14:paraId="0F3F9875" w14:textId="7833B76C" w:rsidR="00D62F3C" w:rsidRDefault="00D62F3C" w:rsidP="00D62F3C">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p w14:paraId="07C028EE" w14:textId="25D2CD71" w:rsidR="00D62F3C" w:rsidRPr="00D62F3C" w:rsidRDefault="00D62F3C" w:rsidP="00D62F3C">
            <w:pPr>
              <w:spacing w:line="276" w:lineRule="auto"/>
              <w:rPr>
                <w:rFonts w:ascii="Times New Roman" w:hAnsi="Times New Roman" w:cs="Times New Roman"/>
                <w:color w:val="000000" w:themeColor="text1"/>
                <w:sz w:val="20"/>
                <w:szCs w:val="20"/>
              </w:rPr>
            </w:pPr>
          </w:p>
        </w:tc>
        <w:tc>
          <w:tcPr>
            <w:tcW w:w="562" w:type="pct"/>
            <w:tcBorders>
              <w:top w:val="single" w:sz="4" w:space="0" w:color="auto"/>
              <w:left w:val="single" w:sz="4" w:space="0" w:color="auto"/>
              <w:bottom w:val="single" w:sz="4" w:space="0" w:color="auto"/>
              <w:right w:val="single" w:sz="4" w:space="0" w:color="auto"/>
            </w:tcBorders>
          </w:tcPr>
          <w:p w14:paraId="71EEDC31" w14:textId="0DF02AF8" w:rsidR="00D62F3C" w:rsidRPr="003C7E61" w:rsidRDefault="00D62F3C" w:rsidP="00D62F3C">
            <w:pPr>
              <w:spacing w:line="276" w:lineRule="auto"/>
              <w:jc w:val="both"/>
              <w:rPr>
                <w:rFonts w:ascii="Times New Roman" w:hAnsi="Times New Roman" w:cs="Times New Roman"/>
                <w:sz w:val="18"/>
                <w:szCs w:val="18"/>
                <w:lang w:val="ro-RO"/>
              </w:rPr>
            </w:pPr>
            <w:r>
              <w:rPr>
                <w:rFonts w:ascii="Times New Roman" w:hAnsi="Times New Roman" w:cs="Times New Roman"/>
                <w:sz w:val="18"/>
                <w:szCs w:val="18"/>
                <w:lang w:val="ro-RO"/>
              </w:rPr>
              <w:lastRenderedPageBreak/>
              <w:t>C</w:t>
            </w:r>
            <w:r w:rsidRPr="003C7E61">
              <w:rPr>
                <w:rFonts w:ascii="Times New Roman" w:hAnsi="Times New Roman" w:cs="Times New Roman"/>
                <w:sz w:val="18"/>
                <w:szCs w:val="18"/>
                <w:lang w:val="ro-RO"/>
              </w:rPr>
              <w:t>ompatibil</w:t>
            </w:r>
          </w:p>
        </w:tc>
        <w:tc>
          <w:tcPr>
            <w:tcW w:w="885" w:type="pct"/>
            <w:tcBorders>
              <w:top w:val="single" w:sz="4" w:space="0" w:color="auto"/>
              <w:left w:val="single" w:sz="4" w:space="0" w:color="auto"/>
              <w:bottom w:val="single" w:sz="4" w:space="0" w:color="auto"/>
              <w:right w:val="single" w:sz="4" w:space="0" w:color="auto"/>
            </w:tcBorders>
          </w:tcPr>
          <w:p w14:paraId="68778086" w14:textId="0C9D4D80" w:rsidR="00D62F3C" w:rsidRPr="002C32BA" w:rsidRDefault="00D62F3C" w:rsidP="00D62F3C">
            <w:pPr>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10F5718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1B37198A"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(4) Numerarul, titlurile sau mărfurile achiziționate, luate cu împrumut sau primite în cadrul unei tranzacții de răscumpărare sau al unei operațiuni de dare sau luare de titluri sau mărfuri cu împrumut se tratează de către instituții ca garanții reale.</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BDB843F" w14:textId="77777777" w:rsidR="00D62F3C" w:rsidRPr="003C7E61" w:rsidRDefault="00D62F3C" w:rsidP="00A6328A">
            <w:pPr>
              <w:spacing w:line="276" w:lineRule="auto"/>
              <w:jc w:val="both"/>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8. Mijloacele bănești, valorile mobilare sau mărfurile achiziționate, luate cu împrumut sau primite în cadrul unei tranzacții de răscumpărare sau al unei operațiuni de dare sau luare de valori mobilare sau mărfuri cu împrumut trebuie să fie tratate de către bănci ca garanții reale.</w:t>
            </w:r>
          </w:p>
        </w:tc>
        <w:tc>
          <w:tcPr>
            <w:tcW w:w="562" w:type="pct"/>
            <w:tcBorders>
              <w:top w:val="single" w:sz="4" w:space="0" w:color="auto"/>
              <w:left w:val="single" w:sz="4" w:space="0" w:color="auto"/>
              <w:bottom w:val="single" w:sz="4" w:space="0" w:color="auto"/>
              <w:right w:val="single" w:sz="4" w:space="0" w:color="auto"/>
            </w:tcBorders>
          </w:tcPr>
          <w:p w14:paraId="1F6D38CF" w14:textId="77777777" w:rsidR="00D62F3C" w:rsidRPr="003C7E61" w:rsidRDefault="00D62F3C" w:rsidP="00D62F3C">
            <w:pPr>
              <w:spacing w:line="276" w:lineRule="auto"/>
              <w:jc w:val="both"/>
              <w:rPr>
                <w:rFonts w:ascii="Times New Roman" w:hAnsi="Times New Roman" w:cs="Times New Roman"/>
                <w:sz w:val="18"/>
                <w:szCs w:val="18"/>
                <w:lang w:val="ro-RO"/>
              </w:rPr>
            </w:pPr>
            <w:r w:rsidRPr="003C7E61">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3C292176" w14:textId="53B6D6C6" w:rsidR="00D62F3C" w:rsidRPr="002C32BA" w:rsidRDefault="00D62F3C" w:rsidP="00D62F3C">
            <w:pPr>
              <w:rPr>
                <w:rFonts w:ascii="Times New Roman" w:hAnsi="Times New Roman" w:cs="Times New Roman"/>
                <w:sz w:val="20"/>
                <w:szCs w:val="20"/>
                <w:lang w:val="ro-RO"/>
              </w:rPr>
            </w:pPr>
            <w:r w:rsidRPr="00CC512C">
              <w:rPr>
                <w:rFonts w:ascii="Times New Roman" w:hAnsi="Times New Roman" w:cs="Times New Roman"/>
                <w:sz w:val="20"/>
                <w:szCs w:val="20"/>
                <w:lang w:val="ro-RO"/>
              </w:rPr>
              <w:t>Regulamentul nr.112/2018</w:t>
            </w:r>
          </w:p>
        </w:tc>
      </w:tr>
      <w:tr w:rsidR="00D62F3C" w:rsidRPr="002C32BA" w14:paraId="62F53A5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33120537"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(5) În cazul în care o instituție care calculează cuantumurile ponderate la risc ale expunerilor conform abordării standardizate utilizează mai multe forme de diminuare a riscului de credit pentru a acoperi o singură expunere, aceasta trebuie să procedeze după cum urmează:</w:t>
            </w:r>
          </w:p>
          <w:p w14:paraId="555EE466"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(a) să împartă expunerea în părți acoperite de fiecare tip de instrument de diminuare a riscului de credit;</w:t>
            </w:r>
          </w:p>
          <w:p w14:paraId="346CF998"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(b) să calculeze separat valoarea ponderată la risc a expunerii pentru fiecare parte obținută conform literei (a), în conformitate cu dispozițiile din capitolul 2 și din prezentul capitol.</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53AFFC35" w14:textId="27DFDE7D" w:rsidR="00D62F3C" w:rsidRPr="003C7E61" w:rsidRDefault="00D62F3C" w:rsidP="00A6328A">
            <w:pPr>
              <w:spacing w:line="276" w:lineRule="auto"/>
              <w:jc w:val="both"/>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 xml:space="preserve">9. </w:t>
            </w:r>
            <w:r w:rsidR="00A6328A" w:rsidRPr="00A6328A">
              <w:rPr>
                <w:rFonts w:ascii="Times New Roman" w:hAnsi="Times New Roman" w:cs="Times New Roman"/>
                <w:color w:val="000000" w:themeColor="text1"/>
                <w:sz w:val="20"/>
                <w:szCs w:val="20"/>
                <w:lang w:val="ro-RO"/>
              </w:rPr>
              <w:t>În cazul în care o bancă, care calculează valorile ponderate la risc ale expunerilor conform abordării standardizate, utilizează mai multe forme de diminuare a riscului de credit pentru a acoperi o singură expunere, această bancă trebuie să procedeze după cum urmează:</w:t>
            </w:r>
          </w:p>
          <w:p w14:paraId="216B5BBE" w14:textId="77777777" w:rsidR="00D62F3C" w:rsidRPr="003C7E61" w:rsidRDefault="00D62F3C" w:rsidP="00A6328A">
            <w:pPr>
              <w:spacing w:line="276" w:lineRule="auto"/>
              <w:jc w:val="both"/>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1) să împartă expunerea în părți acoperite de fiecare tip de instrument de diminuare a riscului de credit; și</w:t>
            </w:r>
          </w:p>
          <w:p w14:paraId="2EAB3D60" w14:textId="77777777" w:rsidR="00D62F3C" w:rsidRPr="003C7E61" w:rsidRDefault="00D62F3C" w:rsidP="00A6328A">
            <w:pPr>
              <w:spacing w:line="276" w:lineRule="auto"/>
              <w:jc w:val="both"/>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2) să calculeze separat valoarea ponderată la risc a expunerii pentru fiecare parte obținută conform subpunctului 1), în conformitate cu dispozițiile din actului normativ al Băncii Naționale a Moldovei aferent tratamentului riscului de credit pentru bănci potrivit abordării standardizate și din prezentul regulament.</w:t>
            </w:r>
          </w:p>
        </w:tc>
        <w:tc>
          <w:tcPr>
            <w:tcW w:w="562" w:type="pct"/>
            <w:tcBorders>
              <w:top w:val="single" w:sz="4" w:space="0" w:color="auto"/>
              <w:left w:val="single" w:sz="4" w:space="0" w:color="auto"/>
              <w:bottom w:val="single" w:sz="4" w:space="0" w:color="auto"/>
              <w:right w:val="single" w:sz="4" w:space="0" w:color="auto"/>
            </w:tcBorders>
          </w:tcPr>
          <w:p w14:paraId="7A5E4BEF" w14:textId="77777777" w:rsidR="00D62F3C" w:rsidRPr="003C7E61" w:rsidRDefault="00D62F3C" w:rsidP="00D62F3C">
            <w:pPr>
              <w:spacing w:line="276" w:lineRule="auto"/>
              <w:jc w:val="both"/>
              <w:rPr>
                <w:rFonts w:ascii="Times New Roman" w:hAnsi="Times New Roman" w:cs="Times New Roman"/>
                <w:sz w:val="18"/>
                <w:szCs w:val="18"/>
                <w:lang w:val="ro-RO"/>
              </w:rPr>
            </w:pPr>
            <w:r w:rsidRPr="003C7E61">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0E941BA5" w14:textId="7331AC95" w:rsidR="00D62F3C" w:rsidRPr="002C32BA" w:rsidRDefault="00D62F3C" w:rsidP="00D62F3C">
            <w:pPr>
              <w:rPr>
                <w:rFonts w:ascii="Times New Roman" w:hAnsi="Times New Roman" w:cs="Times New Roman"/>
                <w:sz w:val="20"/>
                <w:szCs w:val="20"/>
                <w:lang w:val="ro-RO"/>
              </w:rPr>
            </w:pPr>
            <w:r w:rsidRPr="00CC512C">
              <w:rPr>
                <w:rFonts w:ascii="Times New Roman" w:hAnsi="Times New Roman" w:cs="Times New Roman"/>
                <w:sz w:val="20"/>
                <w:szCs w:val="20"/>
                <w:lang w:val="ro-RO"/>
              </w:rPr>
              <w:t>Regulamentul nr.112/2018</w:t>
            </w:r>
          </w:p>
        </w:tc>
      </w:tr>
      <w:tr w:rsidR="00D62F3C" w:rsidRPr="002C32BA" w14:paraId="669FBFC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74CB2A29"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(6) În cazul în care o instituție care calculează cuantumurile ponderate la risc ale expunerilor conform abordării standardizate acoperă o singură expunere cu o protecție a creditului furnizată de un singur furnizor de protecție și având scadențe diferite, aceasta trebuie să procedeze după cum urmează:</w:t>
            </w:r>
          </w:p>
          <w:p w14:paraId="311D66F3"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(a) să împartă expunerea în părți acoperite de fiecare instrument de diminuare a riscului de credit;</w:t>
            </w:r>
          </w:p>
          <w:p w14:paraId="50033C16" w14:textId="77777777" w:rsidR="00D62F3C" w:rsidRPr="002C32BA" w:rsidRDefault="00D62F3C" w:rsidP="00D62F3C">
            <w:pPr>
              <w:pStyle w:val="CM4"/>
              <w:tabs>
                <w:tab w:val="left" w:pos="150"/>
              </w:tabs>
              <w:ind w:left="-43"/>
              <w:rPr>
                <w:rFonts w:ascii="Times New Roman" w:hAnsi="Times New Roman"/>
                <w:iCs/>
                <w:sz w:val="20"/>
                <w:szCs w:val="20"/>
                <w:lang w:val="ro-RO" w:eastAsia="ru-RU"/>
              </w:rPr>
            </w:pPr>
            <w:r w:rsidRPr="002C32BA">
              <w:rPr>
                <w:rFonts w:ascii="Times New Roman" w:hAnsi="Times New Roman"/>
                <w:iCs/>
                <w:sz w:val="20"/>
                <w:szCs w:val="20"/>
                <w:lang w:val="ro-RO" w:eastAsia="ru-RU"/>
              </w:rPr>
              <w:t>(b) să calculeze separat cuantumul ponderat la risc al expunerii pentru fiecare parte obținută conform literei (a), în conformitate cu dispozițiile din capitolul 2 și din prezentul capitol.</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7250098" w14:textId="02E838AC" w:rsidR="00D62F3C" w:rsidRPr="003C7E61" w:rsidRDefault="00D62F3C" w:rsidP="00A6328A">
            <w:pPr>
              <w:spacing w:line="276" w:lineRule="auto"/>
              <w:jc w:val="both"/>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 xml:space="preserve">10. </w:t>
            </w:r>
            <w:r w:rsidR="009D564A" w:rsidRPr="009D564A">
              <w:rPr>
                <w:rFonts w:ascii="Times New Roman" w:hAnsi="Times New Roman" w:cs="Times New Roman"/>
                <w:color w:val="000000" w:themeColor="text1"/>
                <w:sz w:val="20"/>
                <w:szCs w:val="20"/>
                <w:lang w:val="ro-RO"/>
              </w:rPr>
              <w:t>În cazul în care o bancă, care calculează valorile ponderate la risc ale expunerilor conform abordării standardizate, acoperă o singură expunere cu o protecție a creditului furnizată de un singur furnizor de protecție și acea protecție are scadențe diferite, această bancă trebuie să procedeze după cum urmează:</w:t>
            </w:r>
          </w:p>
          <w:p w14:paraId="51949093" w14:textId="77777777" w:rsidR="00D62F3C" w:rsidRPr="003C7E61" w:rsidRDefault="00D62F3C" w:rsidP="00A6328A">
            <w:pPr>
              <w:spacing w:line="276" w:lineRule="auto"/>
              <w:jc w:val="both"/>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1) să împartă expunerea în părți acoperite de fiecare instrument de diminuare a riscului de credit; și</w:t>
            </w:r>
          </w:p>
          <w:p w14:paraId="4B7B2A93" w14:textId="77777777" w:rsidR="00D62F3C" w:rsidRPr="003C7E61" w:rsidRDefault="00D62F3C" w:rsidP="00A6328A">
            <w:pPr>
              <w:spacing w:line="276" w:lineRule="auto"/>
              <w:jc w:val="both"/>
              <w:rPr>
                <w:rFonts w:ascii="Times New Roman" w:hAnsi="Times New Roman" w:cs="Times New Roman"/>
                <w:color w:val="000000" w:themeColor="text1"/>
                <w:sz w:val="20"/>
                <w:szCs w:val="20"/>
                <w:lang w:val="ro-RO"/>
              </w:rPr>
            </w:pPr>
            <w:r w:rsidRPr="003C7E61">
              <w:rPr>
                <w:rFonts w:ascii="Times New Roman" w:hAnsi="Times New Roman" w:cs="Times New Roman"/>
                <w:color w:val="000000" w:themeColor="text1"/>
                <w:sz w:val="20"/>
                <w:szCs w:val="20"/>
                <w:lang w:val="ro-RO"/>
              </w:rPr>
              <w:t>2) să calculeze separat valoarea ponderată la risc a expunerii pentru fiecare parte obținută conform subpunctului 1), în conformitate cu dispozițiile din actului normativ al Băncii Naționale a Moldovei aferent tratamentului riscului de credit pentru bănci potrivit abordării standardizate și din prezentul regulament.</w:t>
            </w:r>
          </w:p>
        </w:tc>
        <w:tc>
          <w:tcPr>
            <w:tcW w:w="562" w:type="pct"/>
            <w:tcBorders>
              <w:top w:val="single" w:sz="4" w:space="0" w:color="auto"/>
              <w:left w:val="single" w:sz="4" w:space="0" w:color="auto"/>
              <w:bottom w:val="single" w:sz="4" w:space="0" w:color="auto"/>
              <w:right w:val="single" w:sz="4" w:space="0" w:color="auto"/>
            </w:tcBorders>
          </w:tcPr>
          <w:p w14:paraId="4F1D14B4" w14:textId="77777777" w:rsidR="00D62F3C" w:rsidRPr="003C7E61" w:rsidRDefault="00D62F3C" w:rsidP="00D62F3C">
            <w:pPr>
              <w:spacing w:line="276" w:lineRule="auto"/>
              <w:jc w:val="both"/>
              <w:rPr>
                <w:rFonts w:ascii="Times New Roman" w:hAnsi="Times New Roman" w:cs="Times New Roman"/>
                <w:sz w:val="18"/>
                <w:szCs w:val="18"/>
                <w:lang w:val="ro-RO"/>
              </w:rPr>
            </w:pPr>
            <w:r w:rsidRPr="003C7E61">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29B02C49" w14:textId="14FE19D5" w:rsidR="00D62F3C" w:rsidRPr="002C32BA" w:rsidRDefault="00D62F3C" w:rsidP="00D62F3C">
            <w:pPr>
              <w:rPr>
                <w:rFonts w:ascii="Times New Roman" w:hAnsi="Times New Roman" w:cs="Times New Roman"/>
                <w:sz w:val="20"/>
                <w:szCs w:val="20"/>
                <w:lang w:val="ro-RO"/>
              </w:rPr>
            </w:pPr>
            <w:r w:rsidRPr="00CC512C">
              <w:rPr>
                <w:rFonts w:ascii="Times New Roman" w:hAnsi="Times New Roman" w:cs="Times New Roman"/>
                <w:sz w:val="20"/>
                <w:szCs w:val="20"/>
                <w:lang w:val="ro-RO"/>
              </w:rPr>
              <w:t>Regulamentul nr.112/2018</w:t>
            </w:r>
          </w:p>
        </w:tc>
      </w:tr>
      <w:tr w:rsidR="00D62F3C" w:rsidRPr="002C32BA" w14:paraId="4471D40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Borders>
              <w:top w:val="single" w:sz="4" w:space="0" w:color="auto"/>
              <w:left w:val="single" w:sz="4" w:space="0" w:color="auto"/>
              <w:bottom w:val="single" w:sz="4" w:space="0" w:color="auto"/>
              <w:right w:val="single" w:sz="4" w:space="0" w:color="auto"/>
            </w:tcBorders>
          </w:tcPr>
          <w:p w14:paraId="4A474220" w14:textId="77777777" w:rsidR="00D62F3C" w:rsidRPr="00D62F3C" w:rsidRDefault="00D62F3C" w:rsidP="00D62F3C">
            <w:pPr>
              <w:pStyle w:val="CM4"/>
              <w:tabs>
                <w:tab w:val="left" w:pos="150"/>
              </w:tabs>
              <w:ind w:left="-43"/>
              <w:rPr>
                <w:rFonts w:ascii="Times New Roman" w:hAnsi="Times New Roman"/>
                <w:iCs/>
                <w:sz w:val="20"/>
                <w:szCs w:val="20"/>
                <w:lang w:val="ro-RO" w:eastAsia="ru-RU"/>
              </w:rPr>
            </w:pPr>
            <w:r w:rsidRPr="00D62F3C">
              <w:rPr>
                <w:rFonts w:ascii="Times New Roman" w:hAnsi="Times New Roman"/>
                <w:iCs/>
                <w:sz w:val="20"/>
                <w:szCs w:val="20"/>
                <w:lang w:val="ro-RO" w:eastAsia="ru-RU"/>
              </w:rPr>
              <w:t>▼M17</w:t>
            </w:r>
          </w:p>
          <w:p w14:paraId="1237E39C" w14:textId="3B66A213" w:rsidR="00D62F3C" w:rsidRPr="002C32BA" w:rsidRDefault="00D62F3C" w:rsidP="00D62F3C">
            <w:pPr>
              <w:pStyle w:val="CM4"/>
              <w:tabs>
                <w:tab w:val="left" w:pos="150"/>
              </w:tabs>
              <w:ind w:left="-43"/>
              <w:rPr>
                <w:rFonts w:ascii="Times New Roman" w:hAnsi="Times New Roman"/>
                <w:iCs/>
                <w:sz w:val="20"/>
                <w:szCs w:val="20"/>
                <w:lang w:val="ro-RO" w:eastAsia="ru-RU"/>
              </w:rPr>
            </w:pPr>
            <w:r w:rsidRPr="00D62F3C">
              <w:rPr>
                <w:rFonts w:ascii="Times New Roman" w:hAnsi="Times New Roman"/>
                <w:iCs/>
                <w:sz w:val="20"/>
                <w:szCs w:val="20"/>
                <w:lang w:val="ro-RO" w:eastAsia="ru-RU"/>
              </w:rPr>
              <w:t>(7) Garanțiile reale care îndeplinesc toate cerințele de eligibilitate prevăzute în prezentul capitol pot fi recunoscute chiar și în cazul expunerilor asociate facilităților netrase, în cazul în care tragerea în cadrul facilității este condiționată de achiziționarea sau primirea, în prealabil sau simultan, a unor garanții reale pe măsura interesului instituției asupra garanției reale odată ce facilitatea este trasă, astfel încât instituția nu are niciun drept asupra garanției reale în măsura în care facilitatea nu este trasă.</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3284950" w14:textId="77777777" w:rsidR="00D62F3C" w:rsidRDefault="00D62F3C" w:rsidP="00D62F3C">
            <w:pPr>
              <w:spacing w:line="276" w:lineRule="auto"/>
              <w:jc w:val="both"/>
              <w:rPr>
                <w:rFonts w:ascii="Times New Roman" w:hAnsi="Times New Roman" w:cs="Times New Roman"/>
                <w:color w:val="000000" w:themeColor="text1"/>
                <w:sz w:val="20"/>
                <w:szCs w:val="20"/>
                <w:lang w:val="ro-RO"/>
              </w:rPr>
            </w:pPr>
            <w:r w:rsidRPr="00D62F3C">
              <w:rPr>
                <w:rFonts w:ascii="Times New Roman" w:hAnsi="Times New Roman" w:cs="Times New Roman"/>
                <w:color w:val="000000" w:themeColor="text1"/>
                <w:sz w:val="20"/>
                <w:szCs w:val="20"/>
                <w:lang w:val="ro-RO"/>
              </w:rPr>
              <w:t>10</w:t>
            </w:r>
            <w:r w:rsidRPr="00D62F3C">
              <w:rPr>
                <w:rFonts w:ascii="Times New Roman" w:hAnsi="Times New Roman" w:cs="Times New Roman"/>
                <w:color w:val="000000" w:themeColor="text1"/>
                <w:sz w:val="20"/>
                <w:szCs w:val="20"/>
                <w:vertAlign w:val="superscript"/>
                <w:lang w:val="ro-RO"/>
              </w:rPr>
              <w:t>1</w:t>
            </w:r>
            <w:r w:rsidRPr="00D62F3C">
              <w:rPr>
                <w:rFonts w:ascii="Times New Roman" w:hAnsi="Times New Roman" w:cs="Times New Roman"/>
                <w:color w:val="000000" w:themeColor="text1"/>
                <w:sz w:val="20"/>
                <w:szCs w:val="20"/>
                <w:lang w:val="ro-RO"/>
              </w:rPr>
              <w:t>. Garanțiile reale care îndeplinesc toate cerințele de eligibilitate prevăzute în prezentul regulament pot fi recunoscute chiar și în cazul expunerilor asociate facilităților netrase, în cazul în care tragerea în cadrul facilității este condiționată de achiziționarea sau primirea, în prealabil sau simultan, a unor garanții reale pe măsura interesului băncii asupra garanției reale odată ce facilitatea este trasă, astfel încât banca nu are niciun drept asupra garanției reale în măsura în care facilitatea nu este trasă</w:t>
            </w:r>
            <w:r>
              <w:rPr>
                <w:rFonts w:ascii="Times New Roman" w:hAnsi="Times New Roman" w:cs="Times New Roman"/>
                <w:color w:val="000000" w:themeColor="text1"/>
                <w:sz w:val="20"/>
                <w:szCs w:val="20"/>
                <w:lang w:val="ro-RO"/>
              </w:rPr>
              <w:t>.</w:t>
            </w:r>
          </w:p>
          <w:p w14:paraId="05239D22" w14:textId="5FDAAE48" w:rsidR="00D62F3C" w:rsidRPr="00D62F3C" w:rsidRDefault="00D62F3C" w:rsidP="00D62F3C">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Borders>
              <w:top w:val="single" w:sz="4" w:space="0" w:color="auto"/>
              <w:left w:val="single" w:sz="4" w:space="0" w:color="auto"/>
              <w:bottom w:val="single" w:sz="4" w:space="0" w:color="auto"/>
              <w:right w:val="single" w:sz="4" w:space="0" w:color="auto"/>
            </w:tcBorders>
          </w:tcPr>
          <w:p w14:paraId="424FE370" w14:textId="3FC60CEC" w:rsidR="00D62F3C" w:rsidRPr="003C7E61" w:rsidRDefault="00D62F3C" w:rsidP="00D62F3C">
            <w:pPr>
              <w:spacing w:line="276" w:lineRule="auto"/>
              <w:jc w:val="both"/>
              <w:rPr>
                <w:rFonts w:ascii="Times New Roman" w:hAnsi="Times New Roman" w:cs="Times New Roman"/>
                <w:sz w:val="18"/>
                <w:szCs w:val="18"/>
                <w:lang w:val="ro-RO"/>
              </w:rPr>
            </w:pPr>
            <w:r w:rsidRPr="003C7E61">
              <w:rPr>
                <w:rFonts w:ascii="Times New Roman" w:hAnsi="Times New Roman" w:cs="Times New Roman"/>
                <w:sz w:val="18"/>
                <w:szCs w:val="18"/>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0DD52179" w14:textId="6273F154" w:rsidR="00D62F3C" w:rsidRPr="00CC512C" w:rsidRDefault="00D62F3C" w:rsidP="00D62F3C">
            <w:pPr>
              <w:rPr>
                <w:rFonts w:ascii="Times New Roman" w:hAnsi="Times New Roman" w:cs="Times New Roman"/>
                <w:sz w:val="20"/>
                <w:szCs w:val="20"/>
                <w:lang w:val="ro-RO"/>
              </w:rPr>
            </w:pPr>
            <w:r w:rsidRPr="00CC512C">
              <w:rPr>
                <w:rFonts w:ascii="Times New Roman" w:hAnsi="Times New Roman" w:cs="Times New Roman"/>
                <w:sz w:val="20"/>
                <w:szCs w:val="20"/>
                <w:lang w:val="ro-RO"/>
              </w:rPr>
              <w:t>Regulamentul nr.112/2018</w:t>
            </w:r>
          </w:p>
        </w:tc>
      </w:tr>
      <w:tr w:rsidR="00281347" w:rsidRPr="002C32BA" w14:paraId="0A5F1B6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27B9D26A" w14:textId="77777777" w:rsidR="00281347" w:rsidRPr="002C32BA" w:rsidRDefault="00281347" w:rsidP="00281347">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194</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Principii care guvernează eligibilitatea tehnicilor de diminuare a riscului de credit</w:t>
            </w:r>
          </w:p>
          <w:p w14:paraId="1ECA024E" w14:textId="77777777" w:rsidR="00281347" w:rsidRPr="002C32BA" w:rsidRDefault="00281347" w:rsidP="00281347">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(1) Tehnica utilizată pentru protecția creditului, precum și acțiunile și măsurile adoptate și procedurile și politicile puse în aplicare de instituția creditoare este de o asemenea manieră încât să genereze mecanisme de protecție a creditului care să fie eficace din punct de vedere juridic și să aibă caracter executoriu/aplicabile în toate jurisdicțiile relevante.</w:t>
            </w:r>
          </w:p>
          <w:p w14:paraId="46C71CFD" w14:textId="77777777" w:rsidR="00281347" w:rsidRPr="002C32BA" w:rsidRDefault="00281347" w:rsidP="00281347">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La cererea autorității competente, instituția creditoare pune la dispoziție versiunea cea mai recentă a avizului/avizelor juridic(e) independent(e), scris(e) și fundamentat(e), utilizată/utilizate de aceasta pentru a stabili dacă mecanismul sau mecanismele de protecție a creditului îndeplinește/îndeplinesc condițiile prevăzute în primul paragraf.</w:t>
            </w:r>
          </w:p>
        </w:tc>
        <w:tc>
          <w:tcPr>
            <w:tcW w:w="1636" w:type="pct"/>
            <w:shd w:val="clear" w:color="auto" w:fill="auto"/>
          </w:tcPr>
          <w:p w14:paraId="5FAFE7A8" w14:textId="77777777" w:rsidR="00281347" w:rsidRPr="002C32BA" w:rsidRDefault="00281347" w:rsidP="00281347">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 xml:space="preserve">Secțiunea a 2-a. Principii care guvernează eligibilitatea tehnicilor de diminuare a riscului de credit </w:t>
            </w:r>
          </w:p>
          <w:p w14:paraId="7A56F863" w14:textId="77777777" w:rsidR="00281347" w:rsidRPr="002C32BA" w:rsidRDefault="00281347" w:rsidP="00281347">
            <w:pPr>
              <w:pStyle w:val="CM4"/>
              <w:tabs>
                <w:tab w:val="left" w:pos="150"/>
              </w:tabs>
              <w:ind w:left="-36"/>
              <w:rPr>
                <w:rFonts w:ascii="Times New Roman" w:hAnsi="Times New Roman"/>
                <w:sz w:val="20"/>
                <w:szCs w:val="20"/>
                <w:lang w:val="ro-RO" w:eastAsia="ru-RU"/>
              </w:rPr>
            </w:pPr>
          </w:p>
          <w:p w14:paraId="7583DE6E" w14:textId="77777777" w:rsidR="00281347" w:rsidRPr="002C32BA" w:rsidRDefault="00281347" w:rsidP="00281347">
            <w:pPr>
              <w:pStyle w:val="CM4"/>
              <w:tabs>
                <w:tab w:val="left" w:pos="150"/>
              </w:tabs>
              <w:ind w:left="-36"/>
              <w:rPr>
                <w:rFonts w:ascii="Times New Roman" w:hAnsi="Times New Roman"/>
                <w:sz w:val="20"/>
                <w:szCs w:val="20"/>
                <w:lang w:val="ro-RO" w:eastAsia="ru-RU"/>
              </w:rPr>
            </w:pPr>
            <w:r w:rsidRPr="000956F5">
              <w:rPr>
                <w:rFonts w:ascii="Times New Roman" w:hAnsi="Times New Roman"/>
                <w:b/>
                <w:bCs/>
                <w:sz w:val="20"/>
                <w:szCs w:val="20"/>
                <w:lang w:val="ro-RO" w:eastAsia="ru-RU"/>
              </w:rPr>
              <w:t>11.</w:t>
            </w:r>
            <w:r w:rsidRPr="002C32BA">
              <w:rPr>
                <w:rFonts w:ascii="Times New Roman" w:hAnsi="Times New Roman"/>
                <w:sz w:val="20"/>
                <w:szCs w:val="20"/>
                <w:lang w:val="ro-RO" w:eastAsia="ru-RU"/>
              </w:rPr>
              <w:t xml:space="preserve"> Tehnica utilizată pentru a furniza protecția creditului, împreună cu acțiunile și măsurile adoptate, precum și procedurile și politicile puse în aplicare de banca creditoare trebuie să fie de așa natură încât să genereze mecanisme de protecție a creditului care să fie valide din punct de vedere legal și să aibă caracter executoriu în toate jurisdicțiile relevante.</w:t>
            </w:r>
          </w:p>
          <w:p w14:paraId="10537195" w14:textId="77777777" w:rsidR="000956F5" w:rsidRDefault="00281347" w:rsidP="000956F5">
            <w:pPr>
              <w:pStyle w:val="CM4"/>
              <w:tabs>
                <w:tab w:val="left" w:pos="150"/>
              </w:tabs>
              <w:ind w:left="-36"/>
              <w:jc w:val="both"/>
              <w:rPr>
                <w:rFonts w:ascii="Times New Roman" w:hAnsi="Times New Roman"/>
                <w:color w:val="000000" w:themeColor="text1"/>
                <w:sz w:val="20"/>
                <w:szCs w:val="20"/>
                <w:lang w:val="ro-RO" w:eastAsia="ro-MD"/>
              </w:rPr>
            </w:pPr>
            <w:r w:rsidRPr="000956F5">
              <w:rPr>
                <w:rFonts w:ascii="Times New Roman" w:hAnsi="Times New Roman"/>
                <w:b/>
                <w:bCs/>
                <w:sz w:val="20"/>
                <w:szCs w:val="20"/>
                <w:lang w:val="ro-RO" w:eastAsia="ru-RU"/>
              </w:rPr>
              <w:t>12.</w:t>
            </w:r>
            <w:r w:rsidRPr="002C32BA">
              <w:rPr>
                <w:rFonts w:ascii="Times New Roman" w:hAnsi="Times New Roman"/>
                <w:sz w:val="20"/>
                <w:szCs w:val="20"/>
                <w:lang w:val="ro-RO" w:eastAsia="ru-RU"/>
              </w:rPr>
              <w:t xml:space="preserve"> </w:t>
            </w:r>
            <w:r w:rsidR="000956F5" w:rsidRPr="0035578F">
              <w:rPr>
                <w:rFonts w:ascii="Times New Roman" w:hAnsi="Times New Roman"/>
                <w:color w:val="000000" w:themeColor="text1"/>
                <w:sz w:val="20"/>
                <w:szCs w:val="20"/>
                <w:lang w:val="ro-RO" w:eastAsia="ro-MD"/>
              </w:rPr>
              <w:t>La cererea Băncii Naționale a Moldovei, banca creditoare trebuie să pună la dispoziție cea mai recentă versiune a opiniei juridice independente, scrisă și fundamentată, utilizată de bancă pentru a determina dacă mecanismul de protecție a creditului utilizat de bancă îndeplinește condițiile prevăzute la punctul 11.</w:t>
            </w:r>
          </w:p>
          <w:p w14:paraId="4A9B9BB1" w14:textId="77777777" w:rsidR="000956F5" w:rsidRPr="000956F5" w:rsidRDefault="000956F5" w:rsidP="000956F5">
            <w:pPr>
              <w:rPr>
                <w:lang w:val="ro-RO" w:eastAsia="ro-MD"/>
              </w:rPr>
            </w:pPr>
          </w:p>
          <w:p w14:paraId="5EF91486" w14:textId="7C1E1D90" w:rsidR="000956F5" w:rsidRPr="000956F5" w:rsidRDefault="000956F5" w:rsidP="000956F5">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14954E8B" w14:textId="568E27AB" w:rsidR="00281347" w:rsidRPr="002C32BA" w:rsidRDefault="00281347" w:rsidP="00281347">
            <w:pPr>
              <w:rPr>
                <w:rFonts w:ascii="Times New Roman" w:hAnsi="Times New Roman" w:cs="Times New Roman"/>
                <w:sz w:val="20"/>
                <w:szCs w:val="20"/>
                <w:lang w:val="ro-RO"/>
              </w:rPr>
            </w:pPr>
            <w:r w:rsidRPr="003C7E61">
              <w:rPr>
                <w:rFonts w:ascii="Times New Roman" w:hAnsi="Times New Roman" w:cs="Times New Roman"/>
                <w:sz w:val="18"/>
                <w:szCs w:val="18"/>
                <w:lang w:val="ro-RO"/>
              </w:rPr>
              <w:lastRenderedPageBreak/>
              <w:t>Compatibil</w:t>
            </w:r>
          </w:p>
        </w:tc>
        <w:tc>
          <w:tcPr>
            <w:tcW w:w="885" w:type="pct"/>
          </w:tcPr>
          <w:p w14:paraId="3EF2F99F" w14:textId="32E1DC80" w:rsidR="00281347" w:rsidRPr="002C32BA" w:rsidRDefault="00281347" w:rsidP="00281347">
            <w:pPr>
              <w:jc w:val="both"/>
              <w:rPr>
                <w:rFonts w:ascii="Times New Roman" w:hAnsi="Times New Roman" w:cs="Times New Roman"/>
                <w:sz w:val="20"/>
                <w:szCs w:val="20"/>
                <w:lang w:val="ro-RO"/>
              </w:rPr>
            </w:pPr>
            <w:r w:rsidRPr="00CC512C">
              <w:rPr>
                <w:rFonts w:ascii="Times New Roman" w:hAnsi="Times New Roman" w:cs="Times New Roman"/>
                <w:sz w:val="20"/>
                <w:szCs w:val="20"/>
                <w:lang w:val="ro-RO"/>
              </w:rPr>
              <w:t>Regulamentul nr.112/2018</w:t>
            </w:r>
          </w:p>
        </w:tc>
      </w:tr>
      <w:tr w:rsidR="00281347" w:rsidRPr="002C32BA" w14:paraId="3B71687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7DAB4C07" w14:textId="77777777" w:rsidR="00281347" w:rsidRPr="002C32BA" w:rsidRDefault="00281347" w:rsidP="00281347">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Instituția creditoare trebuie să ia toate măsurile adecvate pentru a asigura eficacitatea contractului de protecție a creditului și a administra riscurile asociate acestuia.</w:t>
            </w:r>
          </w:p>
        </w:tc>
        <w:tc>
          <w:tcPr>
            <w:tcW w:w="1636" w:type="pct"/>
            <w:shd w:val="clear" w:color="auto" w:fill="auto"/>
          </w:tcPr>
          <w:p w14:paraId="2F90B449" w14:textId="77777777" w:rsidR="00281347" w:rsidRPr="002C32BA" w:rsidRDefault="00281347" w:rsidP="00281347">
            <w:pPr>
              <w:pStyle w:val="CM4"/>
              <w:tabs>
                <w:tab w:val="left" w:pos="150"/>
              </w:tabs>
              <w:ind w:left="-36"/>
              <w:rPr>
                <w:rFonts w:ascii="Times New Roman" w:hAnsi="Times New Roman"/>
                <w:sz w:val="20"/>
                <w:szCs w:val="20"/>
                <w:lang w:val="ro-RO" w:eastAsia="ru-RU"/>
              </w:rPr>
            </w:pPr>
            <w:r w:rsidRPr="000956F5">
              <w:rPr>
                <w:rFonts w:ascii="Times New Roman" w:hAnsi="Times New Roman"/>
                <w:b/>
                <w:bCs/>
                <w:sz w:val="20"/>
                <w:szCs w:val="20"/>
                <w:lang w:val="ro-RO" w:eastAsia="ru-RU"/>
              </w:rPr>
              <w:t>13</w:t>
            </w:r>
            <w:r w:rsidRPr="002C32BA">
              <w:rPr>
                <w:rFonts w:ascii="Times New Roman" w:hAnsi="Times New Roman"/>
                <w:sz w:val="20"/>
                <w:szCs w:val="20"/>
                <w:lang w:val="ro-RO" w:eastAsia="ru-RU"/>
              </w:rPr>
              <w:t>. Banca creditoare trebuie să ia toate măsurile adecvate pentru a asigura eficacitatea mecanismului de protecție a creditului și pentru a aborda riscurile legate de acest mecanism.</w:t>
            </w:r>
          </w:p>
        </w:tc>
        <w:tc>
          <w:tcPr>
            <w:tcW w:w="562" w:type="pct"/>
          </w:tcPr>
          <w:p w14:paraId="5D612537" w14:textId="2448EAAC" w:rsidR="00281347" w:rsidRPr="002C32BA" w:rsidRDefault="00281347" w:rsidP="00281347">
            <w:pPr>
              <w:rPr>
                <w:rFonts w:ascii="Times New Roman" w:hAnsi="Times New Roman" w:cs="Times New Roman"/>
                <w:sz w:val="20"/>
                <w:szCs w:val="20"/>
                <w:lang w:val="ro-RO"/>
              </w:rPr>
            </w:pPr>
            <w:r w:rsidRPr="003C7E61">
              <w:rPr>
                <w:rFonts w:ascii="Times New Roman" w:hAnsi="Times New Roman" w:cs="Times New Roman"/>
                <w:sz w:val="18"/>
                <w:szCs w:val="18"/>
                <w:lang w:val="ro-RO"/>
              </w:rPr>
              <w:t>Compatibil</w:t>
            </w:r>
          </w:p>
        </w:tc>
        <w:tc>
          <w:tcPr>
            <w:tcW w:w="885" w:type="pct"/>
          </w:tcPr>
          <w:p w14:paraId="72DDA0DE" w14:textId="1992F678" w:rsidR="00281347" w:rsidRPr="002C32BA" w:rsidRDefault="00281347" w:rsidP="00281347">
            <w:pPr>
              <w:jc w:val="both"/>
              <w:rPr>
                <w:rFonts w:ascii="Times New Roman" w:hAnsi="Times New Roman" w:cs="Times New Roman"/>
                <w:sz w:val="20"/>
                <w:szCs w:val="20"/>
                <w:lang w:val="ro-RO"/>
              </w:rPr>
            </w:pPr>
            <w:r w:rsidRPr="00CC512C">
              <w:rPr>
                <w:rFonts w:ascii="Times New Roman" w:hAnsi="Times New Roman" w:cs="Times New Roman"/>
                <w:sz w:val="20"/>
                <w:szCs w:val="20"/>
                <w:lang w:val="ro-RO"/>
              </w:rPr>
              <w:t>Regulamentul nr.112/2018</w:t>
            </w:r>
          </w:p>
        </w:tc>
      </w:tr>
      <w:tr w:rsidR="00281347" w:rsidRPr="002C32BA" w14:paraId="7C07BDF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08C0CABD" w14:textId="77777777" w:rsidR="00281347" w:rsidRPr="002C32BA" w:rsidRDefault="00281347" w:rsidP="00281347">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(3) Instituțiile pot recunoaște protecția finanțată a creditului la calcularea efectului diminuării riscului de credit numai dacă activele pe care se bazează protecția îndeplinesc cumulativ următoarele condiții: </w:t>
            </w:r>
          </w:p>
          <w:p w14:paraId="672E68A9" w14:textId="77777777" w:rsidR="00281347" w:rsidRPr="002C32BA" w:rsidRDefault="00281347" w:rsidP="00281347">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sunt incluse în lista activelor eligibile prevăzute la articolele 197 - 200, după caz;</w:t>
            </w:r>
          </w:p>
          <w:p w14:paraId="7A71F77A" w14:textId="77777777" w:rsidR="00281347" w:rsidRPr="002C32BA" w:rsidRDefault="00281347" w:rsidP="00281347">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sunt suficient de lichide, iar valoarea lor este suficient de stabilă în timp pentru a asigura un nivel adecvat de certitudine în ceea ce privește protecția creditului realizată, având în vedere abordarea utilizată pentru a calcula cuantumurile ponderate la risc ale expunerilor și gradul de recunoaștere permis.</w:t>
            </w:r>
          </w:p>
        </w:tc>
        <w:tc>
          <w:tcPr>
            <w:tcW w:w="1636" w:type="pct"/>
            <w:shd w:val="clear" w:color="auto" w:fill="auto"/>
          </w:tcPr>
          <w:p w14:paraId="01300C98" w14:textId="77777777" w:rsidR="00281347" w:rsidRPr="002C32BA" w:rsidRDefault="00281347" w:rsidP="00281347">
            <w:pPr>
              <w:pStyle w:val="CM4"/>
              <w:tabs>
                <w:tab w:val="left" w:pos="150"/>
              </w:tabs>
              <w:ind w:left="-36"/>
              <w:rPr>
                <w:rFonts w:ascii="Times New Roman" w:hAnsi="Times New Roman"/>
                <w:sz w:val="20"/>
                <w:szCs w:val="20"/>
                <w:lang w:val="ro-RO" w:eastAsia="ru-RU"/>
              </w:rPr>
            </w:pPr>
            <w:r w:rsidRPr="000956F5">
              <w:rPr>
                <w:rFonts w:ascii="Times New Roman" w:hAnsi="Times New Roman"/>
                <w:b/>
                <w:bCs/>
                <w:sz w:val="20"/>
                <w:szCs w:val="20"/>
                <w:lang w:val="ro-RO" w:eastAsia="ru-RU"/>
              </w:rPr>
              <w:t>14.</w:t>
            </w:r>
            <w:r w:rsidRPr="002C32BA">
              <w:rPr>
                <w:rFonts w:ascii="Times New Roman" w:hAnsi="Times New Roman"/>
                <w:sz w:val="20"/>
                <w:szCs w:val="20"/>
                <w:lang w:val="ro-RO" w:eastAsia="ru-RU"/>
              </w:rPr>
              <w:t xml:space="preserve"> Băncile pot recunoaște protecția finanțată a creditului la calcularea efectului diminuării riscului de credit numai dacă activele pe care se bazează protecția îndeplinesc cumulativ următoarele condiții:</w:t>
            </w:r>
          </w:p>
          <w:p w14:paraId="2B5FCDB4" w14:textId="77777777" w:rsidR="00281347" w:rsidRPr="002C32BA" w:rsidRDefault="00281347" w:rsidP="00281347">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1) activele sunt incluse în lista activelor eligibile prevăzute la Capitolul III Secțiunile 3-5, după caz; și</w:t>
            </w:r>
          </w:p>
          <w:p w14:paraId="5930CE32" w14:textId="40632889" w:rsidR="00281347" w:rsidRDefault="00281347" w:rsidP="00281347">
            <w:pPr>
              <w:pStyle w:val="CM4"/>
              <w:tabs>
                <w:tab w:val="left" w:pos="150"/>
              </w:tabs>
              <w:ind w:left="-36"/>
              <w:rPr>
                <w:rFonts w:ascii="Times New Roman" w:hAnsi="Times New Roman"/>
                <w:color w:val="000000" w:themeColor="text1"/>
                <w:sz w:val="20"/>
                <w:szCs w:val="20"/>
                <w:lang w:val="ro-RO" w:eastAsia="ro-MD"/>
              </w:rPr>
            </w:pPr>
            <w:r w:rsidRPr="002C32BA">
              <w:rPr>
                <w:rFonts w:ascii="Times New Roman" w:hAnsi="Times New Roman"/>
                <w:sz w:val="20"/>
                <w:szCs w:val="20"/>
                <w:lang w:val="ro-RO" w:eastAsia="ru-RU"/>
              </w:rPr>
              <w:t>2</w:t>
            </w:r>
            <w:r w:rsidR="000956F5" w:rsidRPr="00E8164A">
              <w:rPr>
                <w:rFonts w:ascii="Times New Roman" w:hAnsi="Times New Roman"/>
                <w:color w:val="000000" w:themeColor="text1"/>
                <w:sz w:val="20"/>
                <w:szCs w:val="20"/>
                <w:lang w:val="ro-RO" w:eastAsia="ro-MD"/>
              </w:rPr>
              <w:t xml:space="preserve">) activele sunt suficient de lichide, iar valoarea lor este suficient de stabilă în timp pentru a asigura un nivel adecvat de certitudine </w:t>
            </w:r>
            <w:bookmarkStart w:id="12" w:name="_Hlk215656796"/>
            <w:r w:rsidR="000956F5" w:rsidRPr="00E8164A">
              <w:rPr>
                <w:rFonts w:ascii="Times New Roman" w:hAnsi="Times New Roman"/>
                <w:color w:val="000000" w:themeColor="text1"/>
                <w:sz w:val="20"/>
                <w:szCs w:val="20"/>
                <w:lang w:val="ro-RO" w:eastAsia="ro-MD"/>
              </w:rPr>
              <w:t xml:space="preserve">în ceea ce privește protecția creditului realizată, având în vedere </w:t>
            </w:r>
            <w:bookmarkStart w:id="13" w:name="_Hlk215656983"/>
            <w:bookmarkEnd w:id="12"/>
            <w:r w:rsidR="000956F5" w:rsidRPr="00E8164A">
              <w:rPr>
                <w:rFonts w:ascii="Times New Roman" w:hAnsi="Times New Roman"/>
                <w:color w:val="000000" w:themeColor="text1"/>
                <w:sz w:val="20"/>
                <w:szCs w:val="20"/>
                <w:lang w:val="ro-RO" w:eastAsia="ro-MD"/>
              </w:rPr>
              <w:t xml:space="preserve">abordarea utilizată </w:t>
            </w:r>
            <w:r w:rsidR="000956F5" w:rsidRPr="00E8164A">
              <w:rPr>
                <w:rFonts w:ascii="Times New Roman" w:hAnsi="Times New Roman"/>
                <w:color w:val="000000" w:themeColor="text1"/>
                <w:sz w:val="20"/>
                <w:szCs w:val="20"/>
                <w:lang w:val="ro-RO" w:eastAsia="ro-MD"/>
              </w:rPr>
              <w:lastRenderedPageBreak/>
              <w:t xml:space="preserve">pentru a calcula valorile ponderate la risc ale expunerilor și </w:t>
            </w:r>
            <w:bookmarkEnd w:id="13"/>
            <w:r w:rsidR="000956F5" w:rsidRPr="00E8164A">
              <w:rPr>
                <w:rFonts w:ascii="Times New Roman" w:hAnsi="Times New Roman"/>
                <w:color w:val="000000" w:themeColor="text1"/>
                <w:sz w:val="20"/>
                <w:szCs w:val="20"/>
                <w:lang w:val="ro-RO" w:eastAsia="ro-MD"/>
              </w:rPr>
              <w:t>gradul de recunoaștere permis</w:t>
            </w:r>
            <w:r w:rsidR="000956F5">
              <w:rPr>
                <w:rFonts w:ascii="Times New Roman" w:hAnsi="Times New Roman"/>
                <w:color w:val="000000" w:themeColor="text1"/>
                <w:sz w:val="20"/>
                <w:szCs w:val="20"/>
                <w:lang w:val="ro-RO" w:eastAsia="ro-MD"/>
              </w:rPr>
              <w:t>.</w:t>
            </w:r>
          </w:p>
          <w:p w14:paraId="15634BDC" w14:textId="6BE1153F" w:rsidR="000956F5" w:rsidRPr="000956F5" w:rsidRDefault="000956F5" w:rsidP="000956F5">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1D61F142" w14:textId="21DCB574" w:rsidR="00281347" w:rsidRPr="002C32BA" w:rsidRDefault="00281347" w:rsidP="00281347">
            <w:pPr>
              <w:rPr>
                <w:rFonts w:ascii="Times New Roman" w:hAnsi="Times New Roman" w:cs="Times New Roman"/>
                <w:sz w:val="20"/>
                <w:szCs w:val="20"/>
                <w:lang w:val="ro-RO"/>
              </w:rPr>
            </w:pPr>
            <w:r w:rsidRPr="003C7E61">
              <w:rPr>
                <w:rFonts w:ascii="Times New Roman" w:hAnsi="Times New Roman" w:cs="Times New Roman"/>
                <w:sz w:val="18"/>
                <w:szCs w:val="18"/>
                <w:lang w:val="ro-RO"/>
              </w:rPr>
              <w:lastRenderedPageBreak/>
              <w:t>Compatibil</w:t>
            </w:r>
          </w:p>
        </w:tc>
        <w:tc>
          <w:tcPr>
            <w:tcW w:w="885" w:type="pct"/>
          </w:tcPr>
          <w:p w14:paraId="517120E4" w14:textId="023A591F" w:rsidR="00281347" w:rsidRPr="002C32BA" w:rsidRDefault="00281347" w:rsidP="00281347">
            <w:pPr>
              <w:jc w:val="both"/>
              <w:rPr>
                <w:rFonts w:ascii="Times New Roman" w:hAnsi="Times New Roman" w:cs="Times New Roman"/>
                <w:sz w:val="20"/>
                <w:szCs w:val="20"/>
                <w:lang w:val="ro-RO"/>
              </w:rPr>
            </w:pPr>
            <w:r w:rsidRPr="00CC512C">
              <w:rPr>
                <w:rFonts w:ascii="Times New Roman" w:hAnsi="Times New Roman" w:cs="Times New Roman"/>
                <w:sz w:val="20"/>
                <w:szCs w:val="20"/>
                <w:lang w:val="ro-RO"/>
              </w:rPr>
              <w:t>Regulamentul nr.112/2018</w:t>
            </w:r>
          </w:p>
        </w:tc>
      </w:tr>
      <w:tr w:rsidR="00D62F3C" w:rsidRPr="002C32BA" w14:paraId="2156FC1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500F2A2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(4) Instituțiile pot recunoaște protecția finanțată a creditului la calcularea efectului diminuării riscului de credit numai dacă instituția creditoare are dreptul să lichideze sau să rețină, în timp util, activele din care rezultă protecția în caz de nerambursare, de insolvență sau de faliment al debitorului — sau în cazul altui eveniment de credit prevăzut în documentația tranzacției — și, dacă este cazul, al depozitarului garanției reale. Gradul de corelare între valoarea activelor pe care se bazează protecția și calitatea creditului debitorului nu trebuie să fie prea ridicat.</w:t>
            </w:r>
          </w:p>
        </w:tc>
        <w:tc>
          <w:tcPr>
            <w:tcW w:w="1636" w:type="pct"/>
            <w:shd w:val="clear" w:color="auto" w:fill="auto"/>
          </w:tcPr>
          <w:p w14:paraId="70D2205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0956F5">
              <w:rPr>
                <w:rFonts w:ascii="Times New Roman" w:hAnsi="Times New Roman"/>
                <w:b/>
                <w:bCs/>
                <w:sz w:val="20"/>
                <w:szCs w:val="20"/>
                <w:lang w:val="ro-RO" w:eastAsia="ru-RU"/>
              </w:rPr>
              <w:t>15.</w:t>
            </w:r>
            <w:r w:rsidRPr="002C32BA">
              <w:rPr>
                <w:rFonts w:ascii="Times New Roman" w:hAnsi="Times New Roman"/>
                <w:sz w:val="20"/>
                <w:szCs w:val="20"/>
                <w:lang w:val="ro-RO" w:eastAsia="ru-RU"/>
              </w:rPr>
              <w:t xml:space="preserve"> Băncile pot recunoaște protecția finanțată a creditului la calcularea efectului diminuării riscului de credit numai dacă banca creditoare are dreptul să lichideze (să vândă) sau să rețină, în timp util, activele din care derivă protecția în cazul intrării în stare de nerambursare, de insolvabilitate sau de faliment - sau în cazul altui eveniment de credit prevăzut în documentația tranzacției - al debitorului și, dacă este cazul, al depozitarului garanției reale. Gradul de corelare între valoarea activelor pe care se bazează protecția și calitatea creditului debitorului nu trebuie să fie prea mare.</w:t>
            </w:r>
          </w:p>
        </w:tc>
        <w:tc>
          <w:tcPr>
            <w:tcW w:w="562" w:type="pct"/>
          </w:tcPr>
          <w:p w14:paraId="482EBC0F"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3F1765F" w14:textId="5FA3EE6C"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269F2FB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2111050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(5) În cazul protecției nefinanțate a creditului, un furnizor de protecție se califică drept furnizor de protecție eligibil numai dacă acesta este inclus în lista furnizorilor de protecție eligibili prevăzuți la articolul 201 sau 202, după caz.</w:t>
            </w:r>
          </w:p>
        </w:tc>
        <w:tc>
          <w:tcPr>
            <w:tcW w:w="1636" w:type="pct"/>
            <w:shd w:val="clear" w:color="auto" w:fill="auto"/>
          </w:tcPr>
          <w:p w14:paraId="24FB7447"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0956F5">
              <w:rPr>
                <w:rFonts w:ascii="Times New Roman" w:hAnsi="Times New Roman"/>
                <w:b/>
                <w:bCs/>
                <w:sz w:val="20"/>
                <w:szCs w:val="20"/>
                <w:lang w:val="ro-RO" w:eastAsia="ru-RU"/>
              </w:rPr>
              <w:t>16.</w:t>
            </w:r>
            <w:r w:rsidRPr="002C32BA">
              <w:rPr>
                <w:rFonts w:ascii="Times New Roman" w:hAnsi="Times New Roman"/>
                <w:sz w:val="20"/>
                <w:szCs w:val="20"/>
                <w:lang w:val="ro-RO" w:eastAsia="ru-RU"/>
              </w:rPr>
              <w:t xml:space="preserve"> În cazul protecției nefinanțate a creditului, un furnizor de protecție se califică drept furnizor de protecție eligibil numai dacă acesta este inclus în lista furnizorilor de protecție eligibili prevăzuți la punctul 36.</w:t>
            </w:r>
          </w:p>
        </w:tc>
        <w:tc>
          <w:tcPr>
            <w:tcW w:w="562" w:type="pct"/>
          </w:tcPr>
          <w:p w14:paraId="5DA8963E"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798A92F" w14:textId="3EC2DBA7" w:rsidR="00D62F3C" w:rsidRPr="002C32BA" w:rsidRDefault="00D62F3C" w:rsidP="00D62F3C">
            <w:pPr>
              <w:jc w:val="both"/>
              <w:rPr>
                <w:rFonts w:ascii="Times New Roman" w:hAnsi="Times New Roman" w:cs="Times New Roman"/>
                <w:sz w:val="20"/>
                <w:szCs w:val="20"/>
                <w:lang w:val="ro-RO"/>
              </w:rPr>
            </w:pPr>
            <w:r w:rsidRPr="003942C8">
              <w:rPr>
                <w:rFonts w:ascii="Times New Roman" w:hAnsi="Times New Roman" w:cs="Times New Roman"/>
                <w:sz w:val="20"/>
                <w:szCs w:val="20"/>
                <w:lang w:val="ro-RO"/>
              </w:rPr>
              <w:t>Regulamentul nr.112/2018</w:t>
            </w:r>
          </w:p>
        </w:tc>
      </w:tr>
      <w:tr w:rsidR="00D62F3C" w:rsidRPr="002C32BA" w14:paraId="11049D6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43F554F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(6) În cazul protecției nefinanțate a creditului, un contract de protecție se califică drept contract de protecție eligibil numai dacă îndeplinește cumulativ următoarele condiții:</w:t>
            </w:r>
          </w:p>
          <w:p w14:paraId="35C891D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este inclus în lista contractelor de protecție eligibile prevăzute la articolul 203 și la articolul 204 alineatul (1);</w:t>
            </w:r>
          </w:p>
          <w:p w14:paraId="51765996" w14:textId="112F5D34" w:rsidR="00D62F3C" w:rsidRPr="002C32BA" w:rsidRDefault="00D62F3C" w:rsidP="000956F5">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4457C16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0956F5">
              <w:rPr>
                <w:rFonts w:ascii="Times New Roman" w:hAnsi="Times New Roman"/>
                <w:b/>
                <w:bCs/>
                <w:sz w:val="20"/>
                <w:szCs w:val="20"/>
                <w:lang w:val="ro-RO" w:eastAsia="ru-RU"/>
              </w:rPr>
              <w:t>17.</w:t>
            </w:r>
            <w:r w:rsidRPr="002C32BA">
              <w:rPr>
                <w:rFonts w:ascii="Times New Roman" w:hAnsi="Times New Roman"/>
                <w:sz w:val="20"/>
                <w:szCs w:val="20"/>
                <w:lang w:val="ro-RO" w:eastAsia="ru-RU"/>
              </w:rPr>
              <w:t xml:space="preserve"> În cazul protecției nefinanțate a creditului, un contract de protecție se califică drept contract de protecție eligibil numai dacă îndeplinește cumulativ următoarele condiții: </w:t>
            </w:r>
          </w:p>
          <w:p w14:paraId="75A2AA0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contractul corespunde cerințelor de protecție eligibile prevăzute la punctele 37 și 38; </w:t>
            </w:r>
          </w:p>
          <w:p w14:paraId="7C620883" w14:textId="6FFF44FB" w:rsidR="00D62F3C" w:rsidRPr="000956F5" w:rsidRDefault="00D62F3C" w:rsidP="00D62F3C">
            <w:pPr>
              <w:pStyle w:val="CM4"/>
              <w:tabs>
                <w:tab w:val="left" w:pos="150"/>
              </w:tabs>
              <w:ind w:left="-36"/>
              <w:rPr>
                <w:rFonts w:ascii="Times New Roman" w:hAnsi="Times New Roman"/>
                <w:sz w:val="20"/>
                <w:szCs w:val="20"/>
                <w:lang w:eastAsia="ru-RU"/>
              </w:rPr>
            </w:pPr>
          </w:p>
          <w:p w14:paraId="57ED837F" w14:textId="77777777" w:rsidR="000956F5" w:rsidRPr="000956F5" w:rsidRDefault="000956F5" w:rsidP="000956F5">
            <w:pPr>
              <w:pStyle w:val="CM4"/>
              <w:tabs>
                <w:tab w:val="left" w:pos="150"/>
              </w:tabs>
              <w:ind w:left="-36"/>
              <w:rPr>
                <w:lang w:val="ro-RO" w:eastAsia="ru-RU"/>
              </w:rPr>
            </w:pPr>
          </w:p>
        </w:tc>
        <w:tc>
          <w:tcPr>
            <w:tcW w:w="562" w:type="pct"/>
          </w:tcPr>
          <w:p w14:paraId="4DDA8D5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46DBD51" w14:textId="58D12803" w:rsidR="00D62F3C" w:rsidRPr="002C32BA" w:rsidRDefault="00D62F3C" w:rsidP="00D62F3C">
            <w:pPr>
              <w:jc w:val="both"/>
              <w:rPr>
                <w:rFonts w:ascii="Times New Roman" w:hAnsi="Times New Roman" w:cs="Times New Roman"/>
                <w:sz w:val="20"/>
                <w:szCs w:val="20"/>
                <w:lang w:val="ro-RO"/>
              </w:rPr>
            </w:pPr>
            <w:r w:rsidRPr="003942C8">
              <w:rPr>
                <w:rFonts w:ascii="Times New Roman" w:hAnsi="Times New Roman" w:cs="Times New Roman"/>
                <w:sz w:val="20"/>
                <w:szCs w:val="20"/>
                <w:lang w:val="ro-RO"/>
              </w:rPr>
              <w:t>Regulamentul nr.112/2018</w:t>
            </w:r>
          </w:p>
        </w:tc>
      </w:tr>
      <w:tr w:rsidR="000956F5" w:rsidRPr="002C32BA" w14:paraId="108EA35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2E9D9BF7" w14:textId="77777777" w:rsidR="000956F5" w:rsidRPr="002C32BA" w:rsidRDefault="000956F5" w:rsidP="000956F5">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este eficace și are caracter executoriu din punct de vedere juridic în jurisdicțiile relevante, astfel încât să asigure un nivel adecvat de certitudine în ceea ce privește protecția creditului realizată, având în vedere abordarea utilizată pentru a calcula cuantumurile ponderate la risc ale expunerilor și gradul de recunoaștere permis.</w:t>
            </w:r>
          </w:p>
          <w:p w14:paraId="13FDA1D8" w14:textId="77777777" w:rsidR="000956F5" w:rsidRPr="002C32BA" w:rsidRDefault="000956F5" w:rsidP="000956F5">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09F27ADF" w14:textId="77777777" w:rsidR="000956F5" w:rsidRDefault="000956F5" w:rsidP="000956F5">
            <w:pPr>
              <w:rPr>
                <w:rFonts w:ascii="Times New Roman" w:hAnsi="Times New Roman" w:cs="Times New Roman"/>
                <w:i/>
                <w:iCs/>
                <w:color w:val="000000" w:themeColor="text1"/>
                <w:sz w:val="20"/>
                <w:szCs w:val="20"/>
              </w:rPr>
            </w:pPr>
            <w:r w:rsidRPr="002C32BA">
              <w:rPr>
                <w:rFonts w:ascii="Times New Roman" w:hAnsi="Times New Roman"/>
                <w:sz w:val="20"/>
                <w:szCs w:val="20"/>
                <w:lang w:val="ro-RO" w:eastAsia="ru-RU"/>
              </w:rPr>
              <w:t xml:space="preserve">2) </w:t>
            </w:r>
            <w:r w:rsidRPr="00E8164A">
              <w:rPr>
                <w:rFonts w:ascii="Times New Roman" w:eastAsia="Times New Roman" w:hAnsi="Times New Roman" w:cs="Times New Roman"/>
                <w:color w:val="000000" w:themeColor="text1"/>
                <w:sz w:val="20"/>
                <w:szCs w:val="20"/>
                <w:lang w:val="ro-RO" w:eastAsia="ro-MD"/>
              </w:rPr>
              <w:t xml:space="preserve">contractul este eficace din punct de vedere juridic și poate fi pus în aplicare/executare în jurisdicțiile relevante, astfel încât să asigure un nivel adecvat de certitudine în ceea ce privește protecția creditului realizată, având în vedere abordarea utilizată pentru a calcula valorile </w:t>
            </w:r>
            <w:r w:rsidRPr="00E8164A">
              <w:rPr>
                <w:rFonts w:ascii="Times New Roman" w:eastAsia="Times New Roman" w:hAnsi="Times New Roman" w:cs="Times New Roman"/>
                <w:color w:val="000000" w:themeColor="text1"/>
                <w:sz w:val="20"/>
                <w:szCs w:val="20"/>
                <w:lang w:val="ro-RO" w:eastAsia="ro-MD"/>
              </w:rPr>
              <w:lastRenderedPageBreak/>
              <w:t>ponderate la risc ale expunerilor și gradul de recunoaștere permis</w:t>
            </w:r>
            <w:r w:rsidRPr="002C32BA">
              <w:rPr>
                <w:rFonts w:ascii="Times New Roman" w:hAnsi="Times New Roman"/>
                <w:sz w:val="20"/>
                <w:szCs w:val="20"/>
                <w:lang w:val="ro-RO" w:eastAsia="ru-RU"/>
              </w:rPr>
              <w:t>;</w:t>
            </w:r>
            <w:r>
              <w:rPr>
                <w:rFonts w:ascii="Times New Roman" w:hAnsi="Times New Roman" w:cs="Times New Roman"/>
                <w:i/>
                <w:iCs/>
                <w:color w:val="000000" w:themeColor="text1"/>
                <w:sz w:val="20"/>
                <w:szCs w:val="20"/>
              </w:rPr>
              <w:t xml:space="preserve"> </w:t>
            </w:r>
          </w:p>
          <w:p w14:paraId="04369F95" w14:textId="5234EE4E" w:rsidR="000956F5" w:rsidRPr="000956F5" w:rsidRDefault="000956F5" w:rsidP="000956F5">
            <w:pPr>
              <w:rPr>
                <w:rFonts w:ascii="Times New Roman" w:hAnsi="Times New Roman"/>
                <w:b/>
                <w:bCs/>
                <w:sz w:val="20"/>
                <w:szCs w:val="20"/>
                <w:lang w:val="ro-RO" w:eastAsia="ru-RU"/>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3E94CEE0" w14:textId="011977EE" w:rsidR="000956F5" w:rsidRPr="002C32BA" w:rsidRDefault="000956F5" w:rsidP="000956F5">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6DD1469B" w14:textId="7DDAF5D9" w:rsidR="000956F5" w:rsidRPr="003942C8" w:rsidRDefault="000956F5" w:rsidP="000956F5">
            <w:pPr>
              <w:jc w:val="both"/>
              <w:rPr>
                <w:rFonts w:ascii="Times New Roman" w:hAnsi="Times New Roman" w:cs="Times New Roman"/>
                <w:sz w:val="20"/>
                <w:szCs w:val="20"/>
                <w:lang w:val="ro-RO"/>
              </w:rPr>
            </w:pPr>
            <w:r w:rsidRPr="00266FAE">
              <w:rPr>
                <w:rFonts w:ascii="Times New Roman" w:hAnsi="Times New Roman" w:cs="Times New Roman"/>
                <w:sz w:val="20"/>
                <w:szCs w:val="20"/>
                <w:lang w:val="ro-RO"/>
              </w:rPr>
              <w:t>Regulamentul nr.112/2018</w:t>
            </w:r>
          </w:p>
        </w:tc>
      </w:tr>
      <w:tr w:rsidR="000956F5" w:rsidRPr="002C32BA" w14:paraId="4FA632C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6F3D37DC" w14:textId="6117602A" w:rsidR="000956F5" w:rsidRPr="002C32BA" w:rsidRDefault="000956F5" w:rsidP="000956F5">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furnizorul de protecție îndeplinește criteriile prevăzute la alineatul (5).</w:t>
            </w:r>
          </w:p>
        </w:tc>
        <w:tc>
          <w:tcPr>
            <w:tcW w:w="1636" w:type="pct"/>
            <w:shd w:val="clear" w:color="auto" w:fill="auto"/>
          </w:tcPr>
          <w:p w14:paraId="1A94D4B5" w14:textId="7F999395" w:rsidR="000956F5" w:rsidRPr="000956F5" w:rsidRDefault="000956F5" w:rsidP="000956F5">
            <w:pPr>
              <w:pStyle w:val="CM4"/>
              <w:tabs>
                <w:tab w:val="left" w:pos="150"/>
              </w:tabs>
              <w:ind w:left="-36"/>
              <w:rPr>
                <w:rFonts w:ascii="Times New Roman" w:hAnsi="Times New Roman"/>
                <w:b/>
                <w:bCs/>
                <w:sz w:val="20"/>
                <w:szCs w:val="20"/>
                <w:lang w:val="ro-RO" w:eastAsia="ru-RU"/>
              </w:rPr>
            </w:pPr>
            <w:r w:rsidRPr="002C32BA">
              <w:rPr>
                <w:rFonts w:ascii="Times New Roman" w:hAnsi="Times New Roman"/>
                <w:sz w:val="20"/>
                <w:szCs w:val="20"/>
                <w:lang w:val="ro-RO" w:eastAsia="ru-RU"/>
              </w:rPr>
              <w:t>3) furnizorul de protecție este inclus în lista furnizorilor de protecție eligibili.</w:t>
            </w:r>
          </w:p>
        </w:tc>
        <w:tc>
          <w:tcPr>
            <w:tcW w:w="562" w:type="pct"/>
          </w:tcPr>
          <w:p w14:paraId="5AB0D8E0" w14:textId="491AA347" w:rsidR="000956F5" w:rsidRPr="002C32BA" w:rsidRDefault="000956F5" w:rsidP="000956F5">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D7D0143" w14:textId="5416892E" w:rsidR="000956F5" w:rsidRPr="003942C8" w:rsidRDefault="000956F5" w:rsidP="000956F5">
            <w:pPr>
              <w:jc w:val="both"/>
              <w:rPr>
                <w:rFonts w:ascii="Times New Roman" w:hAnsi="Times New Roman" w:cs="Times New Roman"/>
                <w:sz w:val="20"/>
                <w:szCs w:val="20"/>
                <w:lang w:val="ro-RO"/>
              </w:rPr>
            </w:pPr>
            <w:r w:rsidRPr="00266FAE">
              <w:rPr>
                <w:rFonts w:ascii="Times New Roman" w:hAnsi="Times New Roman" w:cs="Times New Roman"/>
                <w:sz w:val="20"/>
                <w:szCs w:val="20"/>
                <w:lang w:val="ro-RO"/>
              </w:rPr>
              <w:t>Regulamentul nr.112/2018</w:t>
            </w:r>
          </w:p>
        </w:tc>
      </w:tr>
      <w:tr w:rsidR="00D62F3C" w:rsidRPr="002C32BA" w14:paraId="5E1F64E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79181FA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(7) Protecția creditului respectă cerințele prevăzute în secțiunea 3, după caz.</w:t>
            </w:r>
          </w:p>
        </w:tc>
        <w:tc>
          <w:tcPr>
            <w:tcW w:w="1636" w:type="pct"/>
            <w:shd w:val="clear" w:color="auto" w:fill="auto"/>
          </w:tcPr>
          <w:p w14:paraId="2D827D2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0956F5">
              <w:rPr>
                <w:rFonts w:ascii="Times New Roman" w:hAnsi="Times New Roman"/>
                <w:b/>
                <w:bCs/>
                <w:sz w:val="20"/>
                <w:szCs w:val="20"/>
                <w:lang w:val="ro-RO" w:eastAsia="ru-RU"/>
              </w:rPr>
              <w:t>18.</w:t>
            </w:r>
            <w:r w:rsidRPr="002C32BA">
              <w:rPr>
                <w:rFonts w:ascii="Times New Roman" w:hAnsi="Times New Roman"/>
                <w:sz w:val="20"/>
                <w:szCs w:val="20"/>
                <w:lang w:val="ro-RO" w:eastAsia="ru-RU"/>
              </w:rPr>
              <w:t xml:space="preserve"> Protecția creditului trebuie să respecte cerințele prevăzute în Titlul III, după caz.</w:t>
            </w:r>
          </w:p>
        </w:tc>
        <w:tc>
          <w:tcPr>
            <w:tcW w:w="562" w:type="pct"/>
          </w:tcPr>
          <w:p w14:paraId="0208A315"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065028B" w14:textId="6AF8E57C" w:rsidR="00D62F3C" w:rsidRPr="002C32BA" w:rsidRDefault="00D62F3C" w:rsidP="00D62F3C">
            <w:pPr>
              <w:jc w:val="both"/>
              <w:rPr>
                <w:rFonts w:ascii="Times New Roman" w:hAnsi="Times New Roman" w:cs="Times New Roman"/>
                <w:sz w:val="20"/>
                <w:szCs w:val="20"/>
                <w:lang w:val="ro-RO"/>
              </w:rPr>
            </w:pPr>
            <w:r w:rsidRPr="003942C8">
              <w:rPr>
                <w:rFonts w:ascii="Times New Roman" w:hAnsi="Times New Roman" w:cs="Times New Roman"/>
                <w:sz w:val="20"/>
                <w:szCs w:val="20"/>
                <w:lang w:val="ro-RO"/>
              </w:rPr>
              <w:t>Regulamentul nr.112/2018</w:t>
            </w:r>
          </w:p>
        </w:tc>
      </w:tr>
      <w:tr w:rsidR="00D62F3C" w:rsidRPr="002C32BA" w14:paraId="1E91C8F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756E59D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(8) O instituție trebuie să poată demonstra autorităților competente că dispune de procese adecvate de gestionare a riscurilor pentru a controla riscurile la care poate fi expusă în urma aplicării practicilor de diminuare a riscului de credit.</w:t>
            </w:r>
          </w:p>
        </w:tc>
        <w:tc>
          <w:tcPr>
            <w:tcW w:w="1636" w:type="pct"/>
            <w:shd w:val="clear" w:color="auto" w:fill="auto"/>
          </w:tcPr>
          <w:p w14:paraId="5D2B7A57" w14:textId="77777777" w:rsidR="00D62F3C" w:rsidRDefault="00D62F3C" w:rsidP="00D62F3C">
            <w:pPr>
              <w:pStyle w:val="CM4"/>
              <w:tabs>
                <w:tab w:val="left" w:pos="150"/>
              </w:tabs>
              <w:ind w:left="-36"/>
              <w:rPr>
                <w:rFonts w:ascii="Times New Roman" w:hAnsi="Times New Roman"/>
                <w:color w:val="000000" w:themeColor="text1"/>
                <w:sz w:val="20"/>
                <w:szCs w:val="20"/>
                <w:lang w:val="ro-RO" w:eastAsia="ro-MD"/>
              </w:rPr>
            </w:pPr>
            <w:r w:rsidRPr="000956F5">
              <w:rPr>
                <w:rFonts w:ascii="Times New Roman" w:hAnsi="Times New Roman"/>
                <w:b/>
                <w:bCs/>
                <w:sz w:val="20"/>
                <w:szCs w:val="20"/>
                <w:lang w:val="ro-RO" w:eastAsia="ru-RU"/>
              </w:rPr>
              <w:t>19.</w:t>
            </w:r>
            <w:r w:rsidRPr="002C32BA">
              <w:rPr>
                <w:rFonts w:ascii="Times New Roman" w:hAnsi="Times New Roman"/>
                <w:sz w:val="20"/>
                <w:szCs w:val="20"/>
                <w:lang w:val="ro-RO" w:eastAsia="ru-RU"/>
              </w:rPr>
              <w:t xml:space="preserve"> </w:t>
            </w:r>
            <w:bookmarkStart w:id="14" w:name="_Hlk215657204"/>
            <w:r w:rsidR="00D81A32" w:rsidRPr="00E8164A">
              <w:rPr>
                <w:rFonts w:ascii="Times New Roman" w:hAnsi="Times New Roman"/>
                <w:color w:val="000000" w:themeColor="text1"/>
                <w:sz w:val="20"/>
                <w:szCs w:val="20"/>
                <w:lang w:val="ro-RO" w:eastAsia="ro-MD"/>
              </w:rPr>
              <w:t xml:space="preserve">Banca trebuie să </w:t>
            </w:r>
            <w:bookmarkStart w:id="15" w:name="_Hlk215657228"/>
            <w:bookmarkEnd w:id="14"/>
            <w:r w:rsidR="00D81A32" w:rsidRPr="00E8164A">
              <w:rPr>
                <w:rFonts w:ascii="Times New Roman" w:hAnsi="Times New Roman"/>
                <w:color w:val="000000" w:themeColor="text1"/>
                <w:sz w:val="20"/>
                <w:szCs w:val="20"/>
                <w:lang w:val="ro-RO" w:eastAsia="ro-MD"/>
              </w:rPr>
              <w:t xml:space="preserve">poată demonstra Băncii Naționale a Moldovei că </w:t>
            </w:r>
            <w:bookmarkEnd w:id="15"/>
            <w:r w:rsidR="00D81A32" w:rsidRPr="00E8164A">
              <w:rPr>
                <w:rFonts w:ascii="Times New Roman" w:hAnsi="Times New Roman"/>
                <w:color w:val="000000" w:themeColor="text1"/>
                <w:sz w:val="20"/>
                <w:szCs w:val="20"/>
                <w:lang w:val="ro-RO" w:eastAsia="ro-MD"/>
              </w:rPr>
              <w:t>dispune de procese adecvate de gestionare a riscurilor pentru a controla acele riscuri la care poate fi expusă în urma aplicării practicilor de diminuare a riscului de credit</w:t>
            </w:r>
            <w:r w:rsidR="00D81A32">
              <w:rPr>
                <w:rFonts w:ascii="Times New Roman" w:hAnsi="Times New Roman"/>
                <w:color w:val="000000" w:themeColor="text1"/>
                <w:sz w:val="20"/>
                <w:szCs w:val="20"/>
                <w:lang w:val="ro-RO" w:eastAsia="ro-MD"/>
              </w:rPr>
              <w:t>.</w:t>
            </w:r>
          </w:p>
          <w:p w14:paraId="257A67BA" w14:textId="4B6211A1" w:rsidR="00D81A32" w:rsidRPr="00D81A32" w:rsidRDefault="00D81A32" w:rsidP="00D81A32">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63EA0889"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45651ED" w14:textId="6988C38D" w:rsidR="00D62F3C" w:rsidRPr="002C32BA" w:rsidRDefault="00D62F3C" w:rsidP="00D62F3C">
            <w:pPr>
              <w:jc w:val="both"/>
              <w:rPr>
                <w:rFonts w:ascii="Times New Roman" w:hAnsi="Times New Roman" w:cs="Times New Roman"/>
                <w:sz w:val="20"/>
                <w:szCs w:val="20"/>
                <w:lang w:val="ro-RO"/>
              </w:rPr>
            </w:pPr>
            <w:r w:rsidRPr="003942C8">
              <w:rPr>
                <w:rFonts w:ascii="Times New Roman" w:hAnsi="Times New Roman" w:cs="Times New Roman"/>
                <w:sz w:val="20"/>
                <w:szCs w:val="20"/>
                <w:lang w:val="ro-RO"/>
              </w:rPr>
              <w:t>Regulamentul nr.112/2018</w:t>
            </w:r>
          </w:p>
        </w:tc>
      </w:tr>
      <w:tr w:rsidR="00D62F3C" w:rsidRPr="002C32BA" w14:paraId="401A49A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59D86E3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(9) În pofida aplicării faptului că diminuarea riscului de credit a fost luată în considerare la calculul cuantumurilor ponderate la risc ale expunerilor și, după caz, al cuantumurilor pierderilor așteptate, instituțiile trebuie să continue să efectueze o evaluare completă a riscului de credit în ceea ce privește expunerea-suport și trebuie să poată demonstra autorităților competente îndeplinirea acestei cerințe. În cazul tranzacțiilor de răscumpărare și al operațiunilor de dare sau luare de titluri ori mărfuri cu împrumut, se consideră, numai în scopul prezentului alineat, că expunerea-suport reprezintă cuantumul net al expunerii.</w:t>
            </w:r>
          </w:p>
        </w:tc>
        <w:tc>
          <w:tcPr>
            <w:tcW w:w="1636" w:type="pct"/>
            <w:shd w:val="clear" w:color="auto" w:fill="auto"/>
          </w:tcPr>
          <w:p w14:paraId="2C305A82" w14:textId="77777777" w:rsidR="00D62F3C" w:rsidRDefault="00D62F3C" w:rsidP="00D62F3C">
            <w:pPr>
              <w:pStyle w:val="CM4"/>
              <w:tabs>
                <w:tab w:val="left" w:pos="150"/>
              </w:tabs>
              <w:ind w:left="-36"/>
              <w:rPr>
                <w:rFonts w:ascii="Times New Roman" w:hAnsi="Times New Roman"/>
                <w:sz w:val="20"/>
                <w:szCs w:val="20"/>
                <w:lang w:val="ro-RO" w:eastAsia="ru-RU"/>
              </w:rPr>
            </w:pPr>
            <w:r w:rsidRPr="000956F5">
              <w:rPr>
                <w:rFonts w:ascii="Times New Roman" w:hAnsi="Times New Roman"/>
                <w:b/>
                <w:bCs/>
                <w:sz w:val="20"/>
                <w:szCs w:val="20"/>
                <w:lang w:val="ro-RO" w:eastAsia="ru-RU"/>
              </w:rPr>
              <w:t>20.</w:t>
            </w:r>
            <w:r w:rsidRPr="002C32BA">
              <w:rPr>
                <w:rFonts w:ascii="Times New Roman" w:hAnsi="Times New Roman"/>
                <w:sz w:val="20"/>
                <w:szCs w:val="20"/>
                <w:lang w:val="ro-RO" w:eastAsia="ru-RU"/>
              </w:rPr>
              <w:t xml:space="preserve"> </w:t>
            </w:r>
            <w:r w:rsidR="00D81A32" w:rsidRPr="00E8164A">
              <w:rPr>
                <w:rFonts w:ascii="Times New Roman" w:hAnsi="Times New Roman"/>
                <w:color w:val="000000" w:themeColor="text1"/>
                <w:sz w:val="20"/>
                <w:szCs w:val="20"/>
                <w:lang w:val="ro-RO" w:eastAsia="ro-MD"/>
              </w:rPr>
              <w:t xml:space="preserve">În pofida faptului că diminuarea riscului de credit a fost luată în considerare în scopul </w:t>
            </w:r>
            <w:bookmarkStart w:id="16" w:name="_Hlk215657803"/>
            <w:r w:rsidR="00D81A32" w:rsidRPr="00E8164A">
              <w:rPr>
                <w:rFonts w:ascii="Times New Roman" w:hAnsi="Times New Roman"/>
                <w:color w:val="000000" w:themeColor="text1"/>
                <w:sz w:val="20"/>
                <w:szCs w:val="20"/>
                <w:lang w:val="ro-RO" w:eastAsia="ro-MD"/>
              </w:rPr>
              <w:t>calculării valorilor ponderate la risc ale expunerilor,</w:t>
            </w:r>
            <w:r w:rsidR="00D81A32" w:rsidRPr="00D81A32">
              <w:rPr>
                <w:color w:val="000000" w:themeColor="text1"/>
                <w:sz w:val="20"/>
                <w:szCs w:val="20"/>
                <w:lang w:val="ro-RO"/>
              </w:rPr>
              <w:t xml:space="preserve"> </w:t>
            </w:r>
            <w:bookmarkStart w:id="17" w:name="_Hlk215658128"/>
            <w:bookmarkEnd w:id="16"/>
            <w:r w:rsidR="00D81A32" w:rsidRPr="00E8164A">
              <w:rPr>
                <w:rFonts w:ascii="Times New Roman" w:hAnsi="Times New Roman"/>
                <w:color w:val="000000" w:themeColor="text1"/>
                <w:sz w:val="20"/>
                <w:szCs w:val="20"/>
                <w:lang w:val="ro-RO" w:eastAsia="ro-MD"/>
              </w:rPr>
              <w:t xml:space="preserve">și, după caz, al valorilor pierderilor așteptate, </w:t>
            </w:r>
            <w:bookmarkEnd w:id="17"/>
            <w:r w:rsidR="00D81A32" w:rsidRPr="00E8164A">
              <w:rPr>
                <w:rFonts w:ascii="Times New Roman" w:hAnsi="Times New Roman"/>
                <w:color w:val="000000" w:themeColor="text1"/>
                <w:sz w:val="20"/>
                <w:szCs w:val="20"/>
                <w:lang w:val="ro-RO" w:eastAsia="ro-MD"/>
              </w:rPr>
              <w:t>băncile trebuie să continue să efectueze o evaluare completă a riscului de credit în ceea ce privește expunerea-suport și trebuie să demonstreze Băncii Naționale a Moldovei îndeplinirea acestei cerințe. În cazul tranzacțiilor de răscumpărare și al operațiunilor de dare sau luare de valori mobiliare ori mărfuri cu împrumut, se consideră, numai în scopul prezentului punct, că expunerea-suport reprezintă valoarea netă a expune</w:t>
            </w:r>
            <w:r w:rsidR="00D81A32">
              <w:rPr>
                <w:rFonts w:ascii="Times New Roman" w:hAnsi="Times New Roman"/>
                <w:color w:val="000000" w:themeColor="text1"/>
                <w:sz w:val="20"/>
                <w:szCs w:val="20"/>
                <w:lang w:val="ro-RO" w:eastAsia="ro-MD"/>
              </w:rPr>
              <w:t>rii</w:t>
            </w:r>
            <w:r w:rsidRPr="002C32BA">
              <w:rPr>
                <w:rFonts w:ascii="Times New Roman" w:hAnsi="Times New Roman"/>
                <w:sz w:val="20"/>
                <w:szCs w:val="20"/>
                <w:lang w:val="ro-RO" w:eastAsia="ru-RU"/>
              </w:rPr>
              <w:t>.</w:t>
            </w:r>
          </w:p>
          <w:p w14:paraId="5F095227" w14:textId="38B80421" w:rsidR="00D81A32" w:rsidRPr="00D81A32" w:rsidRDefault="00D81A32" w:rsidP="00D81A32">
            <w:pPr>
              <w:rPr>
                <w:lang w:val="ro-RO" w:eastAsia="ru-RU"/>
              </w:rPr>
            </w:pPr>
            <w:proofErr w:type="spellStart"/>
            <w:r>
              <w:rPr>
                <w:rFonts w:ascii="Times New Roman" w:hAnsi="Times New Roman" w:cs="Times New Roman"/>
                <w:i/>
                <w:iCs/>
                <w:color w:val="000000" w:themeColor="text1"/>
                <w:sz w:val="20"/>
                <w:szCs w:val="20"/>
              </w:rPr>
              <w:lastRenderedPageBreak/>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03A18D05"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67ABAD0A" w14:textId="62F1F1E4" w:rsidR="00D62F3C" w:rsidRPr="002C32BA" w:rsidRDefault="00D62F3C" w:rsidP="00D62F3C">
            <w:pPr>
              <w:jc w:val="both"/>
              <w:rPr>
                <w:rFonts w:ascii="Times New Roman" w:hAnsi="Times New Roman" w:cs="Times New Roman"/>
                <w:sz w:val="20"/>
                <w:szCs w:val="20"/>
                <w:lang w:val="ro-RO"/>
              </w:rPr>
            </w:pPr>
            <w:r w:rsidRPr="003942C8">
              <w:rPr>
                <w:rFonts w:ascii="Times New Roman" w:hAnsi="Times New Roman" w:cs="Times New Roman"/>
                <w:sz w:val="20"/>
                <w:szCs w:val="20"/>
                <w:lang w:val="ro-RO"/>
              </w:rPr>
              <w:t>Regulamentul nr.112/2018</w:t>
            </w:r>
          </w:p>
        </w:tc>
      </w:tr>
      <w:tr w:rsidR="00D62F3C" w:rsidRPr="002C32BA" w14:paraId="111471B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744CFA2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Secțiunea 2 </w:t>
            </w:r>
          </w:p>
          <w:p w14:paraId="48248088" w14:textId="77777777"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b/>
                <w:iCs/>
                <w:sz w:val="20"/>
                <w:szCs w:val="20"/>
                <w:lang w:val="ro-RO" w:eastAsia="ru-RU"/>
              </w:rPr>
              <w:t>Forme eligibile de diminuare a riscului de credit</w:t>
            </w:r>
          </w:p>
          <w:p w14:paraId="3B63B241" w14:textId="77777777" w:rsidR="00D62F3C" w:rsidRPr="002C32BA" w:rsidRDefault="00D62F3C" w:rsidP="00D62F3C">
            <w:pPr>
              <w:pStyle w:val="CM4"/>
              <w:tabs>
                <w:tab w:val="left" w:pos="150"/>
              </w:tabs>
              <w:jc w:val="both"/>
              <w:rPr>
                <w:rFonts w:ascii="Times New Roman" w:hAnsi="Times New Roman"/>
                <w:iCs/>
                <w:sz w:val="20"/>
                <w:szCs w:val="20"/>
                <w:lang w:val="ro-RO" w:eastAsia="ru-RU"/>
              </w:rPr>
            </w:pPr>
          </w:p>
        </w:tc>
        <w:tc>
          <w:tcPr>
            <w:tcW w:w="1636" w:type="pct"/>
            <w:shd w:val="clear" w:color="auto" w:fill="auto"/>
          </w:tcPr>
          <w:p w14:paraId="7ABA4113"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565F7175" w14:textId="77777777" w:rsidR="00D62F3C" w:rsidRPr="002C32BA" w:rsidRDefault="00D62F3C" w:rsidP="00D62F3C">
            <w:pPr>
              <w:rPr>
                <w:rFonts w:ascii="Times New Roman" w:hAnsi="Times New Roman" w:cs="Times New Roman"/>
                <w:sz w:val="20"/>
                <w:szCs w:val="20"/>
                <w:lang w:val="ro-RO"/>
              </w:rPr>
            </w:pPr>
          </w:p>
        </w:tc>
        <w:tc>
          <w:tcPr>
            <w:tcW w:w="885" w:type="pct"/>
          </w:tcPr>
          <w:p w14:paraId="26908393"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1C65682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585B9F7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Subsecțiunea 1 </w:t>
            </w:r>
          </w:p>
          <w:p w14:paraId="4E00BF11" w14:textId="77777777"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b/>
                <w:iCs/>
                <w:sz w:val="20"/>
                <w:szCs w:val="20"/>
                <w:lang w:val="ro-RO" w:eastAsia="ru-RU"/>
              </w:rPr>
              <w:t>Protecția finanțată a creditului</w:t>
            </w:r>
          </w:p>
          <w:p w14:paraId="0DAEC32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04823A37"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1300118C" w14:textId="77777777" w:rsidR="00D62F3C" w:rsidRPr="002C32BA" w:rsidRDefault="00D62F3C" w:rsidP="00D62F3C">
            <w:pPr>
              <w:rPr>
                <w:rFonts w:ascii="Times New Roman" w:hAnsi="Times New Roman" w:cs="Times New Roman"/>
                <w:sz w:val="20"/>
                <w:szCs w:val="20"/>
                <w:lang w:val="ro-RO"/>
              </w:rPr>
            </w:pPr>
          </w:p>
        </w:tc>
        <w:tc>
          <w:tcPr>
            <w:tcW w:w="885" w:type="pct"/>
          </w:tcPr>
          <w:p w14:paraId="04ADD8DE"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7C1DA4D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795A9B0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195</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Compensarea bilanțieră</w:t>
            </w:r>
          </w:p>
          <w:p w14:paraId="23F95D9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Compensarea bilanțieră a creanțelor reciproce între o instituție și </w:t>
            </w:r>
            <w:proofErr w:type="spellStart"/>
            <w:r w:rsidRPr="002C32BA">
              <w:rPr>
                <w:rFonts w:ascii="Times New Roman" w:hAnsi="Times New Roman"/>
                <w:iCs/>
                <w:sz w:val="20"/>
                <w:szCs w:val="20"/>
                <w:lang w:val="ro-RO" w:eastAsia="ru-RU"/>
              </w:rPr>
              <w:t>contrapartea</w:t>
            </w:r>
            <w:proofErr w:type="spellEnd"/>
            <w:r w:rsidRPr="002C32BA">
              <w:rPr>
                <w:rFonts w:ascii="Times New Roman" w:hAnsi="Times New Roman"/>
                <w:iCs/>
                <w:sz w:val="20"/>
                <w:szCs w:val="20"/>
                <w:lang w:val="ro-RO" w:eastAsia="ru-RU"/>
              </w:rPr>
              <w:t xml:space="preserve"> sa poate fi utilizată de către instituție ca formă eligibilă de diminuare a riscului de credit.</w:t>
            </w:r>
          </w:p>
          <w:p w14:paraId="308836CF" w14:textId="77777777" w:rsidR="00D62F3C" w:rsidRPr="002C32BA" w:rsidRDefault="00D62F3C" w:rsidP="00D62F3C">
            <w:pPr>
              <w:rPr>
                <w:rFonts w:ascii="Times New Roman" w:hAnsi="Times New Roman" w:cs="Times New Roman"/>
                <w:sz w:val="20"/>
                <w:szCs w:val="20"/>
                <w:lang w:val="ro-RO"/>
              </w:rPr>
            </w:pPr>
          </w:p>
          <w:p w14:paraId="74AB6B94" w14:textId="4745C000" w:rsidR="00D62F3C" w:rsidRPr="002C32BA" w:rsidRDefault="00D62F3C" w:rsidP="00D62F3C">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6F4AF86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Titlul </w:t>
            </w:r>
            <w:proofErr w:type="spellStart"/>
            <w:r w:rsidRPr="002C32BA">
              <w:rPr>
                <w:rFonts w:ascii="Times New Roman" w:hAnsi="Times New Roman"/>
                <w:sz w:val="20"/>
                <w:szCs w:val="20"/>
                <w:lang w:val="ro-RO" w:eastAsia="ru-RU"/>
              </w:rPr>
              <w:t>II.Forme</w:t>
            </w:r>
            <w:proofErr w:type="spellEnd"/>
            <w:r w:rsidRPr="002C32BA">
              <w:rPr>
                <w:rFonts w:ascii="Times New Roman" w:hAnsi="Times New Roman"/>
                <w:sz w:val="20"/>
                <w:szCs w:val="20"/>
                <w:lang w:val="ro-RO" w:eastAsia="ru-RU"/>
              </w:rPr>
              <w:t xml:space="preserve"> eligibile de diminuare a riscului de credit</w:t>
            </w:r>
          </w:p>
          <w:p w14:paraId="2A29BB47"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Capitolul III. Protecția finanțată a creditului</w:t>
            </w:r>
          </w:p>
          <w:p w14:paraId="1E025D8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1. Compensarea bilanțieră</w:t>
            </w:r>
          </w:p>
          <w:p w14:paraId="5BC9AEA5"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5866A1CE" w14:textId="09FC5104" w:rsidR="00D62F3C" w:rsidRPr="002C32BA" w:rsidRDefault="00D62F3C" w:rsidP="002A2DCC">
            <w:pPr>
              <w:pStyle w:val="CM4"/>
              <w:tabs>
                <w:tab w:val="left" w:pos="150"/>
              </w:tabs>
              <w:ind w:left="-36"/>
              <w:rPr>
                <w:rFonts w:ascii="Times New Roman" w:hAnsi="Times New Roman"/>
                <w:sz w:val="20"/>
                <w:szCs w:val="20"/>
                <w:lang w:val="ro-RO" w:eastAsia="ru-RU"/>
              </w:rPr>
            </w:pPr>
            <w:r w:rsidRPr="002A2DCC">
              <w:rPr>
                <w:rFonts w:ascii="Times New Roman" w:hAnsi="Times New Roman"/>
                <w:b/>
                <w:bCs/>
                <w:sz w:val="20"/>
                <w:szCs w:val="20"/>
                <w:lang w:val="ro-RO" w:eastAsia="ru-RU"/>
              </w:rPr>
              <w:t>21.</w:t>
            </w:r>
            <w:r w:rsidRPr="002C32BA">
              <w:rPr>
                <w:rFonts w:ascii="Times New Roman" w:hAnsi="Times New Roman"/>
                <w:sz w:val="20"/>
                <w:szCs w:val="20"/>
                <w:lang w:val="ro-RO" w:eastAsia="ru-RU"/>
              </w:rPr>
              <w:t xml:space="preserve"> Compensarea bilanțieră a creanțelor reciproce între o bancă și </w:t>
            </w:r>
            <w:proofErr w:type="spellStart"/>
            <w:r w:rsidRPr="002C32BA">
              <w:rPr>
                <w:rFonts w:ascii="Times New Roman" w:hAnsi="Times New Roman"/>
                <w:sz w:val="20"/>
                <w:szCs w:val="20"/>
                <w:lang w:val="ro-RO" w:eastAsia="ru-RU"/>
              </w:rPr>
              <w:t>contrapartea</w:t>
            </w:r>
            <w:proofErr w:type="spellEnd"/>
            <w:r w:rsidRPr="002C32BA">
              <w:rPr>
                <w:rFonts w:ascii="Times New Roman" w:hAnsi="Times New Roman"/>
                <w:sz w:val="20"/>
                <w:szCs w:val="20"/>
                <w:lang w:val="ro-RO" w:eastAsia="ru-RU"/>
              </w:rPr>
              <w:t xml:space="preserve"> sa poate fi utilizată de către bancă ca formă eligibilă de diminuare a riscului de credit.</w:t>
            </w:r>
          </w:p>
        </w:tc>
        <w:tc>
          <w:tcPr>
            <w:tcW w:w="562" w:type="pct"/>
          </w:tcPr>
          <w:p w14:paraId="745A3C6A"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4CCB3E1" w14:textId="32AC0F17" w:rsidR="00D62F3C" w:rsidRPr="002C32BA" w:rsidRDefault="00D62F3C"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2740E9" w:rsidRPr="002C32BA" w14:paraId="775B9FF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58F08024" w14:textId="59E38F46" w:rsidR="002740E9" w:rsidRPr="002C32BA" w:rsidRDefault="002740E9" w:rsidP="002740E9">
            <w:pPr>
              <w:pStyle w:val="CM4"/>
              <w:tabs>
                <w:tab w:val="left" w:pos="150"/>
              </w:tabs>
              <w:ind w:left="-43"/>
              <w:jc w:val="both"/>
              <w:rPr>
                <w:rFonts w:ascii="Times New Roman" w:hAnsi="Times New Roman"/>
                <w:i/>
                <w:iCs/>
                <w:sz w:val="20"/>
                <w:szCs w:val="20"/>
                <w:lang w:val="ro-RO" w:eastAsia="ru-RU"/>
              </w:rPr>
            </w:pPr>
            <w:r w:rsidRPr="002C32BA">
              <w:rPr>
                <w:rFonts w:ascii="Times New Roman" w:hAnsi="Times New Roman"/>
                <w:iCs/>
                <w:sz w:val="20"/>
                <w:szCs w:val="20"/>
                <w:lang w:val="ro-RO" w:eastAsia="ru-RU"/>
              </w:rPr>
              <w:t xml:space="preserve">Fără a aduce atingere articolului 196, eligibilitatea se limitează la soldurile de numerar reciproce ale instituției și ale </w:t>
            </w:r>
            <w:proofErr w:type="spellStart"/>
            <w:r w:rsidRPr="002C32BA">
              <w:rPr>
                <w:rFonts w:ascii="Times New Roman" w:hAnsi="Times New Roman"/>
                <w:iCs/>
                <w:sz w:val="20"/>
                <w:szCs w:val="20"/>
                <w:lang w:val="ro-RO" w:eastAsia="ru-RU"/>
              </w:rPr>
              <w:t>contrapărții</w:t>
            </w:r>
            <w:proofErr w:type="spellEnd"/>
            <w:r w:rsidRPr="002C32BA">
              <w:rPr>
                <w:rFonts w:ascii="Times New Roman" w:hAnsi="Times New Roman"/>
                <w:iCs/>
                <w:sz w:val="20"/>
                <w:szCs w:val="20"/>
                <w:lang w:val="ro-RO" w:eastAsia="ru-RU"/>
              </w:rPr>
              <w:t>. Instituțiile pot modifica cuantumurile ponderate la risc ale expunerilor și, după caz, cuantumurile pierderilor așteptate numai în cazul creditelor și al depozitelor pe care le-au primit ele însele și care fac obiectul unui acord de compensare bilanțieră.</w:t>
            </w:r>
          </w:p>
        </w:tc>
        <w:tc>
          <w:tcPr>
            <w:tcW w:w="1636" w:type="pct"/>
            <w:shd w:val="clear" w:color="auto" w:fill="auto"/>
          </w:tcPr>
          <w:p w14:paraId="00DA6B65" w14:textId="77777777" w:rsidR="002740E9" w:rsidRDefault="002740E9" w:rsidP="002740E9">
            <w:pPr>
              <w:pStyle w:val="CM4"/>
              <w:tabs>
                <w:tab w:val="left" w:pos="150"/>
              </w:tabs>
              <w:ind w:left="-36"/>
              <w:rPr>
                <w:rFonts w:ascii="Times New Roman" w:hAnsi="Times New Roman"/>
                <w:sz w:val="20"/>
                <w:szCs w:val="20"/>
                <w:lang w:val="ro-RO" w:eastAsia="ru-RU"/>
              </w:rPr>
            </w:pPr>
            <w:r w:rsidRPr="002A2DCC">
              <w:rPr>
                <w:rFonts w:ascii="Times New Roman" w:hAnsi="Times New Roman"/>
                <w:b/>
                <w:bCs/>
                <w:sz w:val="20"/>
                <w:szCs w:val="20"/>
                <w:lang w:val="ro-RO" w:eastAsia="ru-RU"/>
              </w:rPr>
              <w:t>22.</w:t>
            </w:r>
            <w:r w:rsidRPr="002C32BA">
              <w:rPr>
                <w:rFonts w:ascii="Times New Roman" w:hAnsi="Times New Roman"/>
                <w:sz w:val="20"/>
                <w:szCs w:val="20"/>
                <w:lang w:val="ro-RO" w:eastAsia="ru-RU"/>
              </w:rPr>
              <w:t xml:space="preserve"> </w:t>
            </w:r>
            <w:r w:rsidRPr="00E8164A">
              <w:rPr>
                <w:rFonts w:ascii="Times New Roman" w:hAnsi="Times New Roman"/>
                <w:color w:val="000000" w:themeColor="text1"/>
                <w:sz w:val="20"/>
                <w:szCs w:val="20"/>
                <w:lang w:val="ro-RO" w:eastAsia="ro-MD"/>
              </w:rPr>
              <w:t xml:space="preserve">Fără a aduce atingere secțiunii 2 din prezentul capitol, eligibilitatea compensării bilanțiere se limitează la soldurile reciproce de mijloace bănești </w:t>
            </w:r>
            <w:bookmarkStart w:id="18" w:name="_Hlk215661220"/>
            <w:r w:rsidRPr="00E8164A">
              <w:rPr>
                <w:rFonts w:ascii="Times New Roman" w:hAnsi="Times New Roman"/>
                <w:color w:val="000000" w:themeColor="text1"/>
                <w:sz w:val="20"/>
                <w:szCs w:val="20"/>
                <w:lang w:val="ro-RO" w:eastAsia="ro-MD"/>
              </w:rPr>
              <w:t xml:space="preserve">ale băncii și ale </w:t>
            </w:r>
            <w:proofErr w:type="spellStart"/>
            <w:r w:rsidRPr="00E8164A">
              <w:rPr>
                <w:rFonts w:ascii="Times New Roman" w:hAnsi="Times New Roman"/>
                <w:color w:val="000000" w:themeColor="text1"/>
                <w:sz w:val="20"/>
                <w:szCs w:val="20"/>
                <w:lang w:val="ro-RO" w:eastAsia="ro-MD"/>
              </w:rPr>
              <w:t>contrapărții</w:t>
            </w:r>
            <w:proofErr w:type="spellEnd"/>
            <w:r w:rsidRPr="00E8164A">
              <w:rPr>
                <w:rFonts w:ascii="Times New Roman" w:hAnsi="Times New Roman"/>
                <w:color w:val="000000" w:themeColor="text1"/>
                <w:sz w:val="20"/>
                <w:szCs w:val="20"/>
                <w:lang w:val="ro-RO" w:eastAsia="ro-MD"/>
              </w:rPr>
              <w:t>.</w:t>
            </w:r>
            <w:bookmarkEnd w:id="18"/>
            <w:r w:rsidRPr="00E8164A">
              <w:rPr>
                <w:rFonts w:ascii="Times New Roman" w:hAnsi="Times New Roman"/>
                <w:color w:val="000000" w:themeColor="text1"/>
                <w:sz w:val="20"/>
                <w:szCs w:val="20"/>
                <w:lang w:val="ro-RO" w:eastAsia="ro-MD"/>
              </w:rPr>
              <w:t xml:space="preserve"> Băncile pot modifica </w:t>
            </w:r>
            <w:bookmarkStart w:id="19" w:name="_Hlk215661293"/>
            <w:r w:rsidRPr="00E8164A">
              <w:rPr>
                <w:rFonts w:ascii="Times New Roman" w:hAnsi="Times New Roman"/>
                <w:color w:val="000000" w:themeColor="text1"/>
                <w:sz w:val="20"/>
                <w:szCs w:val="20"/>
                <w:lang w:val="ro-RO" w:eastAsia="ro-MD"/>
              </w:rPr>
              <w:t xml:space="preserve">valorile ponderate la risc ale expunerilor </w:t>
            </w:r>
            <w:bookmarkStart w:id="20" w:name="_Hlk215661313"/>
            <w:bookmarkEnd w:id="19"/>
            <w:r w:rsidRPr="00E8164A">
              <w:rPr>
                <w:rFonts w:ascii="Times New Roman" w:hAnsi="Times New Roman"/>
                <w:color w:val="000000" w:themeColor="text1"/>
                <w:sz w:val="20"/>
                <w:szCs w:val="20"/>
                <w:lang w:val="ro-RO" w:eastAsia="ro-MD"/>
              </w:rPr>
              <w:t xml:space="preserve">și, după caz, cuantumurile pierderilor așteptate </w:t>
            </w:r>
            <w:bookmarkEnd w:id="20"/>
            <w:r w:rsidRPr="00E8164A">
              <w:rPr>
                <w:rFonts w:ascii="Times New Roman" w:hAnsi="Times New Roman"/>
                <w:color w:val="000000" w:themeColor="text1"/>
                <w:sz w:val="20"/>
                <w:szCs w:val="20"/>
                <w:lang w:val="ro-RO" w:eastAsia="ro-MD"/>
              </w:rPr>
              <w:t>numai în cazul creditelor și al depozitelor pe care le-au primit ele însele și care fac obiectul unui acord de compensare bilanțieră</w:t>
            </w:r>
            <w:r w:rsidRPr="002C32BA">
              <w:rPr>
                <w:rFonts w:ascii="Times New Roman" w:hAnsi="Times New Roman"/>
                <w:sz w:val="20"/>
                <w:szCs w:val="20"/>
                <w:lang w:val="ro-RO" w:eastAsia="ru-RU"/>
              </w:rPr>
              <w:t>.</w:t>
            </w:r>
          </w:p>
          <w:p w14:paraId="1D70B9AD" w14:textId="748D95AD" w:rsidR="002740E9" w:rsidRPr="002A2DCC" w:rsidRDefault="002740E9" w:rsidP="002740E9">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088FD819" w14:textId="28C8BCA6" w:rsidR="002740E9" w:rsidRPr="002C32BA" w:rsidRDefault="002740E9" w:rsidP="002740E9">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1161FE0B" w14:textId="51FEAFD3" w:rsidR="002740E9" w:rsidRDefault="002740E9" w:rsidP="002740E9">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4F02D24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184AA23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196</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Acorduri-cadru de compensare care acoperă tranzacții de răscumpărare sau operațiuni de dare sau luare de titluri sau mărfuri cu împrumut sau alte operațiuni ajustate la condițiile pieței de capital</w:t>
            </w:r>
          </w:p>
          <w:p w14:paraId="023E734D" w14:textId="77777777" w:rsidR="00D62F3C" w:rsidRPr="002C32BA" w:rsidRDefault="00D62F3C" w:rsidP="00D62F3C">
            <w:pPr>
              <w:rPr>
                <w:rFonts w:ascii="Times New Roman" w:hAnsi="Times New Roman" w:cs="Times New Roman"/>
                <w:sz w:val="20"/>
                <w:szCs w:val="20"/>
                <w:lang w:val="ro-RO"/>
              </w:rPr>
            </w:pPr>
          </w:p>
          <w:p w14:paraId="30D9F77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 xml:space="preserve">Instituțiile care adoptă metoda extinsă a garanțiilor financiare prevăzută la articolul 223 pot lua în considerare efectele contractelor de compensare bilaterală cu o </w:t>
            </w:r>
            <w:proofErr w:type="spellStart"/>
            <w:r w:rsidRPr="002C32BA">
              <w:rPr>
                <w:rFonts w:ascii="Times New Roman" w:hAnsi="Times New Roman"/>
                <w:iCs/>
                <w:sz w:val="20"/>
                <w:szCs w:val="20"/>
                <w:lang w:val="ro-RO" w:eastAsia="ru-RU"/>
              </w:rPr>
              <w:t>contraparte</w:t>
            </w:r>
            <w:proofErr w:type="spellEnd"/>
            <w:r w:rsidRPr="002C32BA">
              <w:rPr>
                <w:rFonts w:ascii="Times New Roman" w:hAnsi="Times New Roman"/>
                <w:iCs/>
                <w:sz w:val="20"/>
                <w:szCs w:val="20"/>
                <w:lang w:val="ro-RO" w:eastAsia="ru-RU"/>
              </w:rPr>
              <w:t>, care acoperă tranzacții de răscumpărare, operațiuni de dare sau luare de titluri sau mărfuri cu împrumut, sau alte operațiuni ajustate la condițiile pieței de capital. Fără a aduce atingere articolului 299, garanțiile reale acceptate și titlurile sau mărfurile luate cu împrumut în cadrul unor astfel de acorduri sau tranzacții trebuie să respecte cerințele de eligibilitate pentru garanții reale prevăzute la articolele 197 și 198.</w:t>
            </w:r>
          </w:p>
        </w:tc>
        <w:tc>
          <w:tcPr>
            <w:tcW w:w="1636" w:type="pct"/>
            <w:shd w:val="clear" w:color="auto" w:fill="auto"/>
          </w:tcPr>
          <w:p w14:paraId="34F837D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Secțiunea a 2-a. Acorduri-cadru de compensare care acoperă tranzacții de răscumpărare sau operațiuni de dare sau luare de valori mobiliare sau mărfuri cu împrumut sau alte operațiuni ajustate la condițiile pieței de capital</w:t>
            </w:r>
          </w:p>
          <w:p w14:paraId="31827A16"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75926F1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3859AE">
              <w:rPr>
                <w:rFonts w:ascii="Times New Roman" w:hAnsi="Times New Roman"/>
                <w:b/>
                <w:bCs/>
                <w:sz w:val="20"/>
                <w:szCs w:val="20"/>
                <w:lang w:val="ro-RO" w:eastAsia="ru-RU"/>
              </w:rPr>
              <w:lastRenderedPageBreak/>
              <w:t>23.</w:t>
            </w:r>
            <w:r w:rsidRPr="002C32BA">
              <w:rPr>
                <w:rFonts w:ascii="Times New Roman" w:hAnsi="Times New Roman"/>
                <w:sz w:val="20"/>
                <w:szCs w:val="20"/>
                <w:lang w:val="ro-RO" w:eastAsia="ru-RU"/>
              </w:rPr>
              <w:t xml:space="preserve"> Băncile care adoptă metoda extinsă a garanțiilor financiare prevăzută la capitolul VIII secțiunea 5 pot lua în considerare efectele contractelor de compensare bilaterală, care acoperă tranzacții de răscumpărare, operațiuni de dare sau luare de valori mobiliare sau mărfuri cu împrumut, sau alte operațiuni ajustate la condițiile pieței de capital cu o </w:t>
            </w:r>
            <w:proofErr w:type="spellStart"/>
            <w:r w:rsidRPr="002C32BA">
              <w:rPr>
                <w:rFonts w:ascii="Times New Roman" w:hAnsi="Times New Roman"/>
                <w:sz w:val="20"/>
                <w:szCs w:val="20"/>
                <w:lang w:val="ro-RO" w:eastAsia="ru-RU"/>
              </w:rPr>
              <w:t>contraparte</w:t>
            </w:r>
            <w:proofErr w:type="spellEnd"/>
            <w:r w:rsidRPr="002C32BA">
              <w:rPr>
                <w:rFonts w:ascii="Times New Roman" w:hAnsi="Times New Roman"/>
                <w:sz w:val="20"/>
                <w:szCs w:val="20"/>
                <w:lang w:val="ro-RO" w:eastAsia="ru-RU"/>
              </w:rPr>
              <w:t>.</w:t>
            </w:r>
          </w:p>
          <w:p w14:paraId="75A46D27" w14:textId="77777777" w:rsidR="00D62F3C" w:rsidRDefault="00D62F3C" w:rsidP="00D62F3C">
            <w:pPr>
              <w:pStyle w:val="CM4"/>
              <w:tabs>
                <w:tab w:val="left" w:pos="150"/>
              </w:tabs>
              <w:ind w:left="-36"/>
              <w:rPr>
                <w:rFonts w:ascii="Times New Roman" w:hAnsi="Times New Roman"/>
                <w:sz w:val="20"/>
                <w:szCs w:val="20"/>
                <w:lang w:val="ro-RO" w:eastAsia="ru-RU"/>
              </w:rPr>
            </w:pPr>
            <w:r w:rsidRPr="003859AE">
              <w:rPr>
                <w:rFonts w:ascii="Times New Roman" w:hAnsi="Times New Roman"/>
                <w:b/>
                <w:bCs/>
                <w:sz w:val="20"/>
                <w:szCs w:val="20"/>
                <w:lang w:val="ro-RO" w:eastAsia="ru-RU"/>
              </w:rPr>
              <w:t>24.</w:t>
            </w:r>
            <w:r w:rsidRPr="002C32BA">
              <w:rPr>
                <w:rFonts w:ascii="Times New Roman" w:hAnsi="Times New Roman"/>
                <w:sz w:val="20"/>
                <w:szCs w:val="20"/>
                <w:lang w:val="ro-RO" w:eastAsia="ru-RU"/>
              </w:rPr>
              <w:t xml:space="preserve"> </w:t>
            </w:r>
            <w:r w:rsidR="009C69B1" w:rsidRPr="009C69B1">
              <w:rPr>
                <w:rFonts w:ascii="Times New Roman" w:hAnsi="Times New Roman"/>
                <w:sz w:val="20"/>
                <w:szCs w:val="20"/>
                <w:lang w:val="ro-RO" w:eastAsia="ru-RU"/>
              </w:rPr>
              <w:t xml:space="preserve">Fără a aduce atingere capitolului aferent elementelor portofoliului de tranzacționare din Regulamentul cu privire la actele normative ale Băncii Naționale a Moldovei aferente tratamentului riscului de credit al </w:t>
            </w:r>
            <w:proofErr w:type="spellStart"/>
            <w:r w:rsidR="009C69B1" w:rsidRPr="009C69B1">
              <w:rPr>
                <w:rFonts w:ascii="Times New Roman" w:hAnsi="Times New Roman"/>
                <w:sz w:val="20"/>
                <w:szCs w:val="20"/>
                <w:lang w:val="ro-RO" w:eastAsia="ru-RU"/>
              </w:rPr>
              <w:t>contrapărții</w:t>
            </w:r>
            <w:proofErr w:type="spellEnd"/>
            <w:r w:rsidR="009C69B1" w:rsidRPr="009C69B1">
              <w:rPr>
                <w:rFonts w:ascii="Times New Roman" w:hAnsi="Times New Roman"/>
                <w:sz w:val="20"/>
                <w:szCs w:val="20"/>
                <w:lang w:val="ro-RO" w:eastAsia="ru-RU"/>
              </w:rPr>
              <w:t xml:space="preserve"> pentru bănci, aprobat prin Hotărârea Comitetului executiv al Băncii Naționale a Moldovei nr.220/2025 (în continuare – Regulamentul nr.220/2025)</w:t>
            </w:r>
            <w:r w:rsidR="009C69B1">
              <w:rPr>
                <w:rFonts w:ascii="Times New Roman" w:hAnsi="Times New Roman"/>
                <w:sz w:val="20"/>
                <w:szCs w:val="20"/>
                <w:lang w:val="ro-RO" w:eastAsia="ru-RU"/>
              </w:rPr>
              <w:t>, g</w:t>
            </w:r>
            <w:r w:rsidRPr="002C32BA">
              <w:rPr>
                <w:rFonts w:ascii="Times New Roman" w:hAnsi="Times New Roman"/>
                <w:sz w:val="20"/>
                <w:szCs w:val="20"/>
                <w:lang w:val="ro-RO" w:eastAsia="ru-RU"/>
              </w:rPr>
              <w:t>aranțiile reale acceptate și valorile mobiliare sau mărfurile luate cu împrumut în cadrul unor astfel de acorduri sau tranzacții stipulate la punctul 23 trebuie să respecte cerințele de eligibilitate pentru garanții reale prevăzute la secțiunile 3 și 4 din prezentul capitol.</w:t>
            </w:r>
          </w:p>
          <w:p w14:paraId="0DBBA72F" w14:textId="2E7DCFAD" w:rsidR="009C69B1" w:rsidRPr="009C69B1" w:rsidRDefault="009C69B1" w:rsidP="009C69B1">
            <w:pPr>
              <w:rPr>
                <w:lang w:val="ro-RO" w:eastAsia="ru-RU"/>
              </w:rPr>
            </w:pPr>
            <w:proofErr w:type="spellStart"/>
            <w:r>
              <w:rPr>
                <w:rFonts w:ascii="Times New Roman" w:hAnsi="Times New Roman" w:cs="Times New Roman"/>
                <w:i/>
                <w:iCs/>
                <w:color w:val="000000" w:themeColor="text1"/>
                <w:sz w:val="20"/>
                <w:szCs w:val="20"/>
              </w:rPr>
              <w:t>Completat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Pr>
                <w:rFonts w:ascii="Times New Roman" w:hAnsi="Times New Roman" w:cs="Times New Roman"/>
                <w:i/>
                <w:iCs/>
                <w:color w:val="000000" w:themeColor="text1"/>
                <w:sz w:val="20"/>
                <w:szCs w:val="20"/>
              </w:rPr>
              <w:t xml:space="preserve">BNM </w:t>
            </w:r>
            <w:proofErr w:type="spellStart"/>
            <w:r>
              <w:rPr>
                <w:rFonts w:ascii="Times New Roman" w:hAnsi="Times New Roman" w:cs="Times New Roman"/>
                <w:i/>
                <w:iCs/>
                <w:color w:val="000000" w:themeColor="text1"/>
                <w:sz w:val="20"/>
                <w:szCs w:val="20"/>
              </w:rPr>
              <w:t>pentru</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Regulamentului</w:t>
            </w:r>
            <w:proofErr w:type="spellEnd"/>
            <w:r>
              <w:rPr>
                <w:rFonts w:ascii="Times New Roman" w:hAnsi="Times New Roman" w:cs="Times New Roman"/>
                <w:i/>
                <w:iCs/>
                <w:color w:val="000000" w:themeColor="text1"/>
                <w:sz w:val="20"/>
                <w:szCs w:val="20"/>
              </w:rPr>
              <w:t xml:space="preserve"> nr.112/2018 cu </w:t>
            </w:r>
            <w:proofErr w:type="spellStart"/>
            <w:r>
              <w:rPr>
                <w:rFonts w:ascii="Times New Roman" w:hAnsi="Times New Roman" w:cs="Times New Roman"/>
                <w:i/>
                <w:iCs/>
                <w:color w:val="000000" w:themeColor="text1"/>
                <w:sz w:val="20"/>
                <w:szCs w:val="20"/>
              </w:rPr>
              <w:t>privire</w:t>
            </w:r>
            <w:proofErr w:type="spellEnd"/>
            <w:r>
              <w:rPr>
                <w:rFonts w:ascii="Times New Roman" w:hAnsi="Times New Roman" w:cs="Times New Roman"/>
                <w:i/>
                <w:iCs/>
                <w:color w:val="000000" w:themeColor="text1"/>
                <w:sz w:val="20"/>
                <w:szCs w:val="20"/>
              </w:rPr>
              <w:t xml:space="preserve"> la </w:t>
            </w:r>
            <w:proofErr w:type="spellStart"/>
            <w:r>
              <w:rPr>
                <w:rFonts w:ascii="Times New Roman" w:hAnsi="Times New Roman" w:cs="Times New Roman"/>
                <w:i/>
                <w:iCs/>
                <w:color w:val="000000" w:themeColor="text1"/>
                <w:sz w:val="20"/>
                <w:szCs w:val="20"/>
              </w:rPr>
              <w:t>tehnicile</w:t>
            </w:r>
            <w:proofErr w:type="spellEnd"/>
            <w:r>
              <w:rPr>
                <w:rFonts w:ascii="Times New Roman" w:hAnsi="Times New Roman" w:cs="Times New Roman"/>
                <w:i/>
                <w:iCs/>
                <w:color w:val="000000" w:themeColor="text1"/>
                <w:sz w:val="20"/>
                <w:szCs w:val="20"/>
              </w:rPr>
              <w:t xml:space="preserve"> de </w:t>
            </w:r>
            <w:proofErr w:type="spellStart"/>
            <w:r>
              <w:rPr>
                <w:rFonts w:ascii="Times New Roman" w:hAnsi="Times New Roman" w:cs="Times New Roman"/>
                <w:i/>
                <w:iCs/>
                <w:color w:val="000000" w:themeColor="text1"/>
                <w:sz w:val="20"/>
                <w:szCs w:val="20"/>
              </w:rPr>
              <w:t>diminuare</w:t>
            </w:r>
            <w:proofErr w:type="spellEnd"/>
            <w:r>
              <w:rPr>
                <w:rFonts w:ascii="Times New Roman" w:hAnsi="Times New Roman" w:cs="Times New Roman"/>
                <w:i/>
                <w:iCs/>
                <w:color w:val="000000" w:themeColor="text1"/>
                <w:sz w:val="20"/>
                <w:szCs w:val="20"/>
              </w:rPr>
              <w:t xml:space="preserve"> a </w:t>
            </w:r>
            <w:proofErr w:type="spellStart"/>
            <w:r>
              <w:rPr>
                <w:rFonts w:ascii="Times New Roman" w:hAnsi="Times New Roman" w:cs="Times New Roman"/>
                <w:i/>
                <w:iCs/>
                <w:color w:val="000000" w:themeColor="text1"/>
                <w:sz w:val="20"/>
                <w:szCs w:val="20"/>
              </w:rPr>
              <w:t>riscului</w:t>
            </w:r>
            <w:proofErr w:type="spellEnd"/>
            <w:r>
              <w:rPr>
                <w:rFonts w:ascii="Times New Roman" w:hAnsi="Times New Roman" w:cs="Times New Roman"/>
                <w:i/>
                <w:iCs/>
                <w:color w:val="000000" w:themeColor="text1"/>
                <w:sz w:val="20"/>
                <w:szCs w:val="20"/>
              </w:rPr>
              <w:t xml:space="preserve"> de credit </w:t>
            </w:r>
            <w:proofErr w:type="spellStart"/>
            <w:r>
              <w:rPr>
                <w:rFonts w:ascii="Times New Roman" w:hAnsi="Times New Roman" w:cs="Times New Roman"/>
                <w:i/>
                <w:iCs/>
                <w:color w:val="000000" w:themeColor="text1"/>
                <w:sz w:val="20"/>
                <w:szCs w:val="20"/>
              </w:rPr>
              <w:t>utilizate</w:t>
            </w:r>
            <w:proofErr w:type="spellEnd"/>
            <w:r>
              <w:rPr>
                <w:rFonts w:ascii="Times New Roman" w:hAnsi="Times New Roman" w:cs="Times New Roman"/>
                <w:i/>
                <w:iCs/>
                <w:color w:val="000000" w:themeColor="text1"/>
                <w:sz w:val="20"/>
                <w:szCs w:val="20"/>
              </w:rPr>
              <w:t xml:space="preserve"> de </w:t>
            </w:r>
            <w:proofErr w:type="spellStart"/>
            <w:r>
              <w:rPr>
                <w:rFonts w:ascii="Times New Roman" w:hAnsi="Times New Roman" w:cs="Times New Roman"/>
                <w:i/>
                <w:iCs/>
                <w:color w:val="000000" w:themeColor="text1"/>
                <w:sz w:val="20"/>
                <w:szCs w:val="20"/>
              </w:rPr>
              <w:t>bănci</w:t>
            </w:r>
            <w:proofErr w:type="spellEnd"/>
          </w:p>
        </w:tc>
        <w:tc>
          <w:tcPr>
            <w:tcW w:w="562" w:type="pct"/>
          </w:tcPr>
          <w:p w14:paraId="73097EFA"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4E5932E8" w14:textId="7FE3AC29"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7B2C404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29"/>
        </w:trPr>
        <w:tc>
          <w:tcPr>
            <w:tcW w:w="1916" w:type="pct"/>
          </w:tcPr>
          <w:p w14:paraId="3A4B0D5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lastRenderedPageBreak/>
              <w:t>Articolul 197</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Eligibilitatea garanțiilor reale în cadrul tuturor abordărilor și metodelor</w:t>
            </w:r>
          </w:p>
          <w:p w14:paraId="6C4BD15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(1) Instituțiile pot utiliza următoarele instrumente financiare drept garanții reale eligibile în cadrul tuturor abordărilor și metodelor: </w:t>
            </w:r>
          </w:p>
          <w:p w14:paraId="0A7221EF" w14:textId="4DAC07B6" w:rsidR="00D62F3C" w:rsidRPr="002C32BA" w:rsidRDefault="00D62F3C" w:rsidP="001138C5">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numerar sub formă de depozit constituit la instituția creditoare, sau instrumente asimilate numerarului păstrate de aceasta;</w:t>
            </w:r>
          </w:p>
        </w:tc>
        <w:tc>
          <w:tcPr>
            <w:tcW w:w="1636" w:type="pct"/>
            <w:shd w:val="clear" w:color="auto" w:fill="auto"/>
          </w:tcPr>
          <w:p w14:paraId="578C87D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Secțiunea a 3-a. Eligibilitatea garanțiilor reale în cadrul </w:t>
            </w:r>
          </w:p>
          <w:p w14:paraId="45434D6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tuturor abordărilor și metodelor</w:t>
            </w:r>
          </w:p>
          <w:p w14:paraId="41FCE7D2"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1119BA5E" w14:textId="77777777" w:rsidR="003859AE" w:rsidRPr="00E8164A" w:rsidRDefault="00D62F3C" w:rsidP="003859AE">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3859AE">
              <w:rPr>
                <w:rFonts w:ascii="Times New Roman" w:hAnsi="Times New Roman"/>
                <w:b/>
                <w:bCs/>
                <w:sz w:val="20"/>
                <w:szCs w:val="20"/>
                <w:lang w:val="ro-RO" w:eastAsia="ru-RU"/>
              </w:rPr>
              <w:t>25.</w:t>
            </w:r>
            <w:r w:rsidRPr="002C32BA">
              <w:rPr>
                <w:rFonts w:ascii="Times New Roman" w:hAnsi="Times New Roman"/>
                <w:sz w:val="20"/>
                <w:szCs w:val="20"/>
                <w:lang w:val="ro-RO" w:eastAsia="ru-RU"/>
              </w:rPr>
              <w:t xml:space="preserve"> </w:t>
            </w:r>
            <w:r w:rsidR="003859AE" w:rsidRPr="00E8164A">
              <w:rPr>
                <w:rFonts w:ascii="Times New Roman" w:eastAsia="Times New Roman" w:hAnsi="Times New Roman" w:cs="Times New Roman"/>
                <w:color w:val="000000" w:themeColor="text1"/>
                <w:sz w:val="20"/>
                <w:szCs w:val="20"/>
                <w:lang w:val="ro-RO" w:eastAsia="ro-MD"/>
              </w:rPr>
              <w:t>Băncile pot utiliza următoarele elemente drept garanții reale eligibile în cadrul tuturor abordărilor și metodelor:</w:t>
            </w:r>
          </w:p>
          <w:p w14:paraId="6AD90AA9" w14:textId="255C8EAB" w:rsidR="00D62F3C" w:rsidRDefault="003859AE" w:rsidP="003859AE">
            <w:pPr>
              <w:pStyle w:val="CM4"/>
              <w:tabs>
                <w:tab w:val="left" w:pos="150"/>
              </w:tabs>
              <w:ind w:left="-36"/>
              <w:rPr>
                <w:rFonts w:ascii="Times New Roman" w:hAnsi="Times New Roman"/>
                <w:sz w:val="20"/>
                <w:szCs w:val="20"/>
                <w:lang w:val="ro-RO" w:eastAsia="ru-RU"/>
              </w:rPr>
            </w:pPr>
            <w:r w:rsidRPr="001138C5">
              <w:rPr>
                <w:rFonts w:ascii="Times New Roman" w:hAnsi="Times New Roman"/>
                <w:color w:val="000000" w:themeColor="text1"/>
                <w:sz w:val="20"/>
                <w:szCs w:val="20"/>
                <w:lang w:val="ro-RO" w:eastAsia="ro-MD"/>
              </w:rPr>
              <w:t>1)</w:t>
            </w:r>
            <w:r w:rsidRPr="00E8164A">
              <w:rPr>
                <w:rFonts w:ascii="Times New Roman" w:hAnsi="Times New Roman"/>
                <w:color w:val="000000" w:themeColor="text1"/>
                <w:sz w:val="20"/>
                <w:szCs w:val="20"/>
                <w:lang w:val="ro-RO" w:eastAsia="ro-MD"/>
              </w:rPr>
              <w:t xml:space="preserve"> mijloace bănești sub formă de depozit constituit la banca creditoare  sau instrumente asimilate mijloacelor bănești păstrate de această societate de evaluare externă a </w:t>
            </w:r>
            <w:bookmarkStart w:id="21" w:name="_Hlk215666140"/>
            <w:r w:rsidRPr="00E8164A">
              <w:rPr>
                <w:rFonts w:ascii="Times New Roman" w:hAnsi="Times New Roman"/>
                <w:color w:val="000000" w:themeColor="text1"/>
                <w:sz w:val="20"/>
                <w:szCs w:val="20"/>
                <w:lang w:val="ro-RO" w:eastAsia="ro-MD"/>
              </w:rPr>
              <w:t>creditului (</w:t>
            </w:r>
            <w:r w:rsidR="009C69B1" w:rsidRPr="009C69B1">
              <w:rPr>
                <w:rFonts w:ascii="Times New Roman" w:hAnsi="Times New Roman"/>
                <w:color w:val="000000" w:themeColor="text1"/>
                <w:sz w:val="20"/>
                <w:szCs w:val="20"/>
                <w:lang w:val="ro-RO" w:eastAsia="ro-MD"/>
              </w:rPr>
              <w:t xml:space="preserve">în continuare - </w:t>
            </w:r>
            <w:r w:rsidRPr="00E8164A">
              <w:rPr>
                <w:rFonts w:ascii="Times New Roman" w:hAnsi="Times New Roman"/>
                <w:color w:val="000000" w:themeColor="text1"/>
                <w:sz w:val="20"/>
                <w:szCs w:val="20"/>
                <w:lang w:val="ro-RO" w:eastAsia="ro-MD"/>
              </w:rPr>
              <w:t>ECAI)</w:t>
            </w:r>
            <w:bookmarkEnd w:id="21"/>
            <w:r w:rsidR="00D62F3C" w:rsidRPr="002C32BA">
              <w:rPr>
                <w:rFonts w:ascii="Times New Roman" w:hAnsi="Times New Roman"/>
                <w:sz w:val="20"/>
                <w:szCs w:val="20"/>
                <w:lang w:val="ro-RO" w:eastAsia="ru-RU"/>
              </w:rPr>
              <w:t xml:space="preserve">; </w:t>
            </w:r>
          </w:p>
          <w:p w14:paraId="4DCC8152" w14:textId="7294D106" w:rsidR="00D62F3C" w:rsidRPr="002C32BA" w:rsidRDefault="009B53E5" w:rsidP="009B53E5">
            <w:pPr>
              <w:rPr>
                <w:rFonts w:ascii="Times New Roman" w:hAnsi="Times New Roman"/>
                <w:sz w:val="20"/>
                <w:szCs w:val="20"/>
                <w:lang w:val="ro-RO" w:eastAsia="ru-RU"/>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398A0FFD" w14:textId="63217F87" w:rsidR="00D62F3C" w:rsidRPr="002C32BA" w:rsidRDefault="003859AE"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00D62F3C" w:rsidRPr="002C32BA">
              <w:rPr>
                <w:rFonts w:ascii="Times New Roman" w:hAnsi="Times New Roman" w:cs="Times New Roman"/>
                <w:sz w:val="20"/>
                <w:szCs w:val="20"/>
                <w:lang w:val="ro-RO"/>
              </w:rPr>
              <w:t>ompatibil</w:t>
            </w:r>
          </w:p>
        </w:tc>
        <w:tc>
          <w:tcPr>
            <w:tcW w:w="885" w:type="pct"/>
          </w:tcPr>
          <w:p w14:paraId="5127B3DF" w14:textId="5F5F4FA9"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1138C5" w:rsidRPr="002C32BA" w14:paraId="7EC2343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1916" w:type="pct"/>
          </w:tcPr>
          <w:p w14:paraId="4B1420D5" w14:textId="6DC808AD" w:rsidR="001138C5" w:rsidRPr="003859AE" w:rsidRDefault="001138C5" w:rsidP="001138C5">
            <w:pPr>
              <w:pStyle w:val="CM4"/>
              <w:tabs>
                <w:tab w:val="left" w:pos="150"/>
              </w:tabs>
              <w:ind w:left="-43"/>
              <w:jc w:val="both"/>
              <w:rPr>
                <w:rFonts w:ascii="Times New Roman" w:hAnsi="Times New Roman"/>
                <w:sz w:val="20"/>
                <w:szCs w:val="20"/>
                <w:lang w:val="ro-RO" w:eastAsia="ru-RU"/>
              </w:rPr>
            </w:pPr>
            <w:r w:rsidRPr="003859AE">
              <w:rPr>
                <w:rFonts w:ascii="Times New Roman" w:hAnsi="Times New Roman"/>
                <w:sz w:val="20"/>
                <w:szCs w:val="20"/>
                <w:lang w:val="ro-RO" w:eastAsia="ru-RU"/>
              </w:rPr>
              <w:t>(b) titluri de datorie emise de administrații centrale sau de bănci centrale care au o evaluare a creditului efectuată de o ECAI sau de o agenție de creditare a exportului, dacă:</w:t>
            </w:r>
          </w:p>
          <w:p w14:paraId="181E9CA2" w14:textId="2E01CE15" w:rsidR="001138C5" w:rsidRPr="003859AE" w:rsidRDefault="001138C5" w:rsidP="001138C5">
            <w:pPr>
              <w:pStyle w:val="CM4"/>
              <w:tabs>
                <w:tab w:val="left" w:pos="150"/>
              </w:tabs>
              <w:ind w:left="-43"/>
              <w:jc w:val="both"/>
              <w:rPr>
                <w:rFonts w:ascii="Times New Roman" w:hAnsi="Times New Roman"/>
                <w:sz w:val="20"/>
                <w:szCs w:val="20"/>
                <w:lang w:val="ro-RO" w:eastAsia="ru-RU"/>
              </w:rPr>
            </w:pPr>
            <w:r w:rsidRPr="003859AE">
              <w:rPr>
                <w:rFonts w:ascii="Times New Roman" w:hAnsi="Times New Roman"/>
                <w:sz w:val="20"/>
                <w:szCs w:val="20"/>
                <w:lang w:val="ro-RO" w:eastAsia="ru-RU"/>
              </w:rPr>
              <w:t>(i) ECAI sau agenția de creditare a exportului a fost desemnată de instituție în sensul capitolului 2; și</w:t>
            </w:r>
          </w:p>
          <w:p w14:paraId="67228989" w14:textId="164BD193" w:rsidR="001138C5" w:rsidRPr="003859AE" w:rsidRDefault="001138C5" w:rsidP="001138C5">
            <w:pPr>
              <w:pStyle w:val="CM4"/>
              <w:tabs>
                <w:tab w:val="left" w:pos="150"/>
              </w:tabs>
              <w:ind w:left="-43"/>
              <w:jc w:val="both"/>
              <w:rPr>
                <w:rFonts w:ascii="Times New Roman" w:hAnsi="Times New Roman"/>
                <w:sz w:val="20"/>
                <w:szCs w:val="20"/>
                <w:lang w:val="ro-RO" w:eastAsia="ru-RU"/>
              </w:rPr>
            </w:pPr>
            <w:r w:rsidRPr="003859AE">
              <w:rPr>
                <w:rFonts w:ascii="Times New Roman" w:hAnsi="Times New Roman"/>
                <w:sz w:val="20"/>
                <w:szCs w:val="20"/>
                <w:lang w:val="ro-RO" w:eastAsia="ru-RU"/>
              </w:rPr>
              <w:t>(ii) evaluarea de credit a fost identificată de ABE ca fiind asociată cu nivelul 1, 2, 3 sau 4 de calitate a creditului în conformitate cu normele de ponderare la risc a expunerilor față de administrații centrale și bănci centrale prevăzute în capitolul 2;</w:t>
            </w:r>
          </w:p>
        </w:tc>
        <w:tc>
          <w:tcPr>
            <w:tcW w:w="1636" w:type="pct"/>
            <w:shd w:val="clear" w:color="auto" w:fill="auto"/>
          </w:tcPr>
          <w:p w14:paraId="2977FE5A" w14:textId="77777777" w:rsidR="001138C5" w:rsidRPr="00E8164A" w:rsidRDefault="001138C5" w:rsidP="001138C5">
            <w:pPr>
              <w:spacing w:after="0" w:line="240" w:lineRule="auto"/>
              <w:jc w:val="both"/>
              <w:rPr>
                <w:rFonts w:ascii="Times New Roman" w:eastAsia="Times New Roman" w:hAnsi="Times New Roman" w:cs="Times New Roman"/>
                <w:color w:val="000000" w:themeColor="text1"/>
                <w:sz w:val="20"/>
                <w:szCs w:val="20"/>
                <w:lang w:val="ro-RO" w:eastAsia="ro-MD"/>
              </w:rPr>
            </w:pPr>
            <w:r w:rsidRPr="001138C5">
              <w:rPr>
                <w:rFonts w:ascii="Times New Roman" w:eastAsia="Times New Roman" w:hAnsi="Times New Roman" w:cs="Times New Roman"/>
                <w:color w:val="000000" w:themeColor="text1"/>
                <w:sz w:val="20"/>
                <w:szCs w:val="20"/>
                <w:lang w:val="ro-RO" w:eastAsia="ro-MD"/>
              </w:rPr>
              <w:t>2)</w:t>
            </w:r>
            <w:r w:rsidRPr="00E8164A">
              <w:rPr>
                <w:rFonts w:ascii="Times New Roman" w:eastAsia="Times New Roman" w:hAnsi="Times New Roman" w:cs="Times New Roman"/>
                <w:color w:val="000000" w:themeColor="text1"/>
                <w:sz w:val="20"/>
                <w:szCs w:val="20"/>
                <w:lang w:val="ro-RO" w:eastAsia="ro-MD"/>
              </w:rPr>
              <w:t xml:space="preserve"> valori mobiliare de stat și certificatele Băncii Naționale a Moldovei;</w:t>
            </w:r>
          </w:p>
          <w:p w14:paraId="330346FB" w14:textId="7B6587DA" w:rsidR="001138C5" w:rsidRPr="002C32BA" w:rsidRDefault="001138C5" w:rsidP="001138C5">
            <w:pPr>
              <w:pStyle w:val="CM4"/>
              <w:tabs>
                <w:tab w:val="left" w:pos="150"/>
              </w:tabs>
              <w:ind w:left="-36"/>
              <w:rPr>
                <w:rFonts w:ascii="Times New Roman" w:hAnsi="Times New Roman"/>
                <w:sz w:val="20"/>
                <w:szCs w:val="20"/>
                <w:lang w:val="ro-RO" w:eastAsia="ru-RU"/>
              </w:rPr>
            </w:pPr>
            <w:r w:rsidRPr="001138C5">
              <w:rPr>
                <w:rFonts w:ascii="Times New Roman" w:hAnsi="Times New Roman"/>
                <w:color w:val="000000" w:themeColor="text1"/>
                <w:sz w:val="20"/>
                <w:szCs w:val="20"/>
                <w:lang w:val="ro-RO" w:eastAsia="ro-MD"/>
              </w:rPr>
              <w:t>3)</w:t>
            </w:r>
            <w:r w:rsidRPr="00E8164A">
              <w:rPr>
                <w:rFonts w:ascii="Times New Roman" w:hAnsi="Times New Roman"/>
                <w:color w:val="000000" w:themeColor="text1"/>
                <w:sz w:val="20"/>
                <w:szCs w:val="20"/>
                <w:lang w:val="ro-RO" w:eastAsia="ro-MD"/>
              </w:rPr>
              <w:t xml:space="preserve"> titluri de datorie emise de administrații centrale sau bănci centrale, altele decât cele specificate la subpunctul 2), având o evaluare a creditului efectuată de o ECAI sau de o agenție de creditare a exportului, recunoscute ca eligibile în sensul Regulamentului nr.111/2018, pe care Banca Națională a Moldovei a asociat-o cu nivelul 4 de calitate a creditului sau cu un nivel superior, în conformitate cu normele de ponderare la risc a expunerilor față de administrații centrale și bănci centrale, prevăzute în regulamentul menționat;</w:t>
            </w:r>
          </w:p>
        </w:tc>
        <w:tc>
          <w:tcPr>
            <w:tcW w:w="562" w:type="pct"/>
          </w:tcPr>
          <w:p w14:paraId="1FC6C87A" w14:textId="48313401" w:rsidR="001138C5" w:rsidRDefault="001138C5" w:rsidP="001138C5">
            <w:pPr>
              <w:rPr>
                <w:rFonts w:ascii="Times New Roman" w:hAnsi="Times New Roman" w:cs="Times New Roman"/>
                <w:sz w:val="20"/>
                <w:szCs w:val="20"/>
                <w:lang w:val="ro-RO"/>
              </w:rPr>
            </w:pPr>
            <w:r>
              <w:rPr>
                <w:rFonts w:ascii="Times New Roman" w:hAnsi="Times New Roman" w:cs="Times New Roman"/>
                <w:sz w:val="20"/>
                <w:szCs w:val="20"/>
                <w:lang w:val="ro-RO"/>
              </w:rPr>
              <w:t>C</w:t>
            </w:r>
            <w:r w:rsidRPr="002C32BA">
              <w:rPr>
                <w:rFonts w:ascii="Times New Roman" w:hAnsi="Times New Roman" w:cs="Times New Roman"/>
                <w:sz w:val="20"/>
                <w:szCs w:val="20"/>
                <w:lang w:val="ro-RO"/>
              </w:rPr>
              <w:t>ompatibil</w:t>
            </w:r>
          </w:p>
        </w:tc>
        <w:tc>
          <w:tcPr>
            <w:tcW w:w="885" w:type="pct"/>
          </w:tcPr>
          <w:p w14:paraId="22A4D405" w14:textId="77777777" w:rsidR="001138C5" w:rsidRDefault="001138C5" w:rsidP="001138C5">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805BA20" w14:textId="77777777" w:rsidR="001138C5" w:rsidRDefault="001138C5" w:rsidP="001138C5">
            <w:pPr>
              <w:jc w:val="both"/>
              <w:rPr>
                <w:rFonts w:ascii="Times New Roman" w:hAnsi="Times New Roman" w:cs="Times New Roman"/>
                <w:sz w:val="20"/>
                <w:szCs w:val="20"/>
                <w:lang w:val="ro-RO"/>
              </w:rPr>
            </w:pPr>
          </w:p>
        </w:tc>
      </w:tr>
      <w:tr w:rsidR="001138C5" w:rsidRPr="002C32BA" w14:paraId="2D953FB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1916" w:type="pct"/>
          </w:tcPr>
          <w:p w14:paraId="70128177" w14:textId="54922AB9"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(c) titluri de datorie emise de instituții care au o evaluare a creditului efectuată de o ECAI, dacă:</w:t>
            </w:r>
          </w:p>
          <w:p w14:paraId="65571A39" w14:textId="1EDE633F"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(i) ECAI a fost desemnată de instituție în sensul capitolului 2; și</w:t>
            </w:r>
          </w:p>
          <w:p w14:paraId="6ABC298D" w14:textId="551EEFB2"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(ii) evaluarea de credit a fost identificată de ABE ca fiind asociată cu nivelul 1, 2 sau 3 de calitate a creditului în conformitate cu normele de ponderare la risc a expunerilor față de instituții în temeiul capitolului 2;</w:t>
            </w:r>
          </w:p>
          <w:p w14:paraId="7C186425" w14:textId="3ACFE8B3"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(d) titluri de datorie emise de alte entități care au o evaluare a creditului efectuată de o ECAI, dacă:</w:t>
            </w:r>
          </w:p>
          <w:p w14:paraId="7CD9AEC2" w14:textId="002FD5C5"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lastRenderedPageBreak/>
              <w:t>(i) ECAI a fost desemnată de instituție în sensul capitolului 2; și</w:t>
            </w:r>
          </w:p>
          <w:p w14:paraId="07F618AB" w14:textId="46288729"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(ii) evaluarea de credit a fost identificată de ABE ca fiind asociată cu nivelul 1, 2 sau 3 de calitate a creditului în conformitate cu normele de ponderare la risc a expunerilor față de societăți în temeiul capitolului 2;</w:t>
            </w:r>
          </w:p>
          <w:p w14:paraId="797FD288" w14:textId="1BD60A43"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(e) titluri de datorie care au o evaluare a creditului pe termen scurt efectuată de o ECAI, dacă:</w:t>
            </w:r>
          </w:p>
          <w:p w14:paraId="0F524C22" w14:textId="7D547072"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(i) ECAI a fost desemnată de instituție în sensul capitolului 2; și</w:t>
            </w:r>
          </w:p>
          <w:p w14:paraId="6BE60833" w14:textId="2B6AC9E4" w:rsidR="001138C5" w:rsidRPr="003859AE"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(ii) evaluarea de credit a fost identificată de ABE ca fiind asociată cu nivelul 1, 2 sau 3 de calitate a creditului în conformitate cu normele de ponderare la risc a expunerilor pe termen scurt în temeiul capitolului 2;</w:t>
            </w:r>
          </w:p>
        </w:tc>
        <w:tc>
          <w:tcPr>
            <w:tcW w:w="1636" w:type="pct"/>
            <w:shd w:val="clear" w:color="auto" w:fill="auto"/>
          </w:tcPr>
          <w:p w14:paraId="0D649CFC" w14:textId="5D32EBE1" w:rsidR="001138C5" w:rsidRPr="00E8164A" w:rsidRDefault="001138C5" w:rsidP="009B53E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lastRenderedPageBreak/>
              <w:t>4) titluri de datorie emise de bănci, aceste titluri având o evaluare a creditului efectuată de o ECAI desemnată de bancă în sensul Regulamentului nr.111/2018, pe care Banca Națională a Moldovei a asociat-o cu nivelul 3 de calitate a creditului sau cu un nivel superior, în conformitate cu normele de ponderare la risc a expunerilor față de bănci, prevăzute în Regulamentul nr.111/2018;</w:t>
            </w:r>
            <w:r w:rsidRPr="001138C5">
              <w:rPr>
                <w:rFonts w:ascii="Times New Roman" w:eastAsia="Times New Roman" w:hAnsi="Times New Roman" w:cs="Times New Roman"/>
                <w:color w:val="000000" w:themeColor="text1"/>
                <w:sz w:val="20"/>
                <w:szCs w:val="20"/>
                <w:highlight w:val="lightGray"/>
                <w:lang w:val="ro-RO" w:eastAsia="ro-MD"/>
              </w:rPr>
              <w:t xml:space="preserve"> </w:t>
            </w:r>
          </w:p>
          <w:p w14:paraId="67E71622" w14:textId="4872B834" w:rsidR="001138C5" w:rsidRPr="00E8164A" w:rsidRDefault="001138C5" w:rsidP="009B53E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5) titluri de datorie emise de alte entități, aceste titluri având o evaluare a creditului efectuată de o ECAI, </w:t>
            </w:r>
            <w:r w:rsidRPr="00E8164A">
              <w:rPr>
                <w:rFonts w:ascii="Times New Roman" w:eastAsia="Times New Roman" w:hAnsi="Times New Roman" w:cs="Times New Roman"/>
                <w:color w:val="000000" w:themeColor="text1"/>
                <w:sz w:val="20"/>
                <w:szCs w:val="20"/>
                <w:lang w:val="ro-RO" w:eastAsia="ro-MD"/>
              </w:rPr>
              <w:lastRenderedPageBreak/>
              <w:t>desemnată de bancă în sensul Regulamentului nr.111/2018, pe care Banca Națională a Moldovei a asociat-o cu nivelul 3 de calitate a creditului sau cu un nivel superior, în conformitate cu normele de ponderare la risc a expunerilor față de societăți, prevăzute la Regulamentul nr.111/2018;</w:t>
            </w:r>
            <w:r w:rsidRPr="001138C5">
              <w:rPr>
                <w:rFonts w:ascii="Times New Roman" w:eastAsia="Times New Roman" w:hAnsi="Times New Roman" w:cs="Times New Roman"/>
                <w:color w:val="000000" w:themeColor="text1"/>
                <w:sz w:val="20"/>
                <w:szCs w:val="20"/>
                <w:highlight w:val="lightGray"/>
                <w:lang w:val="ro-RO" w:eastAsia="ro-MD"/>
              </w:rPr>
              <w:t xml:space="preserve"> </w:t>
            </w:r>
          </w:p>
          <w:p w14:paraId="72D56A43" w14:textId="067DD5F3" w:rsidR="001138C5" w:rsidRPr="00E8164A" w:rsidRDefault="001138C5" w:rsidP="009B53E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6) titluri de datorie care au o evaluare pe termen scurt a creditului </w:t>
            </w:r>
            <w:bookmarkStart w:id="22" w:name="_Hlk215674986"/>
            <w:r w:rsidRPr="00E8164A">
              <w:rPr>
                <w:rFonts w:ascii="Times New Roman" w:eastAsia="Times New Roman" w:hAnsi="Times New Roman" w:cs="Times New Roman"/>
                <w:color w:val="000000" w:themeColor="text1"/>
                <w:sz w:val="20"/>
                <w:szCs w:val="20"/>
                <w:lang w:val="ro-RO" w:eastAsia="ro-MD"/>
              </w:rPr>
              <w:t xml:space="preserve">efectuată de o ECAI, </w:t>
            </w:r>
            <w:bookmarkEnd w:id="22"/>
            <w:r w:rsidRPr="00E8164A">
              <w:rPr>
                <w:rFonts w:ascii="Times New Roman" w:eastAsia="Times New Roman" w:hAnsi="Times New Roman" w:cs="Times New Roman"/>
                <w:color w:val="000000" w:themeColor="text1"/>
                <w:sz w:val="20"/>
                <w:szCs w:val="20"/>
                <w:lang w:val="ro-RO" w:eastAsia="ro-MD"/>
              </w:rPr>
              <w:t>desemnată de bancă în sensul Regulamentului nr.111/2018, pe care Banca Națională a Moldovei a asociat-o cu nivelul 3 de calitate a creditului sau cu un nivel superior, în conformitate cu normele de ponderare la risc a expunerilor pe termen scurt, prevăzute în Regulamentul nr.111/2018;</w:t>
            </w:r>
          </w:p>
        </w:tc>
        <w:tc>
          <w:tcPr>
            <w:tcW w:w="562" w:type="pct"/>
          </w:tcPr>
          <w:p w14:paraId="005A6F2D" w14:textId="40A900DB" w:rsidR="001138C5" w:rsidRDefault="001138C5" w:rsidP="001138C5">
            <w:pPr>
              <w:rPr>
                <w:rFonts w:ascii="Times New Roman" w:hAnsi="Times New Roman" w:cs="Times New Roman"/>
                <w:sz w:val="20"/>
                <w:szCs w:val="20"/>
                <w:lang w:val="ro-RO"/>
              </w:rPr>
            </w:pPr>
            <w:r>
              <w:rPr>
                <w:rFonts w:ascii="Times New Roman" w:hAnsi="Times New Roman" w:cs="Times New Roman"/>
                <w:sz w:val="20"/>
                <w:szCs w:val="20"/>
                <w:lang w:val="ro-RO"/>
              </w:rPr>
              <w:lastRenderedPageBreak/>
              <w:t>C</w:t>
            </w:r>
            <w:r w:rsidRPr="002C32BA">
              <w:rPr>
                <w:rFonts w:ascii="Times New Roman" w:hAnsi="Times New Roman" w:cs="Times New Roman"/>
                <w:sz w:val="20"/>
                <w:szCs w:val="20"/>
                <w:lang w:val="ro-RO"/>
              </w:rPr>
              <w:t>ompatibil</w:t>
            </w:r>
          </w:p>
        </w:tc>
        <w:tc>
          <w:tcPr>
            <w:tcW w:w="885" w:type="pct"/>
          </w:tcPr>
          <w:p w14:paraId="2E92AC1C" w14:textId="77777777" w:rsidR="001138C5" w:rsidRDefault="001138C5" w:rsidP="001138C5">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867B4F1" w14:textId="77777777" w:rsidR="001138C5" w:rsidRDefault="001138C5" w:rsidP="001138C5">
            <w:pPr>
              <w:jc w:val="both"/>
              <w:rPr>
                <w:rFonts w:ascii="Times New Roman" w:hAnsi="Times New Roman" w:cs="Times New Roman"/>
                <w:sz w:val="20"/>
                <w:szCs w:val="20"/>
                <w:lang w:val="ro-RO"/>
              </w:rPr>
            </w:pPr>
          </w:p>
        </w:tc>
      </w:tr>
      <w:tr w:rsidR="009B53E5" w:rsidRPr="002C32BA" w14:paraId="050C197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6"/>
        </w:trPr>
        <w:tc>
          <w:tcPr>
            <w:tcW w:w="1916" w:type="pct"/>
          </w:tcPr>
          <w:p w14:paraId="0A3A604D" w14:textId="6857AB54"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(f) titluri de capital sau obligațiuni convertibile incluse într-un indice principal;</w:t>
            </w:r>
          </w:p>
          <w:p w14:paraId="4C9E573A" w14:textId="77777777" w:rsidR="009B53E5" w:rsidRPr="009B53E5"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▼M17</w:t>
            </w:r>
          </w:p>
          <w:p w14:paraId="6FA9B2B7" w14:textId="526ADAC5" w:rsidR="009B53E5" w:rsidRPr="003859AE" w:rsidRDefault="009B53E5" w:rsidP="009B53E5">
            <w:pPr>
              <w:pStyle w:val="CM4"/>
              <w:tabs>
                <w:tab w:val="left" w:pos="150"/>
              </w:tabs>
              <w:ind w:left="-43"/>
              <w:jc w:val="both"/>
              <w:rPr>
                <w:rFonts w:ascii="Times New Roman" w:hAnsi="Times New Roman"/>
                <w:sz w:val="20"/>
                <w:szCs w:val="20"/>
                <w:lang w:val="ro-RO" w:eastAsia="ru-RU"/>
              </w:rPr>
            </w:pPr>
            <w:r w:rsidRPr="009B53E5">
              <w:rPr>
                <w:rFonts w:ascii="Times New Roman" w:hAnsi="Times New Roman"/>
                <w:sz w:val="20"/>
                <w:szCs w:val="20"/>
                <w:lang w:val="ro-RO" w:eastAsia="ru-RU"/>
              </w:rPr>
              <w:t>(g) lingouri de aur;</w:t>
            </w:r>
          </w:p>
        </w:tc>
        <w:tc>
          <w:tcPr>
            <w:tcW w:w="1636" w:type="pct"/>
            <w:shd w:val="clear" w:color="auto" w:fill="auto"/>
          </w:tcPr>
          <w:p w14:paraId="02E42285" w14:textId="77777777" w:rsidR="009B53E5" w:rsidRPr="00E8164A" w:rsidRDefault="009B53E5" w:rsidP="009B53E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7) titluri de capital sau obligațiuni convertibile incluse într-un indice principal;</w:t>
            </w:r>
            <w:r w:rsidRPr="001138C5">
              <w:rPr>
                <w:rFonts w:ascii="Times New Roman" w:eastAsia="Times New Roman" w:hAnsi="Times New Roman" w:cs="Times New Roman"/>
                <w:color w:val="000000" w:themeColor="text1"/>
                <w:sz w:val="20"/>
                <w:szCs w:val="20"/>
                <w:highlight w:val="lightGray"/>
                <w:lang w:val="ro-RO" w:eastAsia="ro-MD"/>
              </w:rPr>
              <w:t xml:space="preserve"> </w:t>
            </w:r>
          </w:p>
          <w:p w14:paraId="5C3A1A94" w14:textId="6554C061" w:rsidR="009B53E5" w:rsidRPr="00E8164A" w:rsidRDefault="009B53E5" w:rsidP="009B53E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8) lingouri de aur;</w:t>
            </w:r>
            <w:r w:rsidRPr="001138C5">
              <w:rPr>
                <w:rFonts w:ascii="Times New Roman" w:eastAsia="Times New Roman" w:hAnsi="Times New Roman" w:cs="Times New Roman"/>
                <w:color w:val="000000" w:themeColor="text1"/>
                <w:sz w:val="20"/>
                <w:szCs w:val="20"/>
                <w:highlight w:val="lightGray"/>
                <w:lang w:val="ro-RO" w:eastAsia="ro-MD"/>
              </w:rPr>
              <w:t xml:space="preserve"> </w:t>
            </w:r>
          </w:p>
        </w:tc>
        <w:tc>
          <w:tcPr>
            <w:tcW w:w="562" w:type="pct"/>
          </w:tcPr>
          <w:p w14:paraId="3C1A8299" w14:textId="7C57584A" w:rsidR="009B53E5" w:rsidRDefault="009B53E5" w:rsidP="009B53E5">
            <w:pPr>
              <w:rPr>
                <w:rFonts w:ascii="Times New Roman" w:hAnsi="Times New Roman" w:cs="Times New Roman"/>
                <w:sz w:val="20"/>
                <w:szCs w:val="20"/>
                <w:lang w:val="ro-RO"/>
              </w:rPr>
            </w:pPr>
            <w:r>
              <w:rPr>
                <w:rFonts w:ascii="Times New Roman" w:hAnsi="Times New Roman" w:cs="Times New Roman"/>
                <w:sz w:val="20"/>
                <w:szCs w:val="20"/>
                <w:lang w:val="ro-RO"/>
              </w:rPr>
              <w:t>C</w:t>
            </w:r>
            <w:r w:rsidRPr="002C32BA">
              <w:rPr>
                <w:rFonts w:ascii="Times New Roman" w:hAnsi="Times New Roman" w:cs="Times New Roman"/>
                <w:sz w:val="20"/>
                <w:szCs w:val="20"/>
                <w:lang w:val="ro-RO"/>
              </w:rPr>
              <w:t>ompatibil</w:t>
            </w:r>
          </w:p>
        </w:tc>
        <w:tc>
          <w:tcPr>
            <w:tcW w:w="885" w:type="pct"/>
          </w:tcPr>
          <w:p w14:paraId="6010F176" w14:textId="3DE3106F" w:rsidR="009B53E5" w:rsidRDefault="009B53E5" w:rsidP="009B53E5">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9B53E5" w:rsidRPr="002C32BA" w14:paraId="48DCD62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81"/>
        </w:trPr>
        <w:tc>
          <w:tcPr>
            <w:tcW w:w="1916" w:type="pct"/>
          </w:tcPr>
          <w:p w14:paraId="297EDEE6" w14:textId="77777777" w:rsidR="009B53E5" w:rsidRPr="001138C5" w:rsidRDefault="009B53E5" w:rsidP="009B53E5">
            <w:pPr>
              <w:pStyle w:val="CM4"/>
              <w:tabs>
                <w:tab w:val="left" w:pos="150"/>
              </w:tabs>
              <w:ind w:left="-43"/>
              <w:jc w:val="both"/>
              <w:rPr>
                <w:rFonts w:ascii="Times New Roman" w:hAnsi="Times New Roman"/>
                <w:sz w:val="20"/>
                <w:szCs w:val="20"/>
                <w:lang w:val="ro-RO" w:eastAsia="ru-RU"/>
              </w:rPr>
            </w:pPr>
            <w:r w:rsidRPr="001138C5">
              <w:rPr>
                <w:rFonts w:ascii="Times New Roman" w:hAnsi="Times New Roman"/>
                <w:sz w:val="20"/>
                <w:szCs w:val="20"/>
                <w:lang w:val="ro-RO" w:eastAsia="ru-RU"/>
              </w:rPr>
              <w:t>▼M5</w:t>
            </w:r>
          </w:p>
          <w:p w14:paraId="497371CE" w14:textId="0D7D442B" w:rsidR="009B53E5" w:rsidRPr="003859AE" w:rsidRDefault="009B53E5" w:rsidP="009B53E5">
            <w:pPr>
              <w:pStyle w:val="CM4"/>
              <w:tabs>
                <w:tab w:val="left" w:pos="150"/>
              </w:tabs>
              <w:ind w:left="-43"/>
              <w:jc w:val="both"/>
              <w:rPr>
                <w:rFonts w:ascii="Times New Roman" w:hAnsi="Times New Roman"/>
                <w:sz w:val="20"/>
                <w:szCs w:val="20"/>
                <w:lang w:val="ro-RO" w:eastAsia="ru-RU"/>
              </w:rPr>
            </w:pPr>
            <w:r w:rsidRPr="001138C5">
              <w:rPr>
                <w:rFonts w:ascii="Times New Roman" w:hAnsi="Times New Roman"/>
                <w:sz w:val="20"/>
                <w:szCs w:val="20"/>
                <w:lang w:val="ro-RO" w:eastAsia="ru-RU"/>
              </w:rPr>
              <w:t xml:space="preserve">(h) poziții din securitizare care nu sunt poziții din </w:t>
            </w:r>
            <w:proofErr w:type="spellStart"/>
            <w:r w:rsidRPr="001138C5">
              <w:rPr>
                <w:rFonts w:ascii="Times New Roman" w:hAnsi="Times New Roman"/>
                <w:sz w:val="20"/>
                <w:szCs w:val="20"/>
                <w:lang w:val="ro-RO" w:eastAsia="ru-RU"/>
              </w:rPr>
              <w:t>resecuritizare</w:t>
            </w:r>
            <w:proofErr w:type="spellEnd"/>
            <w:r w:rsidRPr="001138C5">
              <w:rPr>
                <w:rFonts w:ascii="Times New Roman" w:hAnsi="Times New Roman"/>
                <w:sz w:val="20"/>
                <w:szCs w:val="20"/>
                <w:lang w:val="ro-RO" w:eastAsia="ru-RU"/>
              </w:rPr>
              <w:t xml:space="preserve"> și cărora li se aplică o pondere de risc de 100 % sau mai mică în conformitate cu articolele 261-264.</w:t>
            </w:r>
          </w:p>
        </w:tc>
        <w:tc>
          <w:tcPr>
            <w:tcW w:w="1636" w:type="pct"/>
            <w:shd w:val="clear" w:color="auto" w:fill="auto"/>
          </w:tcPr>
          <w:p w14:paraId="446DFDA2" w14:textId="77777777" w:rsidR="009B53E5" w:rsidRDefault="009B53E5" w:rsidP="009B53E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9) poziții din securitizare care nu sunt poziții din </w:t>
            </w:r>
            <w:proofErr w:type="spellStart"/>
            <w:r w:rsidRPr="00E8164A">
              <w:rPr>
                <w:rFonts w:ascii="Times New Roman" w:eastAsia="Times New Roman" w:hAnsi="Times New Roman" w:cs="Times New Roman"/>
                <w:color w:val="000000" w:themeColor="text1"/>
                <w:sz w:val="20"/>
                <w:szCs w:val="20"/>
                <w:lang w:val="ro-RO" w:eastAsia="ro-MD"/>
              </w:rPr>
              <w:t>resecuritizare</w:t>
            </w:r>
            <w:proofErr w:type="spellEnd"/>
            <w:r w:rsidRPr="00E8164A">
              <w:rPr>
                <w:rFonts w:ascii="Times New Roman" w:eastAsia="Times New Roman" w:hAnsi="Times New Roman" w:cs="Times New Roman"/>
                <w:color w:val="000000" w:themeColor="text1"/>
                <w:sz w:val="20"/>
                <w:szCs w:val="20"/>
                <w:lang w:val="ro-RO" w:eastAsia="ro-MD"/>
              </w:rPr>
              <w:t xml:space="preserve"> și cărora li se aplică o pondere de risc de 100 % sau mai mică în conformitate cu Regulamentul nr. 221/2025 privind tratamentul prudențial al securitizărilor.</w:t>
            </w:r>
          </w:p>
          <w:p w14:paraId="6CE1C7FF" w14:textId="423AB651" w:rsidR="009B53E5" w:rsidRPr="001138C5" w:rsidRDefault="009B53E5" w:rsidP="009B53E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2CC26B83" w14:textId="4AFA4E69" w:rsidR="009B53E5" w:rsidRDefault="009B53E5" w:rsidP="009B53E5">
            <w:pPr>
              <w:rPr>
                <w:rFonts w:ascii="Times New Roman" w:hAnsi="Times New Roman" w:cs="Times New Roman"/>
                <w:sz w:val="20"/>
                <w:szCs w:val="20"/>
                <w:lang w:val="ro-RO"/>
              </w:rPr>
            </w:pPr>
            <w:r>
              <w:rPr>
                <w:rFonts w:ascii="Times New Roman" w:hAnsi="Times New Roman" w:cs="Times New Roman"/>
                <w:sz w:val="20"/>
                <w:szCs w:val="20"/>
                <w:lang w:val="ro-RO"/>
              </w:rPr>
              <w:t>C</w:t>
            </w:r>
            <w:r w:rsidRPr="002C32BA">
              <w:rPr>
                <w:rFonts w:ascii="Times New Roman" w:hAnsi="Times New Roman" w:cs="Times New Roman"/>
                <w:sz w:val="20"/>
                <w:szCs w:val="20"/>
                <w:lang w:val="ro-RO"/>
              </w:rPr>
              <w:t>ompatibil</w:t>
            </w:r>
          </w:p>
        </w:tc>
        <w:tc>
          <w:tcPr>
            <w:tcW w:w="885" w:type="pct"/>
          </w:tcPr>
          <w:p w14:paraId="39A34D64" w14:textId="7F9EF50C" w:rsidR="009B53E5" w:rsidRDefault="009B53E5" w:rsidP="009B53E5">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26A1AC4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1916" w:type="pct"/>
          </w:tcPr>
          <w:p w14:paraId="6BAC1B3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În sensul alineatului (1) litera (b), „titluri de datorie emise de administrații centrale sau bănci centrale” includ toate instrumentele financiare următoare:</w:t>
            </w:r>
          </w:p>
          <w:p w14:paraId="449E262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titluri de datorie emise de administrații regionale sau de autorități locale, dacă expunerile față de acestea se tratează ca expuneri față de administrația centrală în a cărei jurisdicție sunt stabilite, în conformitate cu articolul 115 alineatul (2);</w:t>
            </w:r>
          </w:p>
          <w:p w14:paraId="022AF0D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(b) titluri de datorie emise de entități din sectorul public, dacă expunerile față de acestea se tratează ca expuneri față de administrații centrale, în conformitate cu articolul 116 alineatul (4);</w:t>
            </w:r>
          </w:p>
          <w:p w14:paraId="44669BA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titluri de datorie emise de bănci de dezvoltare multilaterală, cărora li se atribuie o pondere de risc de 0 % în temeiul articolului 117 alineatul (2);</w:t>
            </w:r>
          </w:p>
          <w:p w14:paraId="2F6D77C9" w14:textId="621AFBDD" w:rsidR="00D62F3C" w:rsidRPr="002C32BA" w:rsidRDefault="00D62F3C" w:rsidP="00D62F3C">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1599340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D27EC8">
              <w:rPr>
                <w:rFonts w:ascii="Times New Roman" w:hAnsi="Times New Roman"/>
                <w:b/>
                <w:bCs/>
                <w:sz w:val="20"/>
                <w:szCs w:val="20"/>
                <w:lang w:val="ro-RO" w:eastAsia="ru-RU"/>
              </w:rPr>
              <w:lastRenderedPageBreak/>
              <w:t>26.</w:t>
            </w:r>
            <w:r w:rsidRPr="002C32BA">
              <w:rPr>
                <w:rFonts w:ascii="Times New Roman" w:hAnsi="Times New Roman"/>
                <w:sz w:val="20"/>
                <w:szCs w:val="20"/>
                <w:lang w:val="ro-RO" w:eastAsia="ru-RU"/>
              </w:rPr>
              <w:t xml:space="preserve"> În scopul punctului 25 subpunctul 3), titlurile de datorie emise de administrații centrale sau bănci centrale, de asemenea, includ următoarele: </w:t>
            </w:r>
          </w:p>
          <w:p w14:paraId="316D105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titluri de datorie emise de entități din sectorul public, dacă expunerile față de acestea se tratează ca expuneri față de administrația centrală, în conformitate cu actul normativ al Băncii Naționale a Moldovei aferent tratamentului riscului de credit pentru bănci potrivit abordării standardizate; </w:t>
            </w:r>
          </w:p>
          <w:p w14:paraId="4018846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 xml:space="preserve">2) titlurile de datorie emise de bănci de dezvoltare multilaterală, cărora li se atribuie o pondere de risc de 0 % în temeiul actului normativ al Băncii Naționale a Moldovei aferent tratamentului riscului de credit pentru bănci potrivit abordării standardizate; </w:t>
            </w:r>
          </w:p>
          <w:p w14:paraId="079BBF4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3) titlurile de datorie emise de organizații internaționale, cărora li se atribuie o pondere de risc de 0 % în conformitate cu actul normativ al Băncii Naționale a Moldovei aferent tratamentului riscului de credit pentru bănci potrivit abordării standardizate.</w:t>
            </w:r>
          </w:p>
        </w:tc>
        <w:tc>
          <w:tcPr>
            <w:tcW w:w="562" w:type="pct"/>
          </w:tcPr>
          <w:p w14:paraId="7D06D80B" w14:textId="3F55AEE5" w:rsidR="00D62F3C" w:rsidRPr="002C32BA" w:rsidRDefault="00D27EC8" w:rsidP="00D62F3C">
            <w:pPr>
              <w:rPr>
                <w:rFonts w:ascii="Times New Roman" w:hAnsi="Times New Roman" w:cs="Times New Roman"/>
                <w:sz w:val="20"/>
                <w:szCs w:val="20"/>
                <w:lang w:val="ro-RO"/>
              </w:rPr>
            </w:pPr>
            <w:r>
              <w:rPr>
                <w:rFonts w:ascii="Times New Roman" w:hAnsi="Times New Roman" w:cs="Times New Roman"/>
                <w:sz w:val="20"/>
                <w:szCs w:val="20"/>
                <w:lang w:val="ro-RO"/>
              </w:rPr>
              <w:lastRenderedPageBreak/>
              <w:t>C</w:t>
            </w:r>
            <w:r w:rsidR="00D62F3C" w:rsidRPr="002C32BA">
              <w:rPr>
                <w:rFonts w:ascii="Times New Roman" w:hAnsi="Times New Roman" w:cs="Times New Roman"/>
                <w:sz w:val="20"/>
                <w:szCs w:val="20"/>
                <w:lang w:val="ro-RO"/>
              </w:rPr>
              <w:t>ompatibil</w:t>
            </w:r>
          </w:p>
        </w:tc>
        <w:tc>
          <w:tcPr>
            <w:tcW w:w="885" w:type="pct"/>
          </w:tcPr>
          <w:p w14:paraId="0A9B0D7E" w14:textId="6BF22250"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79615909" w14:textId="07828C3D" w:rsidR="00D62F3C" w:rsidRPr="002C32BA" w:rsidRDefault="00D62F3C" w:rsidP="00D62F3C">
            <w:pPr>
              <w:jc w:val="both"/>
              <w:rPr>
                <w:rFonts w:ascii="Times New Roman" w:hAnsi="Times New Roman" w:cs="Times New Roman"/>
                <w:sz w:val="20"/>
                <w:szCs w:val="20"/>
                <w:lang w:val="ro-RO"/>
              </w:rPr>
            </w:pPr>
          </w:p>
        </w:tc>
      </w:tr>
      <w:tr w:rsidR="00D27EC8" w:rsidRPr="002C32BA" w14:paraId="48BC973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1916" w:type="pct"/>
          </w:tcPr>
          <w:p w14:paraId="26F2EAA3" w14:textId="403D3762" w:rsidR="00D27EC8" w:rsidRPr="002C32BA" w:rsidRDefault="00D27EC8" w:rsidP="00D27EC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titluri de datorie emise de organizații internaționale, cărora li se atribuie o pondere de risc de 0 % în temeiul articolului 118.</w:t>
            </w:r>
          </w:p>
        </w:tc>
        <w:tc>
          <w:tcPr>
            <w:tcW w:w="1636" w:type="pct"/>
            <w:shd w:val="clear" w:color="auto" w:fill="auto"/>
          </w:tcPr>
          <w:p w14:paraId="16F524B1" w14:textId="77777777" w:rsidR="00D27EC8" w:rsidRDefault="00D27EC8" w:rsidP="00D27EC8">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4) titluri de datorie emise de administrații regionale sau de autorități locale, dacă expunerile față de acestea se tratează ca expuneri față de administrația centrală în a cărei jurisdicție sunt stabilite, în conformitate cu Regulamentul nr.111/2018</w:t>
            </w:r>
            <w:r>
              <w:rPr>
                <w:rFonts w:ascii="Times New Roman" w:hAnsi="Times New Roman"/>
                <w:color w:val="000000" w:themeColor="text1"/>
                <w:sz w:val="20"/>
                <w:szCs w:val="20"/>
                <w:lang w:val="ro-RO" w:eastAsia="ro-MD"/>
              </w:rPr>
              <w:t>.</w:t>
            </w:r>
          </w:p>
          <w:p w14:paraId="502024F0" w14:textId="49DF8081" w:rsidR="00D27EC8" w:rsidRPr="00D27EC8" w:rsidRDefault="00D27EC8" w:rsidP="00D27EC8">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7C35EE17" w14:textId="6ED6DB42" w:rsidR="00D27EC8" w:rsidRPr="002C32BA" w:rsidRDefault="00D27EC8" w:rsidP="00D27EC8">
            <w:pPr>
              <w:rPr>
                <w:rFonts w:ascii="Times New Roman" w:hAnsi="Times New Roman" w:cs="Times New Roman"/>
                <w:sz w:val="20"/>
                <w:szCs w:val="20"/>
                <w:lang w:val="ro-RO"/>
              </w:rPr>
            </w:pPr>
            <w:r>
              <w:rPr>
                <w:rFonts w:ascii="Times New Roman" w:hAnsi="Times New Roman" w:cs="Times New Roman"/>
                <w:sz w:val="20"/>
                <w:szCs w:val="20"/>
                <w:lang w:val="ro-RO"/>
              </w:rPr>
              <w:t>C</w:t>
            </w:r>
            <w:r w:rsidRPr="002C32BA">
              <w:rPr>
                <w:rFonts w:ascii="Times New Roman" w:hAnsi="Times New Roman" w:cs="Times New Roman"/>
                <w:sz w:val="20"/>
                <w:szCs w:val="20"/>
                <w:lang w:val="ro-RO"/>
              </w:rPr>
              <w:t>ompatibil</w:t>
            </w:r>
          </w:p>
        </w:tc>
        <w:tc>
          <w:tcPr>
            <w:tcW w:w="885" w:type="pct"/>
          </w:tcPr>
          <w:p w14:paraId="43A6555C" w14:textId="77777777" w:rsidR="00D27EC8" w:rsidRDefault="00D27EC8" w:rsidP="00D27EC8">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BFBDF91" w14:textId="77777777" w:rsidR="00D27EC8" w:rsidRDefault="00D27EC8" w:rsidP="00D27EC8">
            <w:pPr>
              <w:jc w:val="both"/>
              <w:rPr>
                <w:rFonts w:ascii="Times New Roman" w:hAnsi="Times New Roman" w:cs="Times New Roman"/>
                <w:sz w:val="20"/>
                <w:szCs w:val="20"/>
                <w:lang w:val="ro-RO"/>
              </w:rPr>
            </w:pPr>
          </w:p>
        </w:tc>
      </w:tr>
      <w:tr w:rsidR="00D62F3C" w:rsidRPr="002C32BA" w14:paraId="7E83350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1916" w:type="pct"/>
          </w:tcPr>
          <w:p w14:paraId="235BCD8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(3) În sensul alineatului (1) litera (c), „titluri de datorie emise de instituții” includ toate instrumentele financiare următoare:</w:t>
            </w:r>
          </w:p>
          <w:p w14:paraId="13E89FC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titluri de datorie emise de administrații regionale sau autorități locale, altele decât acele titluri de datorie menționate la alineatul (2) litera (a);</w:t>
            </w:r>
          </w:p>
          <w:p w14:paraId="5E46E9D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titluri de datorie emise de entități din sectorul public, în cazul în care expunerile față de acestea sunt tratate în conformitate cu articolul 116 alineatele (1) și (2);</w:t>
            </w:r>
          </w:p>
          <w:p w14:paraId="6186A93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titluri de datorie emise de bănci de dezvoltare multilaterală, altele decât cele cărora li se atribuie o pondere de risc de 0 % în temeiul articolului 117 alineatul (2).</w:t>
            </w:r>
          </w:p>
        </w:tc>
        <w:tc>
          <w:tcPr>
            <w:tcW w:w="1636" w:type="pct"/>
            <w:shd w:val="clear" w:color="auto" w:fill="auto"/>
          </w:tcPr>
          <w:p w14:paraId="71E83C4D" w14:textId="77777777" w:rsidR="006F7EE8" w:rsidRPr="00E8164A" w:rsidRDefault="00D62F3C"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5B4F95">
              <w:rPr>
                <w:rFonts w:ascii="Times New Roman" w:hAnsi="Times New Roman"/>
                <w:b/>
                <w:bCs/>
                <w:sz w:val="20"/>
                <w:szCs w:val="20"/>
                <w:lang w:val="ro-RO" w:eastAsia="ru-RU"/>
              </w:rPr>
              <w:t>27.</w:t>
            </w:r>
            <w:r w:rsidRPr="002C32BA">
              <w:rPr>
                <w:rFonts w:ascii="Times New Roman" w:hAnsi="Times New Roman"/>
                <w:sz w:val="20"/>
                <w:szCs w:val="20"/>
                <w:lang w:val="ro-RO" w:eastAsia="ru-RU"/>
              </w:rPr>
              <w:t xml:space="preserve"> </w:t>
            </w:r>
            <w:r w:rsidR="006F7EE8" w:rsidRPr="00E8164A">
              <w:rPr>
                <w:rFonts w:ascii="Times New Roman" w:eastAsia="Times New Roman" w:hAnsi="Times New Roman" w:cs="Times New Roman"/>
                <w:color w:val="000000" w:themeColor="text1"/>
                <w:sz w:val="20"/>
                <w:szCs w:val="20"/>
                <w:lang w:val="ro-RO" w:eastAsia="ro-MD"/>
              </w:rPr>
              <w:t>În scopul punctului 25 subpunctul 4), titlurile de datorie emise de bănci, de asemenea, includ următoarele:</w:t>
            </w:r>
          </w:p>
          <w:p w14:paraId="755E513A" w14:textId="03CCAE53" w:rsidR="006F7EE8" w:rsidRPr="00E8164A" w:rsidRDefault="006F7EE8"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titlurile de datorie emise de administrații regionale sau autorități locale, altele decât cele menționate la punctul 26 subpunctul 1);</w:t>
            </w:r>
          </w:p>
          <w:p w14:paraId="3E5F16A1" w14:textId="7E148A70" w:rsidR="006F7EE8" w:rsidRPr="00E8164A" w:rsidRDefault="006F7EE8"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titlurile de datorie emise de entități din sectorul public, în cazul în care expunerile față de acestea sunt tratate în conformitate cu Regulamentul nr.111/2018;</w:t>
            </w:r>
          </w:p>
          <w:p w14:paraId="4799E84E" w14:textId="60F4025E" w:rsidR="00D62F3C" w:rsidRPr="002C32BA" w:rsidRDefault="006F7EE8" w:rsidP="006F7EE8">
            <w:pPr>
              <w:pStyle w:val="CM4"/>
              <w:tabs>
                <w:tab w:val="left" w:pos="150"/>
              </w:tabs>
              <w:ind w:left="-36"/>
              <w:rPr>
                <w:rFonts w:ascii="Times New Roman" w:hAnsi="Times New Roman"/>
                <w:sz w:val="20"/>
                <w:szCs w:val="20"/>
                <w:lang w:val="ro-RO" w:eastAsia="ru-RU"/>
              </w:rPr>
            </w:pPr>
            <w:r w:rsidRPr="00E8164A">
              <w:rPr>
                <w:rFonts w:ascii="Times New Roman" w:hAnsi="Times New Roman"/>
                <w:color w:val="000000" w:themeColor="text1"/>
                <w:sz w:val="20"/>
                <w:szCs w:val="20"/>
                <w:lang w:val="ro-RO" w:eastAsia="ro-MD"/>
              </w:rPr>
              <w:t>3) titlurile de datorie emise de bănci de dezvoltare multilaterală, altele decât cele cărora li se atribuie o pondere de risc de 0% în temeiul Regulamentului nr.111/2018.</w:t>
            </w:r>
          </w:p>
        </w:tc>
        <w:tc>
          <w:tcPr>
            <w:tcW w:w="562" w:type="pct"/>
          </w:tcPr>
          <w:p w14:paraId="7671DF82"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p w14:paraId="09988301" w14:textId="77777777" w:rsidR="00D62F3C" w:rsidRPr="002C32BA" w:rsidRDefault="00D62F3C" w:rsidP="00D62F3C">
            <w:pPr>
              <w:rPr>
                <w:rFonts w:ascii="Times New Roman" w:hAnsi="Times New Roman" w:cs="Times New Roman"/>
                <w:sz w:val="20"/>
                <w:szCs w:val="20"/>
                <w:lang w:val="ro-RO"/>
              </w:rPr>
            </w:pPr>
          </w:p>
          <w:p w14:paraId="3AE66BBF" w14:textId="77777777" w:rsidR="00D62F3C" w:rsidRPr="002C32BA" w:rsidRDefault="00D62F3C" w:rsidP="00D62F3C">
            <w:pPr>
              <w:rPr>
                <w:rFonts w:ascii="Times New Roman" w:hAnsi="Times New Roman" w:cs="Times New Roman"/>
                <w:sz w:val="20"/>
                <w:szCs w:val="20"/>
                <w:lang w:val="ro-RO"/>
              </w:rPr>
            </w:pPr>
          </w:p>
          <w:p w14:paraId="34C04293" w14:textId="77777777" w:rsidR="00D62F3C" w:rsidRPr="002C32BA" w:rsidRDefault="00D62F3C" w:rsidP="00D62F3C">
            <w:pPr>
              <w:rPr>
                <w:rFonts w:ascii="Times New Roman" w:hAnsi="Times New Roman" w:cs="Times New Roman"/>
                <w:sz w:val="20"/>
                <w:szCs w:val="20"/>
                <w:lang w:val="ro-RO"/>
              </w:rPr>
            </w:pPr>
          </w:p>
          <w:p w14:paraId="4EC6C01E" w14:textId="77777777" w:rsidR="00D62F3C" w:rsidRPr="002C32BA" w:rsidRDefault="00D62F3C" w:rsidP="00D62F3C">
            <w:pPr>
              <w:rPr>
                <w:rFonts w:ascii="Times New Roman" w:hAnsi="Times New Roman" w:cs="Times New Roman"/>
                <w:sz w:val="20"/>
                <w:szCs w:val="20"/>
                <w:lang w:val="ro-RO"/>
              </w:rPr>
            </w:pPr>
          </w:p>
          <w:p w14:paraId="39C51A03" w14:textId="77777777" w:rsidR="00D62F3C" w:rsidRPr="002C32BA" w:rsidRDefault="00D62F3C" w:rsidP="00D62F3C">
            <w:pPr>
              <w:rPr>
                <w:rFonts w:ascii="Times New Roman" w:hAnsi="Times New Roman" w:cs="Times New Roman"/>
                <w:sz w:val="20"/>
                <w:szCs w:val="20"/>
                <w:lang w:val="ro-RO"/>
              </w:rPr>
            </w:pPr>
          </w:p>
          <w:p w14:paraId="5983BA22" w14:textId="77777777" w:rsidR="00D62F3C" w:rsidRPr="002C32BA" w:rsidRDefault="00D62F3C" w:rsidP="00D62F3C">
            <w:pPr>
              <w:rPr>
                <w:rFonts w:ascii="Times New Roman" w:hAnsi="Times New Roman" w:cs="Times New Roman"/>
                <w:sz w:val="20"/>
                <w:szCs w:val="20"/>
                <w:lang w:val="ro-RO"/>
              </w:rPr>
            </w:pPr>
          </w:p>
        </w:tc>
        <w:tc>
          <w:tcPr>
            <w:tcW w:w="885" w:type="pct"/>
          </w:tcPr>
          <w:p w14:paraId="6A32B2BC" w14:textId="090F92FA"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5FFD946" w14:textId="77777777" w:rsidR="00D62F3C" w:rsidRPr="002C32BA" w:rsidRDefault="00D62F3C" w:rsidP="00D62F3C">
            <w:pPr>
              <w:jc w:val="both"/>
              <w:rPr>
                <w:rFonts w:ascii="Times New Roman" w:hAnsi="Times New Roman" w:cs="Times New Roman"/>
                <w:sz w:val="20"/>
                <w:szCs w:val="20"/>
                <w:lang w:val="ro-RO"/>
              </w:rPr>
            </w:pPr>
          </w:p>
          <w:p w14:paraId="333F1963" w14:textId="77777777" w:rsidR="00D62F3C" w:rsidRPr="002C32BA" w:rsidRDefault="00D62F3C" w:rsidP="00D62F3C">
            <w:pPr>
              <w:jc w:val="both"/>
              <w:rPr>
                <w:rFonts w:ascii="Times New Roman" w:hAnsi="Times New Roman" w:cs="Times New Roman"/>
                <w:sz w:val="20"/>
                <w:szCs w:val="20"/>
                <w:lang w:val="ro-RO"/>
              </w:rPr>
            </w:pPr>
          </w:p>
          <w:p w14:paraId="16BDC555" w14:textId="77777777" w:rsidR="00D62F3C" w:rsidRPr="002C32BA" w:rsidRDefault="00D62F3C" w:rsidP="00D62F3C">
            <w:pPr>
              <w:jc w:val="both"/>
              <w:rPr>
                <w:rFonts w:ascii="Times New Roman" w:hAnsi="Times New Roman" w:cs="Times New Roman"/>
                <w:sz w:val="20"/>
                <w:szCs w:val="20"/>
                <w:lang w:val="ro-RO"/>
              </w:rPr>
            </w:pPr>
          </w:p>
          <w:p w14:paraId="0948039B" w14:textId="77777777" w:rsidR="00D62F3C" w:rsidRPr="002C32BA" w:rsidRDefault="00D62F3C" w:rsidP="00D62F3C">
            <w:pPr>
              <w:jc w:val="both"/>
              <w:rPr>
                <w:rFonts w:ascii="Times New Roman" w:hAnsi="Times New Roman" w:cs="Times New Roman"/>
                <w:sz w:val="20"/>
                <w:szCs w:val="20"/>
                <w:lang w:val="ro-RO"/>
              </w:rPr>
            </w:pPr>
          </w:p>
          <w:p w14:paraId="2ABF0DDA"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ADB9B0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86"/>
        </w:trPr>
        <w:tc>
          <w:tcPr>
            <w:tcW w:w="1916" w:type="pct"/>
          </w:tcPr>
          <w:p w14:paraId="0A96C07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M9</w:t>
            </w:r>
          </w:p>
          <w:p w14:paraId="54624436" w14:textId="5D395EA0"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(4) O instituție poate utiliza titluri de datorie emise de alte instituții sau de firme de investiții și care nu au o evaluare a creditului efectuată de o ECAI drept garanții reale eligibile, în cazul în care aceste titluri de datorie îndeplinesc toate criteriile următoare:</w:t>
            </w:r>
          </w:p>
          <w:p w14:paraId="58DFA12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sunt cotate la o bursă de schimb recunoscută;</w:t>
            </w:r>
          </w:p>
          <w:p w14:paraId="1637728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se califică drept datorie cu rang prioritar;</w:t>
            </w:r>
          </w:p>
          <w:p w14:paraId="683242F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toate celelalte emisiuni evaluate ale instituției emitente, cu același rang, au o evaluare a creditului efectuată de o ECAI, pe care ABE a asociat-o cu nivelul 3 de calitate a creditului sau cu un nivel superior, în conformitate cu normele de ponderare la risc a expunerilor față de instituții sau a expunerilor pe termen scurt, prevăzute la capitolul 2;</w:t>
            </w:r>
          </w:p>
          <w:p w14:paraId="6B40035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instituția creditoare nu deține nicio informație care să sugereze că ar fi justificat ca emisiunea să aibă o evaluare a creditului inferioară celei indicate la litera (c);</w:t>
            </w:r>
          </w:p>
          <w:p w14:paraId="11CC823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(e) lichiditatea pe piață a instrumentului este suficientă pentru aceste scopuri.</w:t>
            </w:r>
          </w:p>
        </w:tc>
        <w:tc>
          <w:tcPr>
            <w:tcW w:w="1636" w:type="pct"/>
            <w:shd w:val="clear" w:color="auto" w:fill="auto"/>
          </w:tcPr>
          <w:p w14:paraId="63CD8D80" w14:textId="77777777" w:rsidR="006F7EE8" w:rsidRPr="00E8164A" w:rsidRDefault="00D62F3C" w:rsidP="006F7EE8">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B4F95">
              <w:rPr>
                <w:rFonts w:ascii="Times New Roman" w:hAnsi="Times New Roman"/>
                <w:b/>
                <w:bCs/>
                <w:sz w:val="20"/>
                <w:szCs w:val="20"/>
                <w:lang w:val="ro-RO" w:eastAsia="ru-RU"/>
              </w:rPr>
              <w:t>28.</w:t>
            </w:r>
            <w:r w:rsidRPr="002C32BA">
              <w:rPr>
                <w:rFonts w:ascii="Times New Roman" w:hAnsi="Times New Roman"/>
                <w:sz w:val="20"/>
                <w:szCs w:val="20"/>
                <w:lang w:val="ro-RO" w:eastAsia="ru-RU"/>
              </w:rPr>
              <w:t xml:space="preserve"> </w:t>
            </w:r>
            <w:r w:rsidR="006F7EE8" w:rsidRPr="00E8164A">
              <w:rPr>
                <w:rFonts w:ascii="Times New Roman" w:eastAsia="Times New Roman" w:hAnsi="Times New Roman" w:cs="Times New Roman"/>
                <w:color w:val="000000" w:themeColor="text1"/>
                <w:sz w:val="20"/>
                <w:szCs w:val="20"/>
                <w:lang w:val="ro-RO" w:eastAsia="ro-MD"/>
              </w:rPr>
              <w:t>O bancă poate utiliza drept garanții reale eligibile titluri de datorie emise de alte bănci</w:t>
            </w:r>
            <w:r w:rsidR="006F7EE8" w:rsidRPr="00E8164A">
              <w:rPr>
                <w:color w:val="000000" w:themeColor="text1"/>
                <w:sz w:val="20"/>
                <w:szCs w:val="20"/>
              </w:rPr>
              <w:t xml:space="preserve"> </w:t>
            </w:r>
            <w:bookmarkStart w:id="23" w:name="_Hlk215735491"/>
            <w:r w:rsidR="006F7EE8" w:rsidRPr="00E8164A">
              <w:rPr>
                <w:rFonts w:ascii="Times New Roman" w:eastAsia="Times New Roman" w:hAnsi="Times New Roman" w:cs="Times New Roman"/>
                <w:color w:val="000000" w:themeColor="text1"/>
                <w:sz w:val="20"/>
                <w:szCs w:val="20"/>
                <w:lang w:val="ro-RO" w:eastAsia="ro-MD"/>
              </w:rPr>
              <w:t>sau de societăți de investiții</w:t>
            </w:r>
            <w:bookmarkEnd w:id="23"/>
            <w:r w:rsidR="006F7EE8" w:rsidRPr="00E8164A">
              <w:rPr>
                <w:rFonts w:ascii="Times New Roman" w:eastAsia="Times New Roman" w:hAnsi="Times New Roman" w:cs="Times New Roman"/>
                <w:color w:val="000000" w:themeColor="text1"/>
                <w:sz w:val="20"/>
                <w:szCs w:val="20"/>
                <w:lang w:val="ro-RO" w:eastAsia="ro-MD"/>
              </w:rPr>
              <w:t>, titlurile în cauză neavând o evaluare a creditului efectuată de o ECAI, în cazul în care aceste titluri de datorie întrunesc cumulativ următoarele criterii:</w:t>
            </w:r>
          </w:p>
          <w:p w14:paraId="5FBA5857" w14:textId="6BD99943" w:rsidR="006F7EE8" w:rsidRPr="00E8164A" w:rsidRDefault="006F7EE8"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acestea sunt cotate la o bursă recunoscută;</w:t>
            </w:r>
          </w:p>
          <w:p w14:paraId="0ADBF094" w14:textId="253DBC8D" w:rsidR="006F7EE8" w:rsidRPr="00E8164A" w:rsidRDefault="006F7EE8"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acestea se califică drept datorie cu rang prioritar;</w:t>
            </w:r>
          </w:p>
          <w:p w14:paraId="32A9119E" w14:textId="14925DA5" w:rsidR="006F7EE8" w:rsidRPr="00E8164A" w:rsidRDefault="006F7EE8"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 toate celelalte emisiuni evaluate ale băncii emitente, care au același rang și au o evaluare a creditului efectuată de o ECAI, pe care Banca Națională a Moldovei a asociat-o cu nivelul 3 de calitate a creditului sau cu un nivel superior, în conformitate cu normele de ponderare la risc a expunerilor față de bănci sau a expunerilor pe termen scurt, prevăzute în Regulamentul nr.111/2018;</w:t>
            </w:r>
          </w:p>
          <w:p w14:paraId="1B15A88D" w14:textId="055C1746" w:rsidR="006F7EE8" w:rsidRPr="00E8164A" w:rsidRDefault="006F7EE8"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4) banca creditoare nu deține nicio informație care să justifice faptul că emisiunea are o evaluare a creditului inferioară celei indicate la subpunctul 3);</w:t>
            </w:r>
          </w:p>
          <w:p w14:paraId="57DA8BB1" w14:textId="28EFEE02" w:rsidR="00D62F3C" w:rsidRPr="002C32BA" w:rsidRDefault="006F7EE8" w:rsidP="006F7EE8">
            <w:pPr>
              <w:pStyle w:val="CM4"/>
              <w:tabs>
                <w:tab w:val="left" w:pos="150"/>
              </w:tabs>
              <w:ind w:left="-36"/>
              <w:rPr>
                <w:rFonts w:ascii="Times New Roman" w:hAnsi="Times New Roman"/>
                <w:sz w:val="20"/>
                <w:szCs w:val="20"/>
                <w:lang w:val="ro-RO" w:eastAsia="ru-RU"/>
              </w:rPr>
            </w:pPr>
            <w:r w:rsidRPr="00E8164A">
              <w:rPr>
                <w:rFonts w:ascii="Times New Roman" w:hAnsi="Times New Roman"/>
                <w:color w:val="000000" w:themeColor="text1"/>
                <w:sz w:val="20"/>
                <w:szCs w:val="20"/>
                <w:lang w:val="ro-RO" w:eastAsia="ro-MD"/>
              </w:rPr>
              <w:t>5) lichiditatea pe piață a instrumentului este suficientă pentru aceste scopuri</w:t>
            </w:r>
          </w:p>
        </w:tc>
        <w:tc>
          <w:tcPr>
            <w:tcW w:w="562" w:type="pct"/>
          </w:tcPr>
          <w:p w14:paraId="762DF038" w14:textId="110CF8D5" w:rsidR="00D62F3C" w:rsidRPr="002C32BA" w:rsidRDefault="005B4F95"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p w14:paraId="5B659C43" w14:textId="77777777" w:rsidR="00D62F3C" w:rsidRPr="002C32BA" w:rsidRDefault="00D62F3C" w:rsidP="00D62F3C">
            <w:pPr>
              <w:rPr>
                <w:rFonts w:ascii="Times New Roman" w:hAnsi="Times New Roman" w:cs="Times New Roman"/>
                <w:sz w:val="20"/>
                <w:szCs w:val="20"/>
                <w:lang w:val="ro-RO"/>
              </w:rPr>
            </w:pPr>
          </w:p>
        </w:tc>
        <w:tc>
          <w:tcPr>
            <w:tcW w:w="885" w:type="pct"/>
          </w:tcPr>
          <w:p w14:paraId="6428A35C" w14:textId="7826BE10"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060FE547" w14:textId="2BB76ECC" w:rsidR="00D62F3C" w:rsidRPr="002C32BA" w:rsidRDefault="00D62F3C" w:rsidP="00D62F3C">
            <w:pPr>
              <w:jc w:val="both"/>
              <w:rPr>
                <w:rFonts w:ascii="Times New Roman" w:hAnsi="Times New Roman" w:cs="Times New Roman"/>
                <w:sz w:val="20"/>
                <w:szCs w:val="20"/>
                <w:lang w:val="ro-RO"/>
              </w:rPr>
            </w:pPr>
          </w:p>
        </w:tc>
      </w:tr>
      <w:tr w:rsidR="006F7EE8" w:rsidRPr="002C32BA" w14:paraId="1F8ADC9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45D63068" w14:textId="77777777" w:rsidR="006F7EE8" w:rsidRPr="002C32BA" w:rsidRDefault="006F7EE8" w:rsidP="006F7EE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(5) Instituțiile pot utiliza unitățile sau acțiunile deținute în OPC drept garanții reale eligibile, în cazul în care sunt îndeplinite </w:t>
            </w:r>
            <w:r w:rsidRPr="002C32BA">
              <w:rPr>
                <w:rFonts w:ascii="Times New Roman" w:hAnsi="Times New Roman"/>
                <w:iCs/>
                <w:sz w:val="20"/>
                <w:szCs w:val="20"/>
                <w:u w:val="single"/>
                <w:lang w:val="ro-RO" w:eastAsia="ru-RU"/>
              </w:rPr>
              <w:t>cumulativ</w:t>
            </w:r>
            <w:r w:rsidRPr="002C32BA">
              <w:rPr>
                <w:rFonts w:ascii="Times New Roman" w:hAnsi="Times New Roman"/>
                <w:iCs/>
                <w:sz w:val="20"/>
                <w:szCs w:val="20"/>
                <w:lang w:val="ro-RO" w:eastAsia="ru-RU"/>
              </w:rPr>
              <w:t xml:space="preserve"> următoarele condiții:</w:t>
            </w:r>
          </w:p>
          <w:p w14:paraId="450BE4B7" w14:textId="77777777" w:rsidR="006F7EE8" w:rsidRPr="002C32BA" w:rsidRDefault="006F7EE8" w:rsidP="006F7EE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unitățile sau acțiunile au o cotație publică zilnică a prețului;</w:t>
            </w:r>
          </w:p>
          <w:p w14:paraId="74521FA3" w14:textId="77777777" w:rsidR="006F7EE8" w:rsidRPr="002C32BA" w:rsidRDefault="006F7EE8" w:rsidP="006F7EE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OPC se limitează la investiții în instrumente care sunt eligibile pentru recunoaștere în temeiul alineatelor (1) și (4);</w:t>
            </w:r>
          </w:p>
          <w:p w14:paraId="0D94A448" w14:textId="77777777" w:rsidR="006F7EE8" w:rsidRPr="002C32BA" w:rsidRDefault="006F7EE8" w:rsidP="006F7EE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w:t>
            </w:r>
            <w:r w:rsidRPr="002C32BA">
              <w:rPr>
                <w:rFonts w:ascii="Times New Roman" w:hAnsi="Times New Roman"/>
                <w:iCs/>
                <w:sz w:val="20"/>
                <w:szCs w:val="20"/>
                <w:u w:val="single"/>
                <w:lang w:val="ro-RO" w:eastAsia="ru-RU"/>
              </w:rPr>
              <w:t>) OPC îndeplinesc condițiile prevăzute la articolul 132</w:t>
            </w:r>
            <w:r w:rsidRPr="002C32BA">
              <w:rPr>
                <w:rFonts w:ascii="Times New Roman" w:hAnsi="Times New Roman"/>
                <w:iCs/>
                <w:sz w:val="20"/>
                <w:szCs w:val="20"/>
                <w:lang w:val="ro-RO" w:eastAsia="ru-RU"/>
              </w:rPr>
              <w:t xml:space="preserve"> alineatul (3).</w:t>
            </w:r>
          </w:p>
          <w:p w14:paraId="341AED78" w14:textId="077F9AAA" w:rsidR="006F7EE8" w:rsidRPr="002C32BA" w:rsidRDefault="006F7EE8" w:rsidP="006F7EE8">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6B677CFA" w14:textId="77777777" w:rsidR="006F7EE8" w:rsidRPr="00E8164A" w:rsidRDefault="006F7EE8" w:rsidP="006F7EE8">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28</w:t>
            </w:r>
            <w:r w:rsidRPr="00E8164A">
              <w:rPr>
                <w:rFonts w:ascii="Times New Roman" w:eastAsia="Times New Roman" w:hAnsi="Times New Roman" w:cs="Times New Roman"/>
                <w:b/>
                <w:bCs/>
                <w:color w:val="000000" w:themeColor="text1"/>
                <w:sz w:val="20"/>
                <w:szCs w:val="20"/>
                <w:vertAlign w:val="superscript"/>
                <w:lang w:val="ro-RO" w:eastAsia="ro-MD"/>
              </w:rPr>
              <w:t>1</w:t>
            </w:r>
            <w:r w:rsidRPr="00E8164A">
              <w:rPr>
                <w:rFonts w:ascii="Times New Roman" w:eastAsia="Times New Roman" w:hAnsi="Times New Roman" w:cs="Times New Roman"/>
                <w:b/>
                <w:bCs/>
                <w:color w:val="000000" w:themeColor="text1"/>
                <w:sz w:val="20"/>
                <w:szCs w:val="20"/>
                <w:lang w:val="ro-RO" w:eastAsia="ro-MD"/>
              </w:rPr>
              <w:t>.</w:t>
            </w:r>
            <w:r w:rsidRPr="00E8164A">
              <w:rPr>
                <w:color w:val="000000" w:themeColor="text1"/>
                <w:sz w:val="20"/>
                <w:szCs w:val="20"/>
              </w:rPr>
              <w:t xml:space="preserve"> </w:t>
            </w:r>
            <w:r w:rsidRPr="00E8164A">
              <w:rPr>
                <w:rFonts w:ascii="Times New Roman" w:eastAsia="Times New Roman" w:hAnsi="Times New Roman" w:cs="Times New Roman"/>
                <w:color w:val="000000" w:themeColor="text1"/>
                <w:sz w:val="20"/>
                <w:szCs w:val="20"/>
                <w:lang w:val="ro-RO" w:eastAsia="ro-MD"/>
              </w:rPr>
              <w:t>Băncile pot utiliza unitățile sau acțiunile deținute în OPC drept garanții reale eligibile, în cazul în care sunt îndeplinite cumulativ următoarele condiții:</w:t>
            </w:r>
          </w:p>
          <w:p w14:paraId="7C327DED" w14:textId="77777777" w:rsidR="006F7EE8" w:rsidRPr="00E8164A" w:rsidRDefault="006F7EE8"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unitățile sau acțiunile au o cotație publică zilnică a prețului;</w:t>
            </w:r>
          </w:p>
          <w:p w14:paraId="3815D7B9" w14:textId="77777777" w:rsidR="006F7EE8" w:rsidRPr="00E8164A" w:rsidRDefault="006F7EE8" w:rsidP="006F7EE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OPC se limitează la investiții în instrumente care sunt eligibile pentru recunoaștere în temeiul punctelor 25 și 28;</w:t>
            </w:r>
          </w:p>
          <w:p w14:paraId="4DEE2D20" w14:textId="4545F553" w:rsidR="006F7EE8" w:rsidRPr="006F7EE8" w:rsidRDefault="006F7EE8" w:rsidP="006F7EE8">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3) OPC îndeplinesc condițiile pentru stabilirea valorii expunerii ponderate la risc pentru expunerile unui OPC prevăzute  Regulamentul nr.111/2018</w:t>
            </w:r>
            <w:r>
              <w:rPr>
                <w:rFonts w:ascii="Times New Roman" w:hAnsi="Times New Roman"/>
                <w:color w:val="000000" w:themeColor="text1"/>
                <w:sz w:val="20"/>
                <w:szCs w:val="20"/>
                <w:lang w:val="ro-RO" w:eastAsia="ro-MD"/>
              </w:rPr>
              <w:t>.</w:t>
            </w:r>
          </w:p>
          <w:p w14:paraId="0814EEBC" w14:textId="41DB3C34" w:rsidR="006F7EE8" w:rsidRPr="006F7EE8" w:rsidRDefault="006F7EE8" w:rsidP="006F7EE8">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6955369A" w14:textId="77777777" w:rsidR="006F7EE8" w:rsidRPr="002C32BA" w:rsidRDefault="006F7EE8" w:rsidP="006F7EE8">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p w14:paraId="2617697B" w14:textId="451247B1" w:rsidR="006F7EE8" w:rsidRPr="002C32BA" w:rsidRDefault="006F7EE8" w:rsidP="006F7EE8">
            <w:pPr>
              <w:rPr>
                <w:rFonts w:ascii="Times New Roman" w:hAnsi="Times New Roman" w:cs="Times New Roman"/>
                <w:sz w:val="20"/>
                <w:szCs w:val="20"/>
                <w:lang w:val="ro-RO"/>
              </w:rPr>
            </w:pPr>
          </w:p>
        </w:tc>
        <w:tc>
          <w:tcPr>
            <w:tcW w:w="885" w:type="pct"/>
          </w:tcPr>
          <w:p w14:paraId="051CA1F8" w14:textId="77777777" w:rsidR="006F7EE8" w:rsidRDefault="006F7EE8" w:rsidP="006F7EE8">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B365C96" w14:textId="76383876" w:rsidR="006F7EE8" w:rsidRPr="002C32BA" w:rsidRDefault="006F7EE8" w:rsidP="006F7EE8">
            <w:pPr>
              <w:jc w:val="both"/>
              <w:rPr>
                <w:rFonts w:ascii="Times New Roman" w:hAnsi="Times New Roman" w:cs="Times New Roman"/>
                <w:sz w:val="20"/>
                <w:szCs w:val="20"/>
                <w:lang w:val="ro-RO"/>
              </w:rPr>
            </w:pPr>
          </w:p>
        </w:tc>
      </w:tr>
      <w:tr w:rsidR="00A146DF" w:rsidRPr="002C32BA" w14:paraId="50F7666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383DA76F" w14:textId="77777777" w:rsidR="00A146DF" w:rsidRPr="002C32BA" w:rsidRDefault="00A146DF" w:rsidP="00A146DF">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În cazul în care un OPC investește în acțiunile sau unitățile altui OPC, condițiile prevăzute la primul paragraf literele (a)-(c) se aplică, de asemenea, oricărui astfel de OPC-suport.</w:t>
            </w:r>
          </w:p>
          <w:p w14:paraId="2D77DE13" w14:textId="1578D915" w:rsidR="00A146DF" w:rsidRPr="002C32BA" w:rsidRDefault="00A146DF" w:rsidP="00A146DF">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Utilizarea de către un OPC a instrumentelor financiare derivate pentru acoperirea riscurilor aferente investițiilor permise nu afectează eligibilitatea ca garanții reale a unităților sau a acțiunilor deținute în acest organism.</w:t>
            </w:r>
          </w:p>
        </w:tc>
        <w:tc>
          <w:tcPr>
            <w:tcW w:w="1636" w:type="pct"/>
            <w:shd w:val="clear" w:color="auto" w:fill="auto"/>
          </w:tcPr>
          <w:p w14:paraId="52F77553" w14:textId="76885FE0" w:rsidR="00A146DF" w:rsidRPr="00E8164A" w:rsidRDefault="00A146DF" w:rsidP="00A146DF">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28</w:t>
            </w:r>
            <w:r w:rsidRPr="00E8164A">
              <w:rPr>
                <w:rFonts w:ascii="Times New Roman" w:eastAsia="Times New Roman" w:hAnsi="Times New Roman" w:cs="Times New Roman"/>
                <w:b/>
                <w:bCs/>
                <w:color w:val="000000" w:themeColor="text1"/>
                <w:sz w:val="20"/>
                <w:szCs w:val="20"/>
                <w:vertAlign w:val="superscript"/>
                <w:lang w:val="ro-RO" w:eastAsia="ro-MD"/>
              </w:rPr>
              <w:t>2</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cazul în care un OPC investește în acțiunile sau unitățile altui OPC, condițiile prevăzute la subpunctele 1)-3) de la punctul 28</w:t>
            </w:r>
            <w:r w:rsidRPr="00E8164A">
              <w:rPr>
                <w:rFonts w:ascii="Times New Roman" w:eastAsia="Times New Roman" w:hAnsi="Times New Roman" w:cs="Times New Roman"/>
                <w:color w:val="000000" w:themeColor="text1"/>
                <w:sz w:val="20"/>
                <w:szCs w:val="20"/>
                <w:vertAlign w:val="superscript"/>
                <w:lang w:val="ro-RO" w:eastAsia="ro-MD"/>
              </w:rPr>
              <w:t>1</w:t>
            </w:r>
            <w:r w:rsidRPr="00E8164A">
              <w:rPr>
                <w:rFonts w:ascii="Times New Roman" w:eastAsia="Times New Roman" w:hAnsi="Times New Roman" w:cs="Times New Roman"/>
                <w:color w:val="000000" w:themeColor="text1"/>
                <w:sz w:val="20"/>
                <w:szCs w:val="20"/>
                <w:lang w:val="ro-RO" w:eastAsia="ro-MD"/>
              </w:rPr>
              <w:t xml:space="preserve"> se aplică, de asemenea, oricărui astfel de OPC-suport.</w:t>
            </w:r>
          </w:p>
          <w:p w14:paraId="28C948BA" w14:textId="77777777" w:rsidR="00A146DF" w:rsidRDefault="00A146DF" w:rsidP="00A146DF">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28</w:t>
            </w:r>
            <w:r w:rsidRPr="00E8164A">
              <w:rPr>
                <w:rFonts w:ascii="Times New Roman" w:eastAsia="Times New Roman" w:hAnsi="Times New Roman" w:cs="Times New Roman"/>
                <w:b/>
                <w:bCs/>
                <w:color w:val="000000" w:themeColor="text1"/>
                <w:sz w:val="20"/>
                <w:szCs w:val="20"/>
                <w:vertAlign w:val="superscript"/>
                <w:lang w:val="ro-RO" w:eastAsia="ro-MD"/>
              </w:rPr>
              <w:t>3</w:t>
            </w:r>
            <w:r w:rsidRPr="00E8164A">
              <w:rPr>
                <w:rFonts w:ascii="Times New Roman" w:eastAsia="Times New Roman" w:hAnsi="Times New Roman" w:cs="Times New Roman"/>
                <w:b/>
                <w:bCs/>
                <w:color w:val="000000" w:themeColor="text1"/>
                <w:sz w:val="20"/>
                <w:szCs w:val="20"/>
                <w:lang w:val="ro-RO" w:eastAsia="ro-MD"/>
              </w:rPr>
              <w:t xml:space="preserve">. </w:t>
            </w:r>
            <w:r w:rsidRPr="00E8164A">
              <w:rPr>
                <w:rFonts w:ascii="Times New Roman" w:eastAsia="Times New Roman" w:hAnsi="Times New Roman" w:cs="Times New Roman"/>
                <w:color w:val="000000" w:themeColor="text1"/>
                <w:sz w:val="20"/>
                <w:szCs w:val="20"/>
                <w:lang w:val="ro-RO" w:eastAsia="ro-MD"/>
              </w:rPr>
              <w:t>Utilizarea de către un OPC a instrumentelor financiare derivate pentru acoperirea riscurilor aferente investițiilor permise nu afectează eligibilitatea ca garanții reale a unităților sau a acțiunilor deținute în acest organism.</w:t>
            </w:r>
          </w:p>
          <w:p w14:paraId="6A8F3AD8" w14:textId="58938EE7" w:rsidR="00A146DF" w:rsidRPr="00E8164A" w:rsidRDefault="00A146DF" w:rsidP="00A146DF">
            <w:pPr>
              <w:spacing w:after="0" w:line="240" w:lineRule="auto"/>
              <w:jc w:val="both"/>
              <w:rPr>
                <w:rFonts w:ascii="Times New Roman" w:eastAsia="Times New Roman" w:hAnsi="Times New Roman" w:cs="Times New Roman"/>
                <w:b/>
                <w:bCs/>
                <w:color w:val="000000" w:themeColor="text1"/>
                <w:sz w:val="20"/>
                <w:szCs w:val="20"/>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711A1BF1" w14:textId="77777777" w:rsidR="00A146DF" w:rsidRPr="002C32BA" w:rsidRDefault="00A146DF" w:rsidP="00A146DF">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p w14:paraId="13D1564D" w14:textId="77777777" w:rsidR="00A146DF" w:rsidRPr="002C32BA" w:rsidRDefault="00A146DF" w:rsidP="00A146DF">
            <w:pPr>
              <w:rPr>
                <w:rFonts w:ascii="Times New Roman" w:hAnsi="Times New Roman" w:cs="Times New Roman"/>
                <w:sz w:val="20"/>
                <w:szCs w:val="20"/>
                <w:lang w:val="ro-RO"/>
              </w:rPr>
            </w:pPr>
          </w:p>
        </w:tc>
        <w:tc>
          <w:tcPr>
            <w:tcW w:w="885" w:type="pct"/>
          </w:tcPr>
          <w:p w14:paraId="11AED77A" w14:textId="77777777" w:rsidR="00A146DF" w:rsidRDefault="00A146DF" w:rsidP="00A146DF">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0E875AD" w14:textId="77777777" w:rsidR="00A146DF" w:rsidRDefault="00A146DF" w:rsidP="00A146DF">
            <w:pPr>
              <w:jc w:val="both"/>
              <w:rPr>
                <w:rFonts w:ascii="Times New Roman" w:hAnsi="Times New Roman" w:cs="Times New Roman"/>
                <w:sz w:val="20"/>
                <w:szCs w:val="20"/>
                <w:lang w:val="ro-RO"/>
              </w:rPr>
            </w:pPr>
          </w:p>
        </w:tc>
      </w:tr>
      <w:tr w:rsidR="00A77EF1" w:rsidRPr="002C32BA" w14:paraId="3627D56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2B8D8AD6" w14:textId="77777777" w:rsidR="00A77EF1" w:rsidRPr="00A146DF" w:rsidRDefault="00A77EF1" w:rsidP="00A77EF1">
            <w:pPr>
              <w:pStyle w:val="CM4"/>
              <w:tabs>
                <w:tab w:val="left" w:pos="150"/>
              </w:tabs>
              <w:ind w:left="-43"/>
              <w:jc w:val="both"/>
              <w:rPr>
                <w:rFonts w:ascii="Times New Roman" w:hAnsi="Times New Roman"/>
                <w:iCs/>
                <w:sz w:val="20"/>
                <w:szCs w:val="20"/>
                <w:lang w:val="ro-RO" w:eastAsia="ru-RU"/>
              </w:rPr>
            </w:pPr>
            <w:r w:rsidRPr="00A146DF">
              <w:rPr>
                <w:rFonts w:ascii="Times New Roman" w:hAnsi="Times New Roman"/>
                <w:iCs/>
                <w:sz w:val="20"/>
                <w:szCs w:val="20"/>
                <w:lang w:val="ro-RO" w:eastAsia="ru-RU"/>
              </w:rPr>
              <w:t>▼M17</w:t>
            </w:r>
          </w:p>
          <w:p w14:paraId="4B3A6BBC" w14:textId="77777777" w:rsidR="00A77EF1" w:rsidRPr="00A146DF" w:rsidRDefault="00A77EF1" w:rsidP="00A77EF1">
            <w:pPr>
              <w:pStyle w:val="CM4"/>
              <w:tabs>
                <w:tab w:val="left" w:pos="150"/>
              </w:tabs>
              <w:ind w:left="-43"/>
              <w:jc w:val="both"/>
              <w:rPr>
                <w:rFonts w:ascii="Times New Roman" w:hAnsi="Times New Roman"/>
                <w:iCs/>
                <w:sz w:val="20"/>
                <w:szCs w:val="20"/>
                <w:lang w:val="ro-RO" w:eastAsia="ru-RU"/>
              </w:rPr>
            </w:pPr>
            <w:r w:rsidRPr="00A146DF">
              <w:rPr>
                <w:rFonts w:ascii="Times New Roman" w:hAnsi="Times New Roman"/>
                <w:iCs/>
                <w:sz w:val="20"/>
                <w:szCs w:val="20"/>
                <w:lang w:val="ro-RO" w:eastAsia="ru-RU"/>
              </w:rPr>
              <w:t>(6)   În sensul alineatului (5) de la prezentul articol, dacă un OPC (denumit în continuare „OPC-ul inițial”) sau oricare dintre OPC-urile sale suport nu se limitează să investească în instrumente care sunt eligibile în temeiul alineatelor (1) și (4) de la prezentul articol, se aplică următoarele dispoziții:</w:t>
            </w:r>
          </w:p>
          <w:p w14:paraId="153352FA" w14:textId="21F33F22" w:rsidR="00A77EF1" w:rsidRDefault="00A77EF1" w:rsidP="00A77EF1">
            <w:pPr>
              <w:pStyle w:val="CM4"/>
              <w:tabs>
                <w:tab w:val="left" w:pos="150"/>
              </w:tabs>
              <w:ind w:left="-43"/>
              <w:jc w:val="both"/>
              <w:rPr>
                <w:rFonts w:ascii="Times New Roman" w:hAnsi="Times New Roman"/>
                <w:iCs/>
                <w:sz w:val="20"/>
                <w:szCs w:val="20"/>
                <w:lang w:val="ro-RO" w:eastAsia="ru-RU"/>
              </w:rPr>
            </w:pPr>
            <w:r w:rsidRPr="00A146DF">
              <w:rPr>
                <w:rFonts w:ascii="Times New Roman" w:hAnsi="Times New Roman"/>
                <w:iCs/>
                <w:sz w:val="20"/>
                <w:szCs w:val="20"/>
                <w:lang w:val="ro-RO" w:eastAsia="ru-RU"/>
              </w:rPr>
              <w:t>(a) dacă instituțiile aplică abordarea transparentă de tip look-</w:t>
            </w:r>
            <w:proofErr w:type="spellStart"/>
            <w:r w:rsidRPr="00A146DF">
              <w:rPr>
                <w:rFonts w:ascii="Times New Roman" w:hAnsi="Times New Roman"/>
                <w:iCs/>
                <w:sz w:val="20"/>
                <w:szCs w:val="20"/>
                <w:lang w:val="ro-RO" w:eastAsia="ru-RU"/>
              </w:rPr>
              <w:t>through</w:t>
            </w:r>
            <w:proofErr w:type="spellEnd"/>
            <w:r w:rsidRPr="00A146DF">
              <w:rPr>
                <w:rFonts w:ascii="Times New Roman" w:hAnsi="Times New Roman"/>
                <w:iCs/>
                <w:sz w:val="20"/>
                <w:szCs w:val="20"/>
                <w:lang w:val="ro-RO" w:eastAsia="ru-RU"/>
              </w:rPr>
              <w:t xml:space="preserve"> menționată la articolul 132a alineatul (1) sau la articolul 152 alineatul (2) pentru expuneri directe față de un OPC, acestea pot utiliza unități sau acțiuni pe care le dețin în respectivul OPC drept garanții reale până la o sumă egală cu valoarea instrumentelor deținute de respectivul OPC care sunt eligibile în temeiul alineatelor (1) și (4) de la prezentul articol;</w:t>
            </w:r>
          </w:p>
          <w:p w14:paraId="34B4DF87" w14:textId="77777777" w:rsidR="00A77EF1" w:rsidRDefault="00A77EF1" w:rsidP="00A77EF1">
            <w:pPr>
              <w:rPr>
                <w:lang w:val="ro-RO" w:eastAsia="ru-RU"/>
              </w:rPr>
            </w:pPr>
          </w:p>
          <w:p w14:paraId="636CF76C" w14:textId="0BC9C3A9" w:rsidR="00A77EF1" w:rsidRPr="002C32BA" w:rsidRDefault="00A77EF1" w:rsidP="00A77EF1">
            <w:pPr>
              <w:pStyle w:val="CM4"/>
              <w:tabs>
                <w:tab w:val="left" w:pos="150"/>
              </w:tabs>
              <w:ind w:left="-43"/>
              <w:jc w:val="both"/>
              <w:rPr>
                <w:rFonts w:ascii="Times New Roman" w:hAnsi="Times New Roman"/>
                <w:iCs/>
                <w:sz w:val="20"/>
                <w:szCs w:val="20"/>
                <w:lang w:val="ro-RO" w:eastAsia="ru-RU"/>
              </w:rPr>
            </w:pPr>
            <w:r w:rsidRPr="00A146DF">
              <w:rPr>
                <w:rFonts w:ascii="Times New Roman" w:hAnsi="Times New Roman"/>
                <w:iCs/>
                <w:sz w:val="20"/>
                <w:szCs w:val="20"/>
                <w:lang w:val="ro-RO" w:eastAsia="ru-RU"/>
              </w:rPr>
              <w:t>(b) dacă instituțiile aplică abordarea pe bază de mandat menționată la articolul 132a alineatul (2) sau la articolul 152 alineatul (5) pentru expuneri directe față de un OPC, acestea pot utiliza unități sau acțiuni pe care le dețin în respectivul OPC drept garanții reale până la o sumă egală cu valoarea instrumentelor deținute de respectivul OPC care sunt eligibile în temeiul alineatelor (1) și (4) de la prezentul articol, presupunând că OPC-ul respectiv sau oricare dintre OPC-urile sale suport au investit în instrumente neeligibile în măsura maximă permisă de mandatele lor.</w:t>
            </w:r>
          </w:p>
        </w:tc>
        <w:tc>
          <w:tcPr>
            <w:tcW w:w="1636" w:type="pct"/>
            <w:shd w:val="clear" w:color="auto" w:fill="auto"/>
          </w:tcPr>
          <w:p w14:paraId="100B10A3" w14:textId="77777777" w:rsidR="00A77EF1" w:rsidRPr="00E8164A" w:rsidRDefault="00A77EF1" w:rsidP="00A77EF1">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28</w:t>
            </w:r>
            <w:r w:rsidRPr="00E8164A">
              <w:rPr>
                <w:rFonts w:ascii="Times New Roman" w:eastAsia="Times New Roman" w:hAnsi="Times New Roman" w:cs="Times New Roman"/>
                <w:b/>
                <w:bCs/>
                <w:color w:val="000000" w:themeColor="text1"/>
                <w:sz w:val="20"/>
                <w:szCs w:val="20"/>
                <w:vertAlign w:val="superscript"/>
                <w:lang w:val="ro-RO" w:eastAsia="ro-MD"/>
              </w:rPr>
              <w:t>4</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sensul punctelor 28</w:t>
            </w:r>
            <w:r w:rsidRPr="00E8164A">
              <w:rPr>
                <w:rFonts w:ascii="Times New Roman" w:eastAsia="Times New Roman" w:hAnsi="Times New Roman" w:cs="Times New Roman"/>
                <w:color w:val="000000" w:themeColor="text1"/>
                <w:sz w:val="20"/>
                <w:szCs w:val="20"/>
                <w:vertAlign w:val="superscript"/>
                <w:lang w:val="ro-RO" w:eastAsia="ro-MD"/>
              </w:rPr>
              <w:t>1</w:t>
            </w:r>
            <w:r w:rsidRPr="00E8164A">
              <w:rPr>
                <w:rFonts w:ascii="Times New Roman" w:eastAsia="Times New Roman" w:hAnsi="Times New Roman" w:cs="Times New Roman"/>
                <w:color w:val="000000" w:themeColor="text1"/>
                <w:sz w:val="20"/>
                <w:szCs w:val="20"/>
                <w:lang w:val="ro-RO" w:eastAsia="ro-MD"/>
              </w:rPr>
              <w:t>-28</w:t>
            </w:r>
            <w:r w:rsidRPr="00E8164A">
              <w:rPr>
                <w:rFonts w:ascii="Times New Roman" w:eastAsia="Times New Roman" w:hAnsi="Times New Roman" w:cs="Times New Roman"/>
                <w:color w:val="000000" w:themeColor="text1"/>
                <w:sz w:val="20"/>
                <w:szCs w:val="20"/>
                <w:vertAlign w:val="superscript"/>
                <w:lang w:val="ro-RO" w:eastAsia="ro-MD"/>
              </w:rPr>
              <w:t>3</w:t>
            </w:r>
            <w:r w:rsidRPr="00E8164A">
              <w:rPr>
                <w:rFonts w:ascii="Times New Roman" w:eastAsia="Times New Roman" w:hAnsi="Times New Roman" w:cs="Times New Roman"/>
                <w:color w:val="000000" w:themeColor="text1"/>
                <w:sz w:val="20"/>
                <w:szCs w:val="20"/>
                <w:lang w:val="ro-RO" w:eastAsia="ro-MD"/>
              </w:rPr>
              <w:t>, dacă un OPC (denumit în continuare „OPC-ul inițial”) sau oricare dintre OPC-urile sale suport nu se limitează să investească în instrumente care sunt eligibile în temeiul punctelor 25-28, se aplică următoarele dispoziții:</w:t>
            </w:r>
          </w:p>
          <w:p w14:paraId="1389E7A1" w14:textId="2C4D0105" w:rsidR="00A77EF1" w:rsidRPr="00E8164A" w:rsidRDefault="00A77EF1" w:rsidP="00A77EF1">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dacă băncile aplică abordarea transparentă de tip look-</w:t>
            </w:r>
            <w:proofErr w:type="spellStart"/>
            <w:r w:rsidRPr="00E8164A">
              <w:rPr>
                <w:rFonts w:ascii="Times New Roman" w:eastAsia="Times New Roman" w:hAnsi="Times New Roman" w:cs="Times New Roman"/>
                <w:color w:val="000000" w:themeColor="text1"/>
                <w:sz w:val="20"/>
                <w:szCs w:val="20"/>
                <w:lang w:val="ro-RO" w:eastAsia="ro-MD"/>
              </w:rPr>
              <w:t>through</w:t>
            </w:r>
            <w:proofErr w:type="spellEnd"/>
            <w:r w:rsidRPr="00E8164A">
              <w:rPr>
                <w:rFonts w:ascii="Times New Roman" w:eastAsia="Times New Roman" w:hAnsi="Times New Roman" w:cs="Times New Roman"/>
                <w:color w:val="000000" w:themeColor="text1"/>
                <w:sz w:val="20"/>
                <w:szCs w:val="20"/>
                <w:lang w:val="ro-RO" w:eastAsia="ro-MD"/>
              </w:rPr>
              <w:t xml:space="preserve"> menționată </w:t>
            </w:r>
            <w:proofErr w:type="spellStart"/>
            <w:r w:rsidRPr="00E8164A">
              <w:rPr>
                <w:rFonts w:ascii="Times New Roman" w:eastAsia="Times New Roman" w:hAnsi="Times New Roman" w:cs="Times New Roman"/>
                <w:color w:val="000000" w:themeColor="text1"/>
                <w:sz w:val="20"/>
                <w:szCs w:val="20"/>
                <w:lang w:eastAsia="ro-MD"/>
              </w:rPr>
              <w:t>în</w:t>
            </w:r>
            <w:proofErr w:type="spellEnd"/>
            <w:r w:rsidRPr="00E8164A">
              <w:rPr>
                <w:rFonts w:ascii="Times New Roman" w:eastAsia="Times New Roman" w:hAnsi="Times New Roman" w:cs="Times New Roman"/>
                <w:color w:val="000000" w:themeColor="text1"/>
                <w:sz w:val="20"/>
                <w:szCs w:val="20"/>
                <w:lang w:eastAsia="ro-MD"/>
              </w:rPr>
              <w:t xml:space="preserve"> </w:t>
            </w:r>
            <w:r w:rsidRPr="00E8164A">
              <w:rPr>
                <w:rFonts w:ascii="Times New Roman" w:eastAsia="Times New Roman" w:hAnsi="Times New Roman" w:cs="Times New Roman"/>
                <w:color w:val="000000" w:themeColor="text1"/>
                <w:sz w:val="20"/>
                <w:szCs w:val="20"/>
                <w:lang w:val="ro-RO" w:eastAsia="ro-MD"/>
              </w:rPr>
              <w:t>Regulamentul nr.111/2018 sau actul normativ al Băncii Naționale a Moldovei aferent tratamentului riscului de credit pentru bănci potrivit abordării bazate pe modele interne de rating pentru expuneri directe față de un OPC, acestea pot utiliza unități sau acțiuni pe care le dețin în respectivul OPC drept garanții reale până la o sumă egală cu valoarea instrumentelor deținute de respectivul OPC care sunt eligibile în temeiul punctelor 25-28 din prezentul regulament;</w:t>
            </w:r>
          </w:p>
          <w:p w14:paraId="0D67B62A" w14:textId="77777777" w:rsidR="00A77EF1" w:rsidRDefault="00A77EF1" w:rsidP="00A77EF1">
            <w:pPr>
              <w:pStyle w:val="CM4"/>
              <w:tabs>
                <w:tab w:val="left" w:pos="150"/>
              </w:tabs>
              <w:ind w:left="-36"/>
              <w:jc w:val="both"/>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 xml:space="preserve">2) dacă băncile aplică abordarea pe bază de mandat menționată în Regulamentul Nr.111/2018 sau actul </w:t>
            </w:r>
            <w:r>
              <w:rPr>
                <w:rFonts w:ascii="Times New Roman" w:hAnsi="Times New Roman"/>
                <w:color w:val="000000" w:themeColor="text1"/>
                <w:sz w:val="20"/>
                <w:szCs w:val="20"/>
                <w:lang w:val="ro-RO" w:eastAsia="ro-MD"/>
              </w:rPr>
              <w:t>n</w:t>
            </w:r>
            <w:r w:rsidRPr="00E8164A">
              <w:rPr>
                <w:rFonts w:ascii="Times New Roman" w:hAnsi="Times New Roman"/>
                <w:color w:val="000000" w:themeColor="text1"/>
                <w:sz w:val="20"/>
                <w:szCs w:val="20"/>
                <w:lang w:val="ro-RO" w:eastAsia="ro-MD"/>
              </w:rPr>
              <w:t xml:space="preserve">ormativ al Băncii Naționale a Moldovei aferent tratamentului riscului de credit pentru bănci potrivit abordării bazate pe modele interne de rating pentru expuneri directe față de un OPC, acestea pot utiliza unități sau acțiuni pe care le dețin în respectivul OPC drept garanții reale până la o sumă egală cu valoarea instrumentelor </w:t>
            </w:r>
            <w:r w:rsidRPr="00E8164A">
              <w:rPr>
                <w:rFonts w:ascii="Times New Roman" w:hAnsi="Times New Roman"/>
                <w:color w:val="000000" w:themeColor="text1"/>
                <w:sz w:val="20"/>
                <w:szCs w:val="20"/>
                <w:lang w:val="ro-RO" w:eastAsia="ro-MD"/>
              </w:rPr>
              <w:lastRenderedPageBreak/>
              <w:t>deținute de respectivul OPC care sunt eligibile în temeiul punctelor 25 și 28, presupunând că OPC-ul respectiv sau oricare dintre OPC-urile sale suport au investit în instrumente neeligibile în măsura maximă permisă de mandatele lor.</w:t>
            </w:r>
          </w:p>
          <w:p w14:paraId="665CDAC6" w14:textId="77775DFA" w:rsidR="009B3195" w:rsidRPr="009B3195" w:rsidRDefault="009B3195" w:rsidP="009B319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5FB78D8D" w14:textId="77777777" w:rsidR="00A77EF1" w:rsidRPr="002C32BA" w:rsidRDefault="00A77EF1" w:rsidP="00A77EF1">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p w14:paraId="1341D764" w14:textId="15F128D1" w:rsidR="00A77EF1" w:rsidRPr="002C32BA" w:rsidRDefault="00A77EF1" w:rsidP="00A77EF1">
            <w:pPr>
              <w:rPr>
                <w:rFonts w:ascii="Times New Roman" w:hAnsi="Times New Roman" w:cs="Times New Roman"/>
                <w:sz w:val="20"/>
                <w:szCs w:val="20"/>
                <w:lang w:val="ro-RO"/>
              </w:rPr>
            </w:pPr>
          </w:p>
        </w:tc>
        <w:tc>
          <w:tcPr>
            <w:tcW w:w="885" w:type="pct"/>
          </w:tcPr>
          <w:p w14:paraId="5FBD7186" w14:textId="77777777" w:rsidR="00A77EF1" w:rsidRDefault="00A77EF1" w:rsidP="00A77EF1">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5FF0DBA9" w14:textId="1FBE39D5" w:rsidR="00A77EF1" w:rsidRPr="002C32BA" w:rsidRDefault="00A77EF1" w:rsidP="00A77EF1">
            <w:pPr>
              <w:jc w:val="both"/>
              <w:rPr>
                <w:rFonts w:ascii="Times New Roman" w:hAnsi="Times New Roman" w:cs="Times New Roman"/>
                <w:sz w:val="20"/>
                <w:szCs w:val="20"/>
                <w:lang w:val="ro-RO"/>
              </w:rPr>
            </w:pPr>
          </w:p>
        </w:tc>
      </w:tr>
      <w:tr w:rsidR="007A62B5" w:rsidRPr="002C32BA" w14:paraId="1E098FC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4D412189" w14:textId="77777777" w:rsidR="007A62B5" w:rsidRDefault="007A62B5" w:rsidP="007A62B5">
            <w:pPr>
              <w:pStyle w:val="CM4"/>
              <w:tabs>
                <w:tab w:val="left" w:pos="150"/>
              </w:tabs>
              <w:ind w:left="-43"/>
              <w:jc w:val="both"/>
              <w:rPr>
                <w:rFonts w:ascii="Times New Roman" w:hAnsi="Times New Roman"/>
                <w:iCs/>
                <w:sz w:val="20"/>
                <w:szCs w:val="20"/>
                <w:lang w:val="ro-RO" w:eastAsia="ru-RU"/>
              </w:rPr>
            </w:pPr>
            <w:r w:rsidRPr="00A146DF">
              <w:rPr>
                <w:rFonts w:ascii="Times New Roman" w:hAnsi="Times New Roman"/>
                <w:iCs/>
                <w:sz w:val="20"/>
                <w:szCs w:val="20"/>
                <w:lang w:val="ro-RO" w:eastAsia="ru-RU"/>
              </w:rPr>
              <w:t>În cazul în care un OPC-suport are el însuși organisme de plasament colectiv-suport, instituțiile pot utiliza unități sau acțiuni pe care le dețin în OPC-ul inițial drept garanții reale eligibile cu condiția să aplice metodologia prevăzută în primul paragraf.</w:t>
            </w:r>
          </w:p>
          <w:p w14:paraId="6E641397" w14:textId="77777777" w:rsidR="007A62B5" w:rsidRPr="007A62B5" w:rsidRDefault="007A62B5" w:rsidP="007A62B5">
            <w:pPr>
              <w:rPr>
                <w:lang w:val="ro-RO" w:eastAsia="ru-RU"/>
              </w:rPr>
            </w:pPr>
          </w:p>
          <w:p w14:paraId="47135961" w14:textId="77777777" w:rsidR="007A62B5" w:rsidRPr="00A146DF" w:rsidRDefault="007A62B5" w:rsidP="007A62B5">
            <w:pPr>
              <w:pStyle w:val="CM4"/>
              <w:tabs>
                <w:tab w:val="left" w:pos="150"/>
              </w:tabs>
              <w:ind w:left="-43"/>
              <w:jc w:val="both"/>
              <w:rPr>
                <w:rFonts w:ascii="Times New Roman" w:hAnsi="Times New Roman"/>
                <w:iCs/>
                <w:sz w:val="20"/>
                <w:szCs w:val="20"/>
                <w:lang w:val="ro-RO" w:eastAsia="ru-RU"/>
              </w:rPr>
            </w:pPr>
            <w:r w:rsidRPr="00A146DF">
              <w:rPr>
                <w:rFonts w:ascii="Times New Roman" w:hAnsi="Times New Roman"/>
                <w:iCs/>
                <w:sz w:val="20"/>
                <w:szCs w:val="20"/>
                <w:lang w:val="ro-RO" w:eastAsia="ru-RU"/>
              </w:rPr>
              <w:t>În cazul în care activele neeligibile pot avea o valoare negativă din cauza datoriilor sau a datoriilor contingente rezultând din dreptul de proprietate, instituțiile trebuie să procedeze după cum urmează:</w:t>
            </w:r>
          </w:p>
          <w:p w14:paraId="68DB951A" w14:textId="3EAFAB0E" w:rsidR="007A62B5" w:rsidRPr="00A146DF" w:rsidRDefault="007A62B5" w:rsidP="007A62B5">
            <w:pPr>
              <w:pStyle w:val="CM4"/>
              <w:tabs>
                <w:tab w:val="left" w:pos="150"/>
              </w:tabs>
              <w:ind w:left="-43"/>
              <w:jc w:val="both"/>
              <w:rPr>
                <w:rFonts w:ascii="Times New Roman" w:hAnsi="Times New Roman"/>
                <w:iCs/>
                <w:sz w:val="20"/>
                <w:szCs w:val="20"/>
                <w:lang w:val="ro-RO" w:eastAsia="ru-RU"/>
              </w:rPr>
            </w:pPr>
            <w:r w:rsidRPr="00A146DF">
              <w:rPr>
                <w:rFonts w:ascii="Times New Roman" w:hAnsi="Times New Roman"/>
                <w:iCs/>
                <w:sz w:val="20"/>
                <w:szCs w:val="20"/>
                <w:lang w:val="ro-RO" w:eastAsia="ru-RU"/>
              </w:rPr>
              <w:t>(a) să calculeze valoarea totală a activelor neeligibile;</w:t>
            </w:r>
          </w:p>
          <w:p w14:paraId="51932ED7" w14:textId="51C2F14B" w:rsidR="007A62B5" w:rsidRPr="00A146DF" w:rsidRDefault="007A62B5" w:rsidP="007A62B5">
            <w:pPr>
              <w:pStyle w:val="CM4"/>
              <w:tabs>
                <w:tab w:val="left" w:pos="150"/>
              </w:tabs>
              <w:ind w:left="-43"/>
              <w:jc w:val="both"/>
              <w:rPr>
                <w:rFonts w:ascii="Times New Roman" w:hAnsi="Times New Roman"/>
                <w:iCs/>
                <w:sz w:val="20"/>
                <w:szCs w:val="20"/>
                <w:lang w:val="ro-RO" w:eastAsia="ru-RU"/>
              </w:rPr>
            </w:pPr>
            <w:r w:rsidRPr="00A146DF">
              <w:rPr>
                <w:rFonts w:ascii="Times New Roman" w:hAnsi="Times New Roman"/>
                <w:iCs/>
                <w:sz w:val="20"/>
                <w:szCs w:val="20"/>
                <w:lang w:val="ro-RO" w:eastAsia="ru-RU"/>
              </w:rPr>
              <w:t>(b) dacă suma obținută conform literei (a) este negativă, să scadă valoarea absolută a acestei sume din valoarea totală a activelor eligibile.</w:t>
            </w:r>
          </w:p>
        </w:tc>
        <w:tc>
          <w:tcPr>
            <w:tcW w:w="1636" w:type="pct"/>
            <w:shd w:val="clear" w:color="auto" w:fill="auto"/>
          </w:tcPr>
          <w:p w14:paraId="6C3A11D7" w14:textId="2E8B0442" w:rsidR="007A62B5" w:rsidRPr="00E8164A" w:rsidRDefault="007A62B5" w:rsidP="007A62B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28</w:t>
            </w:r>
            <w:r w:rsidRPr="00E8164A">
              <w:rPr>
                <w:rFonts w:ascii="Times New Roman" w:eastAsia="Times New Roman" w:hAnsi="Times New Roman" w:cs="Times New Roman"/>
                <w:b/>
                <w:bCs/>
                <w:color w:val="000000" w:themeColor="text1"/>
                <w:sz w:val="20"/>
                <w:szCs w:val="20"/>
                <w:vertAlign w:val="superscript"/>
                <w:lang w:val="ro-RO" w:eastAsia="ro-MD"/>
              </w:rPr>
              <w:t>5</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cazul în care un OPC-suport are el însuși organisme de plasament colectiv-suport, băncile pot utiliza unități sau acțiuni pe care le dețin în OPC-ul inițial drept garanții reale eligibile cu condiția să aplice metodologia prevăzută la punctul 28</w:t>
            </w:r>
            <w:r w:rsidRPr="00E8164A">
              <w:rPr>
                <w:rFonts w:ascii="Times New Roman" w:eastAsia="Times New Roman" w:hAnsi="Times New Roman" w:cs="Times New Roman"/>
                <w:color w:val="000000" w:themeColor="text1"/>
                <w:sz w:val="20"/>
                <w:szCs w:val="20"/>
                <w:vertAlign w:val="superscript"/>
                <w:lang w:val="ro-RO" w:eastAsia="ro-MD"/>
              </w:rPr>
              <w:t>4</w:t>
            </w:r>
            <w:r w:rsidRPr="00E8164A">
              <w:rPr>
                <w:rFonts w:ascii="Times New Roman" w:eastAsia="Times New Roman" w:hAnsi="Times New Roman" w:cs="Times New Roman"/>
                <w:color w:val="000000" w:themeColor="text1"/>
                <w:sz w:val="20"/>
                <w:szCs w:val="20"/>
                <w:lang w:val="ro-RO" w:eastAsia="ro-MD"/>
              </w:rPr>
              <w:t>.</w:t>
            </w:r>
          </w:p>
          <w:p w14:paraId="0ACB6310" w14:textId="77777777" w:rsidR="007A62B5" w:rsidRPr="00E8164A" w:rsidRDefault="007A62B5" w:rsidP="007A62B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28</w:t>
            </w:r>
            <w:r w:rsidRPr="00E8164A">
              <w:rPr>
                <w:rFonts w:ascii="Times New Roman" w:eastAsia="Times New Roman" w:hAnsi="Times New Roman" w:cs="Times New Roman"/>
                <w:b/>
                <w:bCs/>
                <w:color w:val="000000" w:themeColor="text1"/>
                <w:sz w:val="20"/>
                <w:szCs w:val="20"/>
                <w:vertAlign w:val="superscript"/>
                <w:lang w:val="ro-RO" w:eastAsia="ro-MD"/>
              </w:rPr>
              <w:t>6</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cazul în care activele neeligibile pot avea o valoare negativă din cauza datoriilor sau a datoriilor contingente rezultând din dreptul de proprietate, băncile trebuie să procedeze după cum urmează:</w:t>
            </w:r>
          </w:p>
          <w:p w14:paraId="37A41D54" w14:textId="77777777" w:rsidR="007A62B5" w:rsidRPr="00E8164A" w:rsidRDefault="007A62B5" w:rsidP="007A62B5">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să calculeze valoarea totală a activelor neeligibile;</w:t>
            </w:r>
          </w:p>
          <w:p w14:paraId="73E5603D" w14:textId="77777777" w:rsidR="007A62B5" w:rsidRDefault="007A62B5" w:rsidP="007A62B5">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2) dacă suma obținută conform subpunctului 1) este negativă, să scadă valoarea absolută a acestei sume din valoarea totală a activelor eligibile.</w:t>
            </w:r>
          </w:p>
          <w:p w14:paraId="1678DE47" w14:textId="4A009168" w:rsidR="007A62B5" w:rsidRPr="007A62B5" w:rsidRDefault="007A62B5" w:rsidP="007A62B5">
            <w:pPr>
              <w:rPr>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694D609B" w14:textId="77777777" w:rsidR="007A62B5" w:rsidRPr="002C32BA" w:rsidRDefault="007A62B5" w:rsidP="007A62B5">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p w14:paraId="35F3FA0C" w14:textId="77777777" w:rsidR="007A62B5" w:rsidRPr="002C32BA" w:rsidDel="00B870A4" w:rsidRDefault="007A62B5" w:rsidP="007A62B5">
            <w:pPr>
              <w:rPr>
                <w:rFonts w:ascii="Times New Roman" w:hAnsi="Times New Roman" w:cs="Times New Roman"/>
                <w:sz w:val="20"/>
                <w:szCs w:val="20"/>
                <w:lang w:val="ro-RO"/>
              </w:rPr>
            </w:pPr>
          </w:p>
        </w:tc>
        <w:tc>
          <w:tcPr>
            <w:tcW w:w="885" w:type="pct"/>
          </w:tcPr>
          <w:p w14:paraId="58800155" w14:textId="77777777" w:rsidR="007A62B5" w:rsidRDefault="007A62B5" w:rsidP="007A62B5">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BCC774C" w14:textId="77777777" w:rsidR="007A62B5" w:rsidRPr="002C32BA" w:rsidRDefault="007A62B5" w:rsidP="007A62B5">
            <w:pPr>
              <w:jc w:val="both"/>
              <w:rPr>
                <w:rFonts w:ascii="Times New Roman" w:hAnsi="Times New Roman" w:cs="Times New Roman"/>
                <w:sz w:val="20"/>
                <w:szCs w:val="20"/>
                <w:lang w:val="ro-RO"/>
              </w:rPr>
            </w:pPr>
          </w:p>
        </w:tc>
      </w:tr>
      <w:tr w:rsidR="00D62F3C" w:rsidRPr="002C32BA" w14:paraId="6161191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3132F00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(7) În ceea ce privește alineatul (1) literele (b) - (e), dacă un titlu are două evaluări ale creditului efectuate de ECAI, instituțiile trebuie să aplice evaluarea mai puțin favorabilă. Dacă un titlu are mai mult de două evaluări ale creditului efectuate de ECAI, instituțiile trebuie să aplice cele mai favorabile două evaluări. Dacă cele mai favorabile două evaluări ale creditului sunt diferite, instituțiile aplică evaluarea mai puțin favorabilă dintre cele două.</w:t>
            </w:r>
          </w:p>
        </w:tc>
        <w:tc>
          <w:tcPr>
            <w:tcW w:w="1636" w:type="pct"/>
            <w:shd w:val="clear" w:color="auto" w:fill="auto"/>
          </w:tcPr>
          <w:p w14:paraId="0A2E9F40" w14:textId="77777777" w:rsidR="00D62F3C" w:rsidRPr="002C32BA" w:rsidRDefault="00D62F3C" w:rsidP="00595B15">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29. În ceea ce privește punctul 25 subpunctele 3)-6), dacă titlul de datorie are două evaluări ale creditului efectuate de ECAI, băncile aplică evaluarea mai puțin favorabilă. Dacă titlul de datorie are mai mult de două evaluări ale creditului efectuate de ECAI, băncile aplică două cele mai favorabile evaluări. Dacă două cele mai favorabile evaluări ale creditului sunt diferite, băncile aplică evaluarea mai puțin favorabilă dintre cele două.</w:t>
            </w:r>
          </w:p>
        </w:tc>
        <w:tc>
          <w:tcPr>
            <w:tcW w:w="562" w:type="pct"/>
          </w:tcPr>
          <w:p w14:paraId="39A00CE7"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C1BCBAA" w14:textId="6B440994"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5D979E9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1916" w:type="pct"/>
          </w:tcPr>
          <w:p w14:paraId="650D5E0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(8) AEVMP elaborează proiecte de standarde tehnice de punere în aplicare, care să specifice următoarele:</w:t>
            </w:r>
          </w:p>
          <w:p w14:paraId="4CDC187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indicii principali menționați la alineatul (1) litera (f) de la prezentul articol, la articolul 198 alineatul (1) litera (a), la articolul 224 alineatele (1) și (4) și la articolul 299 alineatul (2) litera (e);</w:t>
            </w:r>
          </w:p>
          <w:p w14:paraId="32A4623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bursele recunoscute, menționate la alineatul (4) litera (a) de la prezentul articol, la articolul 198 alineatul (1) litera (a), la articolul 224 alineatele (1) și (4), la articolul 299 alineatul (2) litera (e), la articolul 400 alineatul (2) litera (k), la articolul 416 alineatul (3) litera (d), la articolul 428 alineatul (1) litera (c) și în anexa III punctul 12, în conformitate cu condițiile prevăzute la articolul 4 alineatul (1) punctul 72.</w:t>
            </w:r>
          </w:p>
          <w:p w14:paraId="67593DB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AEVMP prezintă Comisiei aceste proiecte de standarde tehnice de punere în aplicare, până la 31 decembrie 2014.</w:t>
            </w:r>
          </w:p>
          <w:p w14:paraId="65A1458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Se conferă Comisiei competența de a adopta standardele tehnice de punere în aplicare menționate la primul paragraf, în conformitate cu articolul 15 din Regulamentul (UE) nr. 1095/2010.</w:t>
            </w:r>
          </w:p>
        </w:tc>
        <w:tc>
          <w:tcPr>
            <w:tcW w:w="1636" w:type="pct"/>
            <w:shd w:val="clear" w:color="auto" w:fill="auto"/>
          </w:tcPr>
          <w:p w14:paraId="76F4769F"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1B77AF45" w14:textId="7CF0019A"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Norme UE neaplicabile</w:t>
            </w:r>
          </w:p>
        </w:tc>
        <w:tc>
          <w:tcPr>
            <w:tcW w:w="885" w:type="pct"/>
          </w:tcPr>
          <w:p w14:paraId="598BA722" w14:textId="77777777" w:rsidR="00D62F3C" w:rsidRPr="002C32BA" w:rsidRDefault="00D62F3C" w:rsidP="00D62F3C">
            <w:pPr>
              <w:jc w:val="both"/>
              <w:rPr>
                <w:rFonts w:ascii="Times New Roman" w:hAnsi="Times New Roman" w:cs="Times New Roman"/>
                <w:sz w:val="20"/>
                <w:szCs w:val="20"/>
                <w:lang w:val="ro-RO"/>
              </w:rPr>
            </w:pPr>
            <w:r w:rsidRPr="002C32BA">
              <w:rPr>
                <w:rFonts w:ascii="Times New Roman" w:hAnsi="Times New Roman" w:cs="Times New Roman"/>
                <w:sz w:val="20"/>
                <w:szCs w:val="20"/>
                <w:lang w:val="ro-RO"/>
              </w:rPr>
              <w:t xml:space="preserve">Nu se transpune, deoarece ține de competența </w:t>
            </w:r>
            <w:proofErr w:type="spellStart"/>
            <w:r w:rsidRPr="002C32BA">
              <w:rPr>
                <w:rFonts w:ascii="Times New Roman" w:hAnsi="Times New Roman" w:cs="Times New Roman"/>
                <w:sz w:val="20"/>
                <w:szCs w:val="20"/>
                <w:lang w:val="ro-RO"/>
              </w:rPr>
              <w:t>autoritații</w:t>
            </w:r>
            <w:proofErr w:type="spellEnd"/>
            <w:r w:rsidRPr="002C32BA">
              <w:rPr>
                <w:rFonts w:ascii="Times New Roman" w:hAnsi="Times New Roman" w:cs="Times New Roman"/>
                <w:sz w:val="20"/>
                <w:szCs w:val="20"/>
                <w:lang w:val="ro-RO"/>
              </w:rPr>
              <w:t xml:space="preserve"> din UE.</w:t>
            </w:r>
          </w:p>
        </w:tc>
      </w:tr>
      <w:tr w:rsidR="00D62F3C" w:rsidRPr="002C32BA" w14:paraId="4445C5A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CACD00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198</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Extinderea eligibilității garanțiilor reale în cadrul metodei extinse a garanțiilor financiare</w:t>
            </w:r>
          </w:p>
          <w:p w14:paraId="2CB5014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În plus față de garanțiile reale stabilite la articolul 197, dacă o instituție aplică metoda extinsă a garanțiilor financiare prevăzută la articolul 223, aceasta poate utiliza următoarele instrumente financiare drept garanții reale eligibile:</w:t>
            </w:r>
          </w:p>
          <w:p w14:paraId="36FE896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titluri de capital sau obligațiuni convertibile, neincluse într-un indice principal, dar tranzacționate pe o bursă recunoscută;</w:t>
            </w:r>
          </w:p>
          <w:p w14:paraId="5DEA56B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unități sau acțiuni deținute în OPC, în cazul în care sunt îndeplinite cumulativ următoarele condiții:</w:t>
            </w:r>
          </w:p>
          <w:p w14:paraId="020D6E9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unitățile sau acțiunile au o cotație publică zilnică a prețului;</w:t>
            </w:r>
          </w:p>
          <w:p w14:paraId="585874F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OPC este limitat la investiții în instrumente care sunt eligibile pentru recunoaștere în temeiul articolului 197 alineatele (1) și (4) și la investiții în instrumentele menționate în prezentul paragraf litera (a).</w:t>
            </w:r>
          </w:p>
          <w:p w14:paraId="548C06F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În cazul în care un OPC investește în unitățile sau acțiunile altui OPC, condițiile prevăzute în prezentul alineat literele (a) și (b) se aplică, de asemenea, oricărui astfel de OPC-suport.</w:t>
            </w:r>
          </w:p>
          <w:p w14:paraId="1AF41D6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Utilizarea de către un OPC a instrumentelor financiare derivate pentru acoperirea riscurilor aferente investițiilor permise nu afectează eligibilitatea ca garanții reale a unităților sau a acțiunilor deținute în acest organism.</w:t>
            </w:r>
          </w:p>
        </w:tc>
        <w:tc>
          <w:tcPr>
            <w:tcW w:w="1636" w:type="pct"/>
            <w:shd w:val="clear" w:color="auto" w:fill="auto"/>
          </w:tcPr>
          <w:p w14:paraId="2218D2E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Secțiunea a 4-a. Extinderea eligibilității garanțiilor reale în cadrul metodei extinse a garanțiilor financiare</w:t>
            </w:r>
          </w:p>
          <w:p w14:paraId="2D60DE7C"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784415B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30.</w:t>
            </w:r>
            <w:r w:rsidRPr="002C32BA">
              <w:rPr>
                <w:rFonts w:ascii="Times New Roman" w:hAnsi="Times New Roman"/>
                <w:sz w:val="20"/>
                <w:szCs w:val="20"/>
                <w:lang w:val="ro-RO"/>
              </w:rPr>
              <w:t xml:space="preserve"> </w:t>
            </w:r>
            <w:r w:rsidRPr="002C32BA">
              <w:rPr>
                <w:rFonts w:ascii="Times New Roman" w:hAnsi="Times New Roman"/>
                <w:sz w:val="20"/>
                <w:szCs w:val="20"/>
                <w:lang w:val="ro-RO" w:eastAsia="ru-RU"/>
              </w:rPr>
              <w:t xml:space="preserve">În plus față de garanțiile reale stabilite la secțiunea 3 din prezentul capitol, dacă o bancă aplică metoda extinsă a garanțiilor financiare prevăzută la capitolul VIII secțiunea 5, această bancă poate utiliza următoarele elemente drept garanții reale eligibile: </w:t>
            </w:r>
          </w:p>
          <w:p w14:paraId="6701B8B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titluri de capital sau obligațiuni convertibile, neincluse într-un indice principal, dar tranzacționate pe o bursă recunoscută; </w:t>
            </w:r>
          </w:p>
          <w:p w14:paraId="481816FA"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unități sau acțiuni deținute în OPC, în cazul în care sunt îndeplinite cumulativ următoarele condiții: </w:t>
            </w:r>
          </w:p>
          <w:p w14:paraId="5F364E2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a) unitățile sau acțiunile au o cotație publică zilnică a prețului; </w:t>
            </w:r>
          </w:p>
          <w:p w14:paraId="41605BF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b) OPC se limitează la investiții în instrumente care sunt eligibile pentru recunoaștere în temeiul punctelor 25 și 28 </w:t>
            </w:r>
            <w:r w:rsidRPr="002C32BA">
              <w:rPr>
                <w:rFonts w:ascii="Times New Roman" w:hAnsi="Times New Roman"/>
                <w:sz w:val="20"/>
                <w:szCs w:val="20"/>
                <w:lang w:val="ro-RO" w:eastAsia="ru-RU"/>
              </w:rPr>
              <w:lastRenderedPageBreak/>
              <w:t>și la investiții în elementele menționate la subpunctul 1) din prezentul punct.</w:t>
            </w:r>
          </w:p>
          <w:p w14:paraId="28B52F5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31. În cazul în care un OPC investește în unitățile sau acțiunile altui OPC, condițiile prevăzute la punctul 30 subpunctele 1) și 2) se aplică la fel oricărui astfel de OPC-suport.</w:t>
            </w:r>
          </w:p>
          <w:p w14:paraId="49E59B7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32. Utilizarea de către un OPC a instrumentelor financiare derivate pentru acoperirea împotriva riscurilor a investițiilor permise nu trebuie să afecteze eligibilitatea ca garanții reale a unităților sau a acțiunilor deținute în acest organism.</w:t>
            </w:r>
          </w:p>
        </w:tc>
        <w:tc>
          <w:tcPr>
            <w:tcW w:w="562" w:type="pct"/>
          </w:tcPr>
          <w:p w14:paraId="088AA217"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49790F1E" w14:textId="59E28F5D"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3A6D024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77608EE" w14:textId="77777777" w:rsidR="00331259" w:rsidRPr="00331259" w:rsidRDefault="00331259" w:rsidP="00331259">
            <w:pPr>
              <w:pStyle w:val="CM4"/>
              <w:tabs>
                <w:tab w:val="left" w:pos="150"/>
              </w:tabs>
              <w:ind w:left="-43"/>
              <w:jc w:val="both"/>
              <w:rPr>
                <w:rFonts w:ascii="Times New Roman" w:hAnsi="Times New Roman"/>
                <w:iCs/>
                <w:sz w:val="20"/>
                <w:szCs w:val="20"/>
                <w:lang w:val="ro-RO" w:eastAsia="ru-RU"/>
              </w:rPr>
            </w:pPr>
            <w:r w:rsidRPr="00331259">
              <w:rPr>
                <w:rFonts w:ascii="Times New Roman" w:hAnsi="Times New Roman"/>
                <w:iCs/>
                <w:sz w:val="20"/>
                <w:szCs w:val="20"/>
                <w:lang w:val="ro-RO" w:eastAsia="ru-RU"/>
              </w:rPr>
              <w:t>▼M17</w:t>
            </w:r>
          </w:p>
          <w:p w14:paraId="26415154" w14:textId="77777777" w:rsidR="00331259" w:rsidRPr="00331259" w:rsidRDefault="00331259" w:rsidP="00331259">
            <w:pPr>
              <w:pStyle w:val="CM4"/>
              <w:tabs>
                <w:tab w:val="left" w:pos="150"/>
              </w:tabs>
              <w:ind w:left="-43"/>
              <w:jc w:val="both"/>
              <w:rPr>
                <w:rFonts w:ascii="Times New Roman" w:hAnsi="Times New Roman"/>
                <w:iCs/>
                <w:sz w:val="20"/>
                <w:szCs w:val="20"/>
                <w:lang w:val="ro-RO" w:eastAsia="ru-RU"/>
              </w:rPr>
            </w:pPr>
          </w:p>
          <w:p w14:paraId="32D9C634" w14:textId="77777777" w:rsidR="00331259" w:rsidRPr="00331259" w:rsidRDefault="00331259" w:rsidP="00331259">
            <w:pPr>
              <w:pStyle w:val="CM4"/>
              <w:tabs>
                <w:tab w:val="left" w:pos="150"/>
              </w:tabs>
              <w:ind w:left="-43"/>
              <w:jc w:val="both"/>
              <w:rPr>
                <w:rFonts w:ascii="Times New Roman" w:hAnsi="Times New Roman"/>
                <w:iCs/>
                <w:sz w:val="20"/>
                <w:szCs w:val="20"/>
                <w:lang w:val="ro-RO" w:eastAsia="ru-RU"/>
              </w:rPr>
            </w:pPr>
            <w:r w:rsidRPr="00331259">
              <w:rPr>
                <w:rFonts w:ascii="Times New Roman" w:hAnsi="Times New Roman"/>
                <w:iCs/>
                <w:sz w:val="20"/>
                <w:szCs w:val="20"/>
                <w:lang w:val="ro-RO" w:eastAsia="ru-RU"/>
              </w:rPr>
              <w:t>(2)   În cazul în care OPC-ul sau oricare OPC suport nu se limitează la investiții în instrumente care sunt eligibile pentru recunoaștere în temeiul articolului 197 alineatele (1) și (4) și în instrumentele menționate la alineatul (1) litera (a) de la prezentul articol, se aplică următoarele dispoziții:</w:t>
            </w:r>
          </w:p>
          <w:p w14:paraId="6E36B81B" w14:textId="0975104D" w:rsidR="00331259" w:rsidRPr="00331259" w:rsidRDefault="00331259" w:rsidP="00331259">
            <w:pPr>
              <w:pStyle w:val="CM4"/>
              <w:tabs>
                <w:tab w:val="left" w:pos="150"/>
              </w:tabs>
              <w:ind w:left="-43"/>
              <w:jc w:val="both"/>
              <w:rPr>
                <w:rFonts w:ascii="Times New Roman" w:hAnsi="Times New Roman"/>
                <w:iCs/>
                <w:sz w:val="20"/>
                <w:szCs w:val="20"/>
                <w:lang w:val="ro-RO" w:eastAsia="ru-RU"/>
              </w:rPr>
            </w:pPr>
            <w:r w:rsidRPr="00331259">
              <w:rPr>
                <w:rFonts w:ascii="Times New Roman" w:hAnsi="Times New Roman"/>
                <w:iCs/>
                <w:sz w:val="20"/>
                <w:szCs w:val="20"/>
                <w:lang w:val="ro-RO" w:eastAsia="ru-RU"/>
              </w:rPr>
              <w:t>(a) dacă instituțiile aplică abordarea transparentă de tip look-</w:t>
            </w:r>
            <w:proofErr w:type="spellStart"/>
            <w:r w:rsidRPr="00331259">
              <w:rPr>
                <w:rFonts w:ascii="Times New Roman" w:hAnsi="Times New Roman"/>
                <w:iCs/>
                <w:sz w:val="20"/>
                <w:szCs w:val="20"/>
                <w:lang w:val="ro-RO" w:eastAsia="ru-RU"/>
              </w:rPr>
              <w:t>through</w:t>
            </w:r>
            <w:proofErr w:type="spellEnd"/>
            <w:r w:rsidRPr="00331259">
              <w:rPr>
                <w:rFonts w:ascii="Times New Roman" w:hAnsi="Times New Roman"/>
                <w:iCs/>
                <w:sz w:val="20"/>
                <w:szCs w:val="20"/>
                <w:lang w:val="ro-RO" w:eastAsia="ru-RU"/>
              </w:rPr>
              <w:t xml:space="preserve"> menționată la articolul 132a alineatul (1) sau la articolul 152 alineatul (2) pentru expuneri directe față de un OPC, acestea pot utiliza unități sau acțiuni pe care le dețin în respectivul OPC drept garanții reale până la o sumă egală cu valoarea instrumentelor deținute de respectivul OPC care sunt eligibile în temeiul articolului 197 alineatele (1) și (4) și a instrumentelor menționate la alineatul (1) litera (a) de la prezentul articol;</w:t>
            </w:r>
          </w:p>
          <w:p w14:paraId="4441D7B9" w14:textId="77777777" w:rsidR="00331259" w:rsidRPr="00331259" w:rsidRDefault="00331259" w:rsidP="00331259">
            <w:pPr>
              <w:pStyle w:val="CM4"/>
              <w:tabs>
                <w:tab w:val="left" w:pos="150"/>
              </w:tabs>
              <w:ind w:left="-43"/>
              <w:jc w:val="both"/>
              <w:rPr>
                <w:rFonts w:ascii="Times New Roman" w:hAnsi="Times New Roman"/>
                <w:iCs/>
                <w:sz w:val="20"/>
                <w:szCs w:val="20"/>
                <w:lang w:val="ro-RO" w:eastAsia="ru-RU"/>
              </w:rPr>
            </w:pPr>
          </w:p>
          <w:p w14:paraId="67848A1C" w14:textId="6AFF01D5" w:rsidR="00D62F3C" w:rsidRPr="002C32BA" w:rsidRDefault="00331259" w:rsidP="00331259">
            <w:pPr>
              <w:pStyle w:val="CM4"/>
              <w:tabs>
                <w:tab w:val="left" w:pos="150"/>
              </w:tabs>
              <w:ind w:left="-43"/>
              <w:jc w:val="both"/>
              <w:rPr>
                <w:rFonts w:ascii="Times New Roman" w:hAnsi="Times New Roman"/>
                <w:iCs/>
                <w:sz w:val="20"/>
                <w:szCs w:val="20"/>
                <w:lang w:val="ro-RO" w:eastAsia="ru-RU"/>
              </w:rPr>
            </w:pPr>
            <w:r w:rsidRPr="00331259">
              <w:rPr>
                <w:rFonts w:ascii="Times New Roman" w:hAnsi="Times New Roman"/>
                <w:iCs/>
                <w:sz w:val="20"/>
                <w:szCs w:val="20"/>
                <w:lang w:val="ro-RO" w:eastAsia="ru-RU"/>
              </w:rPr>
              <w:t xml:space="preserve">(b) dacă instituțiile aplică abordarea pe bază de mandat menționată la articolul 132a alineatul (2) sau la articolul 152 alineatul (5) pentru expuneri directe față de un OPC, acestea pot utiliza unități sau acțiuni pe care le dețin în respectivul OPC drept garanții reale până la o sumă egală cu valoarea instrumentelor deținute de respectivul OPC care sunt eligibile în temeiul articolului 197 alineatele (1) și (4) și a instrumentelor menționate la alineatul (1) litera (a) de la prezentul articol, presupunând că OPC-ul respectiv sau oricare dintre OPC-urile </w:t>
            </w:r>
            <w:r w:rsidRPr="00331259">
              <w:rPr>
                <w:rFonts w:ascii="Times New Roman" w:hAnsi="Times New Roman"/>
                <w:iCs/>
                <w:sz w:val="20"/>
                <w:szCs w:val="20"/>
                <w:lang w:val="ro-RO" w:eastAsia="ru-RU"/>
              </w:rPr>
              <w:lastRenderedPageBreak/>
              <w:t>sale suport au investit în instrumente neeligibile în măsura maximă permisă de mandatele lor.</w:t>
            </w:r>
          </w:p>
        </w:tc>
        <w:tc>
          <w:tcPr>
            <w:tcW w:w="1636" w:type="pct"/>
            <w:shd w:val="clear" w:color="auto" w:fill="auto"/>
          </w:tcPr>
          <w:p w14:paraId="5117FAEC" w14:textId="77777777" w:rsidR="00331259" w:rsidRPr="00E8164A" w:rsidRDefault="00331259" w:rsidP="00331259">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33.</w:t>
            </w:r>
            <w:r w:rsidRPr="00E8164A">
              <w:rPr>
                <w:rFonts w:ascii="Times New Roman" w:eastAsia="Times New Roman" w:hAnsi="Times New Roman" w:cs="Times New Roman"/>
                <w:color w:val="000000" w:themeColor="text1"/>
                <w:sz w:val="20"/>
                <w:szCs w:val="20"/>
                <w:lang w:val="ro-RO" w:eastAsia="ro-MD"/>
              </w:rPr>
              <w:t xml:space="preserve"> </w:t>
            </w:r>
            <w:bookmarkStart w:id="24" w:name="_Hlk215739101"/>
            <w:r w:rsidRPr="00E8164A">
              <w:rPr>
                <w:rFonts w:ascii="Times New Roman" w:eastAsia="Times New Roman" w:hAnsi="Times New Roman" w:cs="Times New Roman"/>
                <w:color w:val="000000" w:themeColor="text1"/>
                <w:sz w:val="20"/>
                <w:szCs w:val="20"/>
                <w:lang w:val="ro-RO" w:eastAsia="ro-MD"/>
              </w:rPr>
              <w:t xml:space="preserve">În cazul în care OPC sau oricare OPC-suport nu este limitat la investiții în instrumente care sunt eligibile pentru recunoaștere în temeiul punctelor 25 și 28 și la investiții în elementele menționate la punctul 30 subpunctul 1), se aplică următoarele dispoziții: </w:t>
            </w:r>
          </w:p>
          <w:p w14:paraId="200213FE" w14:textId="77777777" w:rsidR="00331259" w:rsidRPr="00E8164A" w:rsidRDefault="00331259" w:rsidP="00331259">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dacă băncile aplică abordarea transparentă de tip look-</w:t>
            </w:r>
            <w:proofErr w:type="spellStart"/>
            <w:r w:rsidRPr="00E8164A">
              <w:rPr>
                <w:rFonts w:ascii="Times New Roman" w:eastAsia="Times New Roman" w:hAnsi="Times New Roman" w:cs="Times New Roman"/>
                <w:color w:val="000000" w:themeColor="text1"/>
                <w:sz w:val="20"/>
                <w:szCs w:val="20"/>
                <w:lang w:val="ro-RO" w:eastAsia="ro-MD"/>
              </w:rPr>
              <w:t>through</w:t>
            </w:r>
            <w:proofErr w:type="spellEnd"/>
            <w:r w:rsidRPr="00E8164A">
              <w:rPr>
                <w:rFonts w:ascii="Times New Roman" w:eastAsia="Times New Roman" w:hAnsi="Times New Roman" w:cs="Times New Roman"/>
                <w:color w:val="000000" w:themeColor="text1"/>
                <w:sz w:val="20"/>
                <w:szCs w:val="20"/>
                <w:lang w:val="ro-RO" w:eastAsia="ro-MD"/>
              </w:rPr>
              <w:t xml:space="preserve"> menționată la Regulamentul nr.111/2018 sau actul normativ al Băncii Naționale a Moldovei aferent tratamentului riscului de credit pentru bănci potrivit abordării bazate pe modele interne de rating pot utiliza unitățile sau acțiunile pe care le dețin în acest OPC drept garanții reale până la o sumă egală cu valoarea instrumentelor care sunt eligibile în temeiul punctelor 25 și 28 și a instrumentelor menționate la punctul 30 subpunctul 1); </w:t>
            </w:r>
          </w:p>
          <w:p w14:paraId="3D04DBC7" w14:textId="77777777" w:rsidR="00D62F3C" w:rsidRDefault="00331259" w:rsidP="00331259">
            <w:pPr>
              <w:pStyle w:val="CM4"/>
              <w:tabs>
                <w:tab w:val="left" w:pos="150"/>
              </w:tabs>
              <w:ind w:left="-36"/>
              <w:jc w:val="both"/>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 xml:space="preserve">2) dacă băncile aplică abordarea pe bază de mandat menționată în Regulamentul nr.111/2018 sau actul normativ al Băncii Naționale a Moldovei aferent tratamentului riscului de credit pentru bănci potrivit abordării bazate pe modele interne de rating pentru expuneri directe față de un OPC, acestea pot utiliza unități sau acțiuni pe care le dețin în respectivul OPC drept garanții reale până la o sumă egală cu valoarea instrumentelor deținute de respectivul OPC care sunt eligibile în temeiul </w:t>
            </w:r>
            <w:r w:rsidRPr="00E8164A">
              <w:rPr>
                <w:rFonts w:ascii="Times New Roman" w:hAnsi="Times New Roman"/>
                <w:color w:val="000000" w:themeColor="text1"/>
                <w:sz w:val="20"/>
                <w:szCs w:val="20"/>
                <w:lang w:val="ro-RO" w:eastAsia="ro-MD"/>
              </w:rPr>
              <w:lastRenderedPageBreak/>
              <w:t>punctelor 25 și 28 și a instrumentelor menționate la punctul 30 subpunctul 1) presupunând că acest OPC sau oricare din OPC-urile-suport ale acestuia au investit în active neeligibile în măsura maximă permisă de mandatele lor.</w:t>
            </w:r>
            <w:bookmarkEnd w:id="24"/>
          </w:p>
          <w:p w14:paraId="4AC04912" w14:textId="60B6F9D7" w:rsidR="00331259" w:rsidRPr="00331259" w:rsidRDefault="00331259" w:rsidP="00331259">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4DC00431"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5A6D9EAC" w14:textId="772DA0A5"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F6344B" w:rsidRPr="002C32BA" w14:paraId="55B4EED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4353C28" w14:textId="77777777" w:rsidR="00F6344B" w:rsidRPr="00F6344B" w:rsidRDefault="00F6344B" w:rsidP="00F6344B">
            <w:pPr>
              <w:pStyle w:val="CM4"/>
              <w:tabs>
                <w:tab w:val="left" w:pos="150"/>
              </w:tabs>
              <w:ind w:left="-43"/>
              <w:jc w:val="both"/>
              <w:rPr>
                <w:rFonts w:ascii="Times New Roman" w:hAnsi="Times New Roman"/>
                <w:iCs/>
                <w:sz w:val="20"/>
                <w:szCs w:val="20"/>
                <w:lang w:val="ro-RO" w:eastAsia="ru-RU"/>
              </w:rPr>
            </w:pPr>
            <w:r w:rsidRPr="00F6344B">
              <w:rPr>
                <w:rFonts w:ascii="Times New Roman" w:hAnsi="Times New Roman"/>
                <w:iCs/>
                <w:sz w:val="20"/>
                <w:szCs w:val="20"/>
                <w:lang w:val="ro-RO" w:eastAsia="ru-RU"/>
              </w:rPr>
              <w:t>În cazul în care instrumentele neeligibile pot avea o valoare negativă din cauza datoriilor sau a datoriilor contingente rezultate din dreptul de proprietate, instituțiile procedează astfel:</w:t>
            </w:r>
          </w:p>
          <w:p w14:paraId="09516DD3" w14:textId="77777777" w:rsidR="00F6344B" w:rsidRPr="00F6344B" w:rsidRDefault="00F6344B" w:rsidP="00F6344B">
            <w:pPr>
              <w:pStyle w:val="CM4"/>
              <w:tabs>
                <w:tab w:val="left" w:pos="150"/>
              </w:tabs>
              <w:ind w:left="-43"/>
              <w:jc w:val="both"/>
              <w:rPr>
                <w:rFonts w:ascii="Times New Roman" w:hAnsi="Times New Roman"/>
                <w:iCs/>
                <w:sz w:val="20"/>
                <w:szCs w:val="20"/>
                <w:lang w:val="ro-RO" w:eastAsia="ru-RU"/>
              </w:rPr>
            </w:pPr>
          </w:p>
          <w:p w14:paraId="52EC9E0F" w14:textId="00B1D515" w:rsidR="00F6344B" w:rsidRPr="00F6344B" w:rsidRDefault="00F6344B" w:rsidP="00F6344B">
            <w:pPr>
              <w:pStyle w:val="CM4"/>
              <w:tabs>
                <w:tab w:val="left" w:pos="150"/>
              </w:tabs>
              <w:ind w:left="-43"/>
              <w:jc w:val="both"/>
              <w:rPr>
                <w:rFonts w:ascii="Times New Roman" w:hAnsi="Times New Roman"/>
                <w:iCs/>
                <w:sz w:val="20"/>
                <w:szCs w:val="20"/>
                <w:lang w:val="ro-RO" w:eastAsia="ru-RU"/>
              </w:rPr>
            </w:pPr>
            <w:r w:rsidRPr="00F6344B">
              <w:rPr>
                <w:rFonts w:ascii="Times New Roman" w:hAnsi="Times New Roman"/>
                <w:iCs/>
                <w:sz w:val="20"/>
                <w:szCs w:val="20"/>
                <w:lang w:val="ro-RO" w:eastAsia="ru-RU"/>
              </w:rPr>
              <w:t>(a) calculează valoarea totală a instrumentelor neeligibile; și</w:t>
            </w:r>
          </w:p>
          <w:p w14:paraId="0162AF97" w14:textId="41483A2E" w:rsidR="00F6344B" w:rsidRPr="002C32BA" w:rsidRDefault="00F6344B" w:rsidP="00F6344B">
            <w:pPr>
              <w:pStyle w:val="CM4"/>
              <w:tabs>
                <w:tab w:val="left" w:pos="150"/>
              </w:tabs>
              <w:ind w:left="-43"/>
              <w:jc w:val="both"/>
              <w:rPr>
                <w:rFonts w:ascii="Times New Roman" w:hAnsi="Times New Roman"/>
                <w:iCs/>
                <w:sz w:val="20"/>
                <w:szCs w:val="20"/>
                <w:lang w:val="ro-RO" w:eastAsia="ru-RU"/>
              </w:rPr>
            </w:pPr>
            <w:r w:rsidRPr="00F6344B">
              <w:rPr>
                <w:rFonts w:ascii="Times New Roman" w:hAnsi="Times New Roman"/>
                <w:iCs/>
                <w:sz w:val="20"/>
                <w:szCs w:val="20"/>
                <w:lang w:val="ro-RO" w:eastAsia="ru-RU"/>
              </w:rPr>
              <w:t>(b) dacă suma obținută conform literei (a) este negativă, se scade valoarea absolută a acestei sume din valoarea totală a instrumentelor eligibile.</w:t>
            </w:r>
          </w:p>
        </w:tc>
        <w:tc>
          <w:tcPr>
            <w:tcW w:w="1636" w:type="pct"/>
            <w:shd w:val="clear" w:color="auto" w:fill="auto"/>
          </w:tcPr>
          <w:p w14:paraId="3C4BAC0E" w14:textId="77777777" w:rsidR="00F6344B" w:rsidRPr="00E8164A" w:rsidRDefault="00F6344B" w:rsidP="00F6344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color w:val="000000" w:themeColor="text1"/>
                <w:sz w:val="20"/>
                <w:szCs w:val="20"/>
                <w:lang w:val="ro-RO" w:eastAsia="ro-MD"/>
              </w:rPr>
              <w:t xml:space="preserve"> În cazul în care instrumentele neeligibile ale OPC pot avea o valoare negativă din cauza datoriilor sau a datoriilor contingente care rezultă din dreptul de proprietate, băncile trebuie să procedeze după cum urmează:</w:t>
            </w:r>
          </w:p>
          <w:p w14:paraId="3E145740" w14:textId="77777777" w:rsidR="00F6344B" w:rsidRPr="00E8164A" w:rsidRDefault="00F6344B" w:rsidP="00F6344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să calculeze valoarea totală a instrumentelor neeligibile ale OPC; și</w:t>
            </w:r>
          </w:p>
          <w:p w14:paraId="41F6EB27" w14:textId="2D63F4A3" w:rsidR="00F6344B" w:rsidRPr="002C32BA" w:rsidRDefault="00F6344B" w:rsidP="00F6344B">
            <w:pPr>
              <w:pStyle w:val="CM4"/>
              <w:tabs>
                <w:tab w:val="left" w:pos="150"/>
              </w:tabs>
              <w:ind w:left="-36"/>
              <w:rPr>
                <w:rFonts w:ascii="Times New Roman" w:hAnsi="Times New Roman"/>
                <w:sz w:val="20"/>
                <w:szCs w:val="20"/>
                <w:lang w:val="ro-RO" w:eastAsia="ru-RU"/>
              </w:rPr>
            </w:pPr>
            <w:r w:rsidRPr="00E8164A">
              <w:rPr>
                <w:rFonts w:ascii="Times New Roman" w:hAnsi="Times New Roman"/>
                <w:color w:val="000000" w:themeColor="text1"/>
                <w:sz w:val="20"/>
                <w:szCs w:val="20"/>
                <w:lang w:val="ro-RO" w:eastAsia="ro-MD"/>
              </w:rPr>
              <w:t>2) dacă suma obținută conform subpunctului 1) este negativă, să scadă valoarea absolută a acestei sume din valoarea totală a instrumentelor eligibile ale OPC.</w:t>
            </w:r>
          </w:p>
        </w:tc>
        <w:tc>
          <w:tcPr>
            <w:tcW w:w="562" w:type="pct"/>
          </w:tcPr>
          <w:p w14:paraId="38A812F5" w14:textId="75CC4B9B" w:rsidR="00F6344B" w:rsidRPr="002C32BA" w:rsidRDefault="00F6344B" w:rsidP="00F6344B">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2EC1381" w14:textId="397D80EE" w:rsidR="00F6344B" w:rsidRDefault="00F6344B" w:rsidP="00F6344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E07944" w:rsidRPr="002C32BA" w14:paraId="778232C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02FD36D0" w14:textId="77777777" w:rsidR="00E07944" w:rsidRPr="00E07944" w:rsidRDefault="00E07944" w:rsidP="00E07944">
            <w:pPr>
              <w:pStyle w:val="CM4"/>
              <w:tabs>
                <w:tab w:val="left" w:pos="150"/>
              </w:tabs>
              <w:ind w:left="-43"/>
              <w:jc w:val="both"/>
              <w:rPr>
                <w:rFonts w:ascii="Times New Roman" w:hAnsi="Times New Roman"/>
                <w:b/>
                <w:iCs/>
                <w:sz w:val="20"/>
                <w:szCs w:val="20"/>
                <w:lang w:val="ro-RO" w:eastAsia="ru-RU"/>
              </w:rPr>
            </w:pPr>
            <w:r w:rsidRPr="00E07944">
              <w:rPr>
                <w:rFonts w:ascii="Times New Roman" w:hAnsi="Times New Roman"/>
                <w:i/>
                <w:iCs/>
                <w:sz w:val="20"/>
                <w:szCs w:val="20"/>
                <w:lang w:val="ro-RO" w:eastAsia="ru-RU"/>
              </w:rPr>
              <w:t>Articolul 199</w:t>
            </w:r>
            <w:r w:rsidRPr="00E07944">
              <w:rPr>
                <w:rFonts w:ascii="Times New Roman" w:hAnsi="Times New Roman"/>
                <w:iCs/>
                <w:sz w:val="20"/>
                <w:szCs w:val="20"/>
                <w:lang w:val="ro-RO" w:eastAsia="ru-RU"/>
              </w:rPr>
              <w:t xml:space="preserve"> </w:t>
            </w:r>
            <w:r w:rsidRPr="00E07944">
              <w:rPr>
                <w:rFonts w:ascii="Times New Roman" w:hAnsi="Times New Roman"/>
                <w:b/>
                <w:iCs/>
                <w:sz w:val="20"/>
                <w:szCs w:val="20"/>
                <w:lang w:val="ro-RO" w:eastAsia="ru-RU"/>
              </w:rPr>
              <w:t>Extinderea eligibilității garanțiilor reale în cadrul abordării IRB</w:t>
            </w:r>
          </w:p>
          <w:p w14:paraId="472C74F2" w14:textId="35DAD331" w:rsidR="00E07944" w:rsidRPr="00E07944" w:rsidRDefault="00E07944" w:rsidP="00E07944">
            <w:pPr>
              <w:shd w:val="clear" w:color="auto" w:fill="FFFFFF"/>
              <w:spacing w:after="0" w:line="240" w:lineRule="auto"/>
              <w:rPr>
                <w:rFonts w:ascii="Times New Roman" w:eastAsia="Times New Roman" w:hAnsi="Times New Roman" w:cs="Times New Roman"/>
                <w:color w:val="000000" w:themeColor="text1"/>
                <w:sz w:val="20"/>
                <w:szCs w:val="20"/>
                <w:lang w:eastAsia="ro-MD"/>
              </w:rPr>
            </w:pPr>
            <w:r w:rsidRPr="00E07944">
              <w:rPr>
                <w:rFonts w:ascii="Times New Roman" w:eastAsia="Times New Roman" w:hAnsi="Times New Roman" w:cs="Times New Roman"/>
                <w:color w:val="000000" w:themeColor="text1"/>
                <w:sz w:val="20"/>
                <w:szCs w:val="20"/>
                <w:lang w:eastAsia="ro-MD"/>
              </w:rPr>
              <w:t>(1)  </w:t>
            </w:r>
            <w:proofErr w:type="spellStart"/>
            <w:r w:rsidRPr="00E07944">
              <w:rPr>
                <w:rFonts w:ascii="Times New Roman" w:eastAsia="Times New Roman" w:hAnsi="Times New Roman" w:cs="Times New Roman"/>
                <w:color w:val="000000" w:themeColor="text1"/>
                <w:sz w:val="20"/>
                <w:szCs w:val="20"/>
                <w:lang w:eastAsia="ro-MD"/>
              </w:rPr>
              <w:t>În</w:t>
            </w:r>
            <w:proofErr w:type="spellEnd"/>
            <w:r w:rsidRPr="00E07944">
              <w:rPr>
                <w:rFonts w:ascii="Times New Roman" w:eastAsia="Times New Roman" w:hAnsi="Times New Roman" w:cs="Times New Roman"/>
                <w:color w:val="000000" w:themeColor="text1"/>
                <w:sz w:val="20"/>
                <w:szCs w:val="20"/>
                <w:lang w:eastAsia="ro-MD"/>
              </w:rPr>
              <w:t xml:space="preserve"> plus </w:t>
            </w:r>
            <w:proofErr w:type="spellStart"/>
            <w:r w:rsidRPr="00E07944">
              <w:rPr>
                <w:rFonts w:ascii="Times New Roman" w:eastAsia="Times New Roman" w:hAnsi="Times New Roman" w:cs="Times New Roman"/>
                <w:color w:val="000000" w:themeColor="text1"/>
                <w:sz w:val="20"/>
                <w:szCs w:val="20"/>
                <w:lang w:eastAsia="ro-MD"/>
              </w:rPr>
              <w:t>față</w:t>
            </w:r>
            <w:proofErr w:type="spellEnd"/>
            <w:r w:rsidRPr="00E07944">
              <w:rPr>
                <w:rFonts w:ascii="Times New Roman" w:eastAsia="Times New Roman" w:hAnsi="Times New Roman" w:cs="Times New Roman"/>
                <w:color w:val="000000" w:themeColor="text1"/>
                <w:sz w:val="20"/>
                <w:szCs w:val="20"/>
                <w:lang w:eastAsia="ro-MD"/>
              </w:rPr>
              <w:t xml:space="preserve"> de </w:t>
            </w:r>
            <w:proofErr w:type="spellStart"/>
            <w:r w:rsidRPr="00E07944">
              <w:rPr>
                <w:rFonts w:ascii="Times New Roman" w:eastAsia="Times New Roman" w:hAnsi="Times New Roman" w:cs="Times New Roman"/>
                <w:color w:val="000000" w:themeColor="text1"/>
                <w:sz w:val="20"/>
                <w:szCs w:val="20"/>
                <w:lang w:eastAsia="ro-MD"/>
              </w:rPr>
              <w:t>garanțiile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reale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menționate</w:t>
            </w:r>
            <w:proofErr w:type="spellEnd"/>
            <w:r w:rsidRPr="00E07944">
              <w:rPr>
                <w:rFonts w:ascii="Times New Roman" w:eastAsia="Times New Roman" w:hAnsi="Times New Roman" w:cs="Times New Roman"/>
                <w:color w:val="000000" w:themeColor="text1"/>
                <w:sz w:val="20"/>
                <w:szCs w:val="20"/>
                <w:lang w:eastAsia="ro-MD"/>
              </w:rPr>
              <w:t xml:space="preserve"> la </w:t>
            </w:r>
            <w:proofErr w:type="spellStart"/>
            <w:r w:rsidRPr="00E07944">
              <w:rPr>
                <w:rFonts w:ascii="Times New Roman" w:eastAsia="Times New Roman" w:hAnsi="Times New Roman" w:cs="Times New Roman"/>
                <w:color w:val="000000" w:themeColor="text1"/>
                <w:sz w:val="20"/>
                <w:szCs w:val="20"/>
                <w:lang w:eastAsia="ro-MD"/>
              </w:rPr>
              <w:t>articolele</w:t>
            </w:r>
            <w:proofErr w:type="spellEnd"/>
            <w:r w:rsidRPr="00E07944">
              <w:rPr>
                <w:rFonts w:ascii="Times New Roman" w:eastAsia="Times New Roman" w:hAnsi="Times New Roman" w:cs="Times New Roman"/>
                <w:color w:val="000000" w:themeColor="text1"/>
                <w:sz w:val="20"/>
                <w:szCs w:val="20"/>
                <w:lang w:eastAsia="ro-MD"/>
              </w:rPr>
              <w:t xml:space="preserve"> 19</w:t>
            </w:r>
            <w:r>
              <w:rPr>
                <w:rFonts w:ascii="Times New Roman" w:eastAsia="Times New Roman" w:hAnsi="Times New Roman" w:cs="Times New Roman"/>
                <w:color w:val="000000" w:themeColor="text1"/>
                <w:sz w:val="20"/>
                <w:szCs w:val="20"/>
                <w:lang w:eastAsia="ro-MD"/>
              </w:rPr>
              <w:t>7</w:t>
            </w:r>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și</w:t>
            </w:r>
            <w:proofErr w:type="spellEnd"/>
            <w:r w:rsidRPr="00E07944">
              <w:rPr>
                <w:rFonts w:ascii="Times New Roman" w:eastAsia="Times New Roman" w:hAnsi="Times New Roman" w:cs="Times New Roman"/>
                <w:color w:val="000000" w:themeColor="text1"/>
                <w:sz w:val="20"/>
                <w:szCs w:val="20"/>
                <w:lang w:eastAsia="ro-MD"/>
              </w:rPr>
              <w:t xml:space="preserve"> 19</w:t>
            </w:r>
            <w:r>
              <w:rPr>
                <w:rFonts w:ascii="Times New Roman" w:eastAsia="Times New Roman" w:hAnsi="Times New Roman" w:cs="Times New Roman"/>
                <w:color w:val="000000" w:themeColor="text1"/>
                <w:sz w:val="20"/>
                <w:szCs w:val="20"/>
                <w:lang w:eastAsia="ro-MD"/>
              </w:rPr>
              <w:t>8</w:t>
            </w:r>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instituțiile</w:t>
            </w:r>
            <w:proofErr w:type="spellEnd"/>
            <w:r w:rsidRPr="00E07944">
              <w:rPr>
                <w:rFonts w:ascii="Times New Roman" w:eastAsia="Times New Roman" w:hAnsi="Times New Roman" w:cs="Times New Roman"/>
                <w:color w:val="000000" w:themeColor="text1"/>
                <w:sz w:val="20"/>
                <w:szCs w:val="20"/>
                <w:lang w:eastAsia="ro-MD"/>
              </w:rPr>
              <w:t xml:space="preserve"> care </w:t>
            </w:r>
            <w:proofErr w:type="spellStart"/>
            <w:r w:rsidRPr="00E07944">
              <w:rPr>
                <w:rFonts w:ascii="Times New Roman" w:eastAsia="Times New Roman" w:hAnsi="Times New Roman" w:cs="Times New Roman"/>
                <w:color w:val="000000" w:themeColor="text1"/>
                <w:sz w:val="20"/>
                <w:szCs w:val="20"/>
                <w:lang w:eastAsia="ro-MD"/>
              </w:rPr>
              <w:t>calculează</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cuantumurile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ponderate</w:t>
            </w:r>
            <w:proofErr w:type="spellEnd"/>
            <w:r w:rsidRPr="00E07944">
              <w:rPr>
                <w:rFonts w:ascii="Times New Roman" w:eastAsia="Times New Roman" w:hAnsi="Times New Roman" w:cs="Times New Roman"/>
                <w:color w:val="000000" w:themeColor="text1"/>
                <w:sz w:val="20"/>
                <w:szCs w:val="20"/>
                <w:lang w:eastAsia="ro-MD"/>
              </w:rPr>
              <w:t xml:space="preserve"> la </w:t>
            </w:r>
            <w:proofErr w:type="spellStart"/>
            <w:r w:rsidRPr="00E07944">
              <w:rPr>
                <w:rFonts w:ascii="Times New Roman" w:eastAsia="Times New Roman" w:hAnsi="Times New Roman" w:cs="Times New Roman"/>
                <w:color w:val="000000" w:themeColor="text1"/>
                <w:sz w:val="20"/>
                <w:szCs w:val="20"/>
                <w:lang w:eastAsia="ro-MD"/>
              </w:rPr>
              <w:t>risc</w:t>
            </w:r>
            <w:proofErr w:type="spellEnd"/>
            <w:r w:rsidRPr="00E07944">
              <w:rPr>
                <w:rFonts w:ascii="Times New Roman" w:eastAsia="Times New Roman" w:hAnsi="Times New Roman" w:cs="Times New Roman"/>
                <w:color w:val="000000" w:themeColor="text1"/>
                <w:sz w:val="20"/>
                <w:szCs w:val="20"/>
                <w:lang w:eastAsia="ro-MD"/>
              </w:rPr>
              <w:t xml:space="preserve"> ale </w:t>
            </w:r>
            <w:proofErr w:type="spellStart"/>
            <w:r w:rsidRPr="00E07944">
              <w:rPr>
                <w:rFonts w:ascii="Times New Roman" w:eastAsia="Times New Roman" w:hAnsi="Times New Roman" w:cs="Times New Roman"/>
                <w:color w:val="000000" w:themeColor="text1"/>
                <w:sz w:val="20"/>
                <w:szCs w:val="20"/>
                <w:lang w:eastAsia="ro-MD"/>
              </w:rPr>
              <w:t>expunerilor</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și</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cuantumurile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pierderilor</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așteptate</w:t>
            </w:r>
            <w:proofErr w:type="spellEnd"/>
            <w:r w:rsidRPr="00E07944">
              <w:rPr>
                <w:rFonts w:ascii="Times New Roman" w:eastAsia="Times New Roman" w:hAnsi="Times New Roman" w:cs="Times New Roman"/>
                <w:color w:val="000000" w:themeColor="text1"/>
                <w:sz w:val="20"/>
                <w:szCs w:val="20"/>
                <w:lang w:eastAsia="ro-MD"/>
              </w:rPr>
              <w:t xml:space="preserve"> conform </w:t>
            </w:r>
            <w:proofErr w:type="spellStart"/>
            <w:r w:rsidRPr="00E07944">
              <w:rPr>
                <w:rFonts w:ascii="Times New Roman" w:eastAsia="Times New Roman" w:hAnsi="Times New Roman" w:cs="Times New Roman"/>
                <w:color w:val="000000" w:themeColor="text1"/>
                <w:sz w:val="20"/>
                <w:szCs w:val="20"/>
                <w:lang w:eastAsia="ro-MD"/>
              </w:rPr>
              <w:t>abordării</w:t>
            </w:r>
            <w:proofErr w:type="spellEnd"/>
            <w:r w:rsidRPr="00E07944">
              <w:rPr>
                <w:rFonts w:ascii="Times New Roman" w:eastAsia="Times New Roman" w:hAnsi="Times New Roman" w:cs="Times New Roman"/>
                <w:color w:val="000000" w:themeColor="text1"/>
                <w:sz w:val="20"/>
                <w:szCs w:val="20"/>
                <w:lang w:eastAsia="ro-MD"/>
              </w:rPr>
              <w:t xml:space="preserve"> IRB pot </w:t>
            </w:r>
            <w:proofErr w:type="spellStart"/>
            <w:r w:rsidRPr="00E07944">
              <w:rPr>
                <w:rFonts w:ascii="Times New Roman" w:eastAsia="Times New Roman" w:hAnsi="Times New Roman" w:cs="Times New Roman"/>
                <w:color w:val="000000" w:themeColor="text1"/>
                <w:sz w:val="20"/>
                <w:szCs w:val="20"/>
                <w:lang w:eastAsia="ro-MD"/>
              </w:rPr>
              <w:t>utiliza</w:t>
            </w:r>
            <w:proofErr w:type="spellEnd"/>
            <w:r w:rsidRPr="00E07944">
              <w:rPr>
                <w:rFonts w:ascii="Times New Roman" w:eastAsia="Times New Roman" w:hAnsi="Times New Roman" w:cs="Times New Roman"/>
                <w:color w:val="000000" w:themeColor="text1"/>
                <w:sz w:val="20"/>
                <w:szCs w:val="20"/>
                <w:lang w:eastAsia="ro-MD"/>
              </w:rPr>
              <w:t xml:space="preserve">, de </w:t>
            </w:r>
            <w:proofErr w:type="spellStart"/>
            <w:r w:rsidRPr="00E07944">
              <w:rPr>
                <w:rFonts w:ascii="Times New Roman" w:eastAsia="Times New Roman" w:hAnsi="Times New Roman" w:cs="Times New Roman"/>
                <w:color w:val="000000" w:themeColor="text1"/>
                <w:sz w:val="20"/>
                <w:szCs w:val="20"/>
                <w:lang w:eastAsia="ro-MD"/>
              </w:rPr>
              <w:t>asemenea</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următoarele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forme</w:t>
            </w:r>
            <w:proofErr w:type="spellEnd"/>
            <w:r w:rsidRPr="00E07944">
              <w:rPr>
                <w:rFonts w:ascii="Times New Roman" w:eastAsia="Times New Roman" w:hAnsi="Times New Roman" w:cs="Times New Roman"/>
                <w:color w:val="000000" w:themeColor="text1"/>
                <w:sz w:val="20"/>
                <w:szCs w:val="20"/>
                <w:lang w:eastAsia="ro-MD"/>
              </w:rPr>
              <w:t xml:space="preserve"> de </w:t>
            </w:r>
            <w:proofErr w:type="spellStart"/>
            <w:r w:rsidRPr="00E07944">
              <w:rPr>
                <w:rFonts w:ascii="Times New Roman" w:eastAsia="Times New Roman" w:hAnsi="Times New Roman" w:cs="Times New Roman"/>
                <w:color w:val="000000" w:themeColor="text1"/>
                <w:sz w:val="20"/>
                <w:szCs w:val="20"/>
                <w:lang w:eastAsia="ro-MD"/>
              </w:rPr>
              <w:t>garanții</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reale</w:t>
            </w:r>
            <w:proofErr w:type="spellEnd"/>
            <w:r w:rsidRPr="00E07944">
              <w:rPr>
                <w:rFonts w:ascii="Times New Roman" w:eastAsia="Times New Roman" w:hAnsi="Times New Roman" w:cs="Times New Roman"/>
                <w:color w:val="000000" w:themeColor="text1"/>
                <w:sz w:val="20"/>
                <w:szCs w:val="20"/>
                <w:lang w:eastAsia="ro-MD"/>
              </w:rPr>
              <w:t>:</w:t>
            </w:r>
          </w:p>
          <w:p w14:paraId="0F8F4847" w14:textId="77777777" w:rsidR="00E07944" w:rsidRPr="00E07944" w:rsidRDefault="00E07944" w:rsidP="00E07944">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E07944">
              <w:rPr>
                <w:rFonts w:ascii="Times New Roman" w:eastAsia="Times New Roman" w:hAnsi="Times New Roman" w:cs="Times New Roman"/>
                <w:color w:val="000000" w:themeColor="text1"/>
                <w:sz w:val="20"/>
                <w:szCs w:val="20"/>
                <w:lang w:eastAsia="ro-MD"/>
              </w:rPr>
              <w:t>(a) </w:t>
            </w:r>
            <w:proofErr w:type="spellStart"/>
            <w:r w:rsidRPr="00E07944">
              <w:rPr>
                <w:rFonts w:ascii="Times New Roman" w:eastAsia="Times New Roman" w:hAnsi="Times New Roman" w:cs="Times New Roman"/>
                <w:color w:val="000000" w:themeColor="text1"/>
                <w:sz w:val="20"/>
                <w:szCs w:val="20"/>
                <w:lang w:eastAsia="ro-MD"/>
              </w:rPr>
              <w:t>garanții</w:t>
            </w:r>
            <w:proofErr w:type="spellEnd"/>
            <w:r w:rsidRPr="00E07944">
              <w:rPr>
                <w:rFonts w:ascii="Times New Roman" w:eastAsia="Times New Roman" w:hAnsi="Times New Roman" w:cs="Times New Roman"/>
                <w:color w:val="000000" w:themeColor="text1"/>
                <w:sz w:val="20"/>
                <w:szCs w:val="20"/>
                <w:lang w:eastAsia="ro-MD"/>
              </w:rPr>
              <w:t xml:space="preserve"> sub forma </w:t>
            </w:r>
            <w:proofErr w:type="spellStart"/>
            <w:r w:rsidRPr="00E07944">
              <w:rPr>
                <w:rFonts w:ascii="Times New Roman" w:eastAsia="Times New Roman" w:hAnsi="Times New Roman" w:cs="Times New Roman"/>
                <w:color w:val="000000" w:themeColor="text1"/>
                <w:sz w:val="20"/>
                <w:szCs w:val="20"/>
                <w:lang w:eastAsia="ro-MD"/>
              </w:rPr>
              <w:t>bunurilor</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imobile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în</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conformitate</w:t>
            </w:r>
            <w:proofErr w:type="spellEnd"/>
            <w:r w:rsidRPr="00E07944">
              <w:rPr>
                <w:rFonts w:ascii="Times New Roman" w:eastAsia="Times New Roman" w:hAnsi="Times New Roman" w:cs="Times New Roman"/>
                <w:color w:val="000000" w:themeColor="text1"/>
                <w:sz w:val="20"/>
                <w:szCs w:val="20"/>
                <w:lang w:eastAsia="ro-MD"/>
              </w:rPr>
              <w:t xml:space="preserve"> cu </w:t>
            </w:r>
            <w:proofErr w:type="spellStart"/>
            <w:r w:rsidRPr="00E07944">
              <w:rPr>
                <w:rFonts w:ascii="Times New Roman" w:eastAsia="Times New Roman" w:hAnsi="Times New Roman" w:cs="Times New Roman"/>
                <w:color w:val="000000" w:themeColor="text1"/>
                <w:sz w:val="20"/>
                <w:szCs w:val="20"/>
                <w:lang w:eastAsia="ro-MD"/>
              </w:rPr>
              <w:t>alineatele</w:t>
            </w:r>
            <w:proofErr w:type="spellEnd"/>
            <w:r w:rsidRPr="00E07944">
              <w:rPr>
                <w:rFonts w:ascii="Times New Roman" w:eastAsia="Times New Roman" w:hAnsi="Times New Roman" w:cs="Times New Roman"/>
                <w:color w:val="000000" w:themeColor="text1"/>
                <w:sz w:val="20"/>
                <w:szCs w:val="20"/>
                <w:lang w:eastAsia="ro-MD"/>
              </w:rPr>
              <w:t xml:space="preserve"> (2), (3) </w:t>
            </w:r>
            <w:proofErr w:type="spellStart"/>
            <w:r w:rsidRPr="00E07944">
              <w:rPr>
                <w:rFonts w:ascii="Times New Roman" w:eastAsia="Times New Roman" w:hAnsi="Times New Roman" w:cs="Times New Roman"/>
                <w:color w:val="000000" w:themeColor="text1"/>
                <w:sz w:val="20"/>
                <w:szCs w:val="20"/>
                <w:lang w:eastAsia="ro-MD"/>
              </w:rPr>
              <w:t>și</w:t>
            </w:r>
            <w:proofErr w:type="spellEnd"/>
            <w:r w:rsidRPr="00E07944">
              <w:rPr>
                <w:rFonts w:ascii="Times New Roman" w:eastAsia="Times New Roman" w:hAnsi="Times New Roman" w:cs="Times New Roman"/>
                <w:color w:val="000000" w:themeColor="text1"/>
                <w:sz w:val="20"/>
                <w:szCs w:val="20"/>
                <w:lang w:eastAsia="ro-MD"/>
              </w:rPr>
              <w:t xml:space="preserve"> (4</w:t>
            </w:r>
            <w:proofErr w:type="gramStart"/>
            <w:r w:rsidRPr="00E07944">
              <w:rPr>
                <w:rFonts w:ascii="Times New Roman" w:eastAsia="Times New Roman" w:hAnsi="Times New Roman" w:cs="Times New Roman"/>
                <w:color w:val="000000" w:themeColor="text1"/>
                <w:sz w:val="20"/>
                <w:szCs w:val="20"/>
                <w:lang w:eastAsia="ro-MD"/>
              </w:rPr>
              <w:t>);</w:t>
            </w:r>
            <w:proofErr w:type="gramEnd"/>
          </w:p>
          <w:p w14:paraId="06D4868A" w14:textId="77777777" w:rsidR="00E07944" w:rsidRPr="00E07944" w:rsidRDefault="00E07944" w:rsidP="00E07944">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E07944">
              <w:rPr>
                <w:rFonts w:ascii="Times New Roman" w:eastAsia="Times New Roman" w:hAnsi="Times New Roman" w:cs="Times New Roman"/>
                <w:color w:val="000000" w:themeColor="text1"/>
                <w:sz w:val="20"/>
                <w:szCs w:val="20"/>
                <w:lang w:eastAsia="ro-MD"/>
              </w:rPr>
              <w:t>(b) </w:t>
            </w:r>
            <w:proofErr w:type="spellStart"/>
            <w:r w:rsidRPr="00E07944">
              <w:rPr>
                <w:rFonts w:ascii="Times New Roman" w:eastAsia="Times New Roman" w:hAnsi="Times New Roman" w:cs="Times New Roman"/>
                <w:color w:val="000000" w:themeColor="text1"/>
                <w:sz w:val="20"/>
                <w:szCs w:val="20"/>
                <w:lang w:eastAsia="ro-MD"/>
              </w:rPr>
              <w:t>creanțe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în</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conformitate</w:t>
            </w:r>
            <w:proofErr w:type="spellEnd"/>
            <w:r w:rsidRPr="00E07944">
              <w:rPr>
                <w:rFonts w:ascii="Times New Roman" w:eastAsia="Times New Roman" w:hAnsi="Times New Roman" w:cs="Times New Roman"/>
                <w:color w:val="000000" w:themeColor="text1"/>
                <w:sz w:val="20"/>
                <w:szCs w:val="20"/>
                <w:lang w:eastAsia="ro-MD"/>
              </w:rPr>
              <w:t xml:space="preserve"> cu </w:t>
            </w:r>
            <w:proofErr w:type="spellStart"/>
            <w:r w:rsidRPr="00E07944">
              <w:rPr>
                <w:rFonts w:ascii="Times New Roman" w:eastAsia="Times New Roman" w:hAnsi="Times New Roman" w:cs="Times New Roman"/>
                <w:color w:val="000000" w:themeColor="text1"/>
                <w:sz w:val="20"/>
                <w:szCs w:val="20"/>
                <w:lang w:eastAsia="ro-MD"/>
              </w:rPr>
              <w:t>alineatul</w:t>
            </w:r>
            <w:proofErr w:type="spellEnd"/>
            <w:r w:rsidRPr="00E07944">
              <w:rPr>
                <w:rFonts w:ascii="Times New Roman" w:eastAsia="Times New Roman" w:hAnsi="Times New Roman" w:cs="Times New Roman"/>
                <w:color w:val="000000" w:themeColor="text1"/>
                <w:sz w:val="20"/>
                <w:szCs w:val="20"/>
                <w:lang w:eastAsia="ro-MD"/>
              </w:rPr>
              <w:t xml:space="preserve"> (5</w:t>
            </w:r>
            <w:proofErr w:type="gramStart"/>
            <w:r w:rsidRPr="00E07944">
              <w:rPr>
                <w:rFonts w:ascii="Times New Roman" w:eastAsia="Times New Roman" w:hAnsi="Times New Roman" w:cs="Times New Roman"/>
                <w:color w:val="000000" w:themeColor="text1"/>
                <w:sz w:val="20"/>
                <w:szCs w:val="20"/>
                <w:lang w:eastAsia="ro-MD"/>
              </w:rPr>
              <w:t>);</w:t>
            </w:r>
            <w:proofErr w:type="gramEnd"/>
          </w:p>
          <w:p w14:paraId="223A1F32" w14:textId="77777777" w:rsidR="00E07944" w:rsidRPr="00E07944" w:rsidRDefault="00E07944" w:rsidP="00E07944">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E07944">
              <w:rPr>
                <w:rFonts w:ascii="Times New Roman" w:eastAsia="Times New Roman" w:hAnsi="Times New Roman" w:cs="Times New Roman"/>
                <w:color w:val="000000" w:themeColor="text1"/>
                <w:sz w:val="20"/>
                <w:szCs w:val="20"/>
                <w:lang w:eastAsia="ro-MD"/>
              </w:rPr>
              <w:t>(c) </w:t>
            </w:r>
            <w:proofErr w:type="spellStart"/>
            <w:r w:rsidRPr="00E07944">
              <w:rPr>
                <w:rFonts w:ascii="Times New Roman" w:eastAsia="Times New Roman" w:hAnsi="Times New Roman" w:cs="Times New Roman"/>
                <w:color w:val="000000" w:themeColor="text1"/>
                <w:sz w:val="20"/>
                <w:szCs w:val="20"/>
                <w:lang w:eastAsia="ro-MD"/>
              </w:rPr>
              <w:t>alte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garanții</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reale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corporale</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în</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conformitate</w:t>
            </w:r>
            <w:proofErr w:type="spellEnd"/>
            <w:r w:rsidRPr="00E07944">
              <w:rPr>
                <w:rFonts w:ascii="Times New Roman" w:eastAsia="Times New Roman" w:hAnsi="Times New Roman" w:cs="Times New Roman"/>
                <w:color w:val="000000" w:themeColor="text1"/>
                <w:sz w:val="20"/>
                <w:szCs w:val="20"/>
                <w:lang w:eastAsia="ro-MD"/>
              </w:rPr>
              <w:t xml:space="preserve"> cu </w:t>
            </w:r>
            <w:proofErr w:type="spellStart"/>
            <w:r w:rsidRPr="00E07944">
              <w:rPr>
                <w:rFonts w:ascii="Times New Roman" w:eastAsia="Times New Roman" w:hAnsi="Times New Roman" w:cs="Times New Roman"/>
                <w:color w:val="000000" w:themeColor="text1"/>
                <w:sz w:val="20"/>
                <w:szCs w:val="20"/>
                <w:lang w:eastAsia="ro-MD"/>
              </w:rPr>
              <w:t>alineatele</w:t>
            </w:r>
            <w:proofErr w:type="spellEnd"/>
            <w:r w:rsidRPr="00E07944">
              <w:rPr>
                <w:rFonts w:ascii="Times New Roman" w:eastAsia="Times New Roman" w:hAnsi="Times New Roman" w:cs="Times New Roman"/>
                <w:color w:val="000000" w:themeColor="text1"/>
                <w:sz w:val="20"/>
                <w:szCs w:val="20"/>
                <w:lang w:eastAsia="ro-MD"/>
              </w:rPr>
              <w:t xml:space="preserve"> (6) </w:t>
            </w:r>
            <w:proofErr w:type="spellStart"/>
            <w:r w:rsidRPr="00E07944">
              <w:rPr>
                <w:rFonts w:ascii="Times New Roman" w:eastAsia="Times New Roman" w:hAnsi="Times New Roman" w:cs="Times New Roman"/>
                <w:color w:val="000000" w:themeColor="text1"/>
                <w:sz w:val="20"/>
                <w:szCs w:val="20"/>
                <w:lang w:eastAsia="ro-MD"/>
              </w:rPr>
              <w:t>și</w:t>
            </w:r>
            <w:proofErr w:type="spellEnd"/>
            <w:r w:rsidRPr="00E07944">
              <w:rPr>
                <w:rFonts w:ascii="Times New Roman" w:eastAsia="Times New Roman" w:hAnsi="Times New Roman" w:cs="Times New Roman"/>
                <w:color w:val="000000" w:themeColor="text1"/>
                <w:sz w:val="20"/>
                <w:szCs w:val="20"/>
                <w:lang w:eastAsia="ro-MD"/>
              </w:rPr>
              <w:t xml:space="preserve"> (8</w:t>
            </w:r>
            <w:proofErr w:type="gramStart"/>
            <w:r w:rsidRPr="00E07944">
              <w:rPr>
                <w:rFonts w:ascii="Times New Roman" w:eastAsia="Times New Roman" w:hAnsi="Times New Roman" w:cs="Times New Roman"/>
                <w:color w:val="000000" w:themeColor="text1"/>
                <w:sz w:val="20"/>
                <w:szCs w:val="20"/>
                <w:lang w:eastAsia="ro-MD"/>
              </w:rPr>
              <w:t>);</w:t>
            </w:r>
            <w:proofErr w:type="gramEnd"/>
          </w:p>
          <w:p w14:paraId="2ACB8A72" w14:textId="77777777" w:rsidR="00E07944" w:rsidRPr="00E07944" w:rsidRDefault="00E07944" w:rsidP="00E07944">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E07944">
              <w:rPr>
                <w:rFonts w:ascii="Times New Roman" w:eastAsia="Times New Roman" w:hAnsi="Times New Roman" w:cs="Times New Roman"/>
                <w:color w:val="000000" w:themeColor="text1"/>
                <w:sz w:val="20"/>
                <w:szCs w:val="20"/>
                <w:lang w:eastAsia="ro-MD"/>
              </w:rPr>
              <w:t>(d) </w:t>
            </w:r>
            <w:proofErr w:type="spellStart"/>
            <w:r w:rsidRPr="00E07944">
              <w:rPr>
                <w:rFonts w:ascii="Times New Roman" w:eastAsia="Times New Roman" w:hAnsi="Times New Roman" w:cs="Times New Roman"/>
                <w:color w:val="000000" w:themeColor="text1"/>
                <w:sz w:val="20"/>
                <w:szCs w:val="20"/>
                <w:lang w:eastAsia="ro-MD"/>
              </w:rPr>
              <w:t>bunuri</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în</w:t>
            </w:r>
            <w:proofErr w:type="spellEnd"/>
            <w:r w:rsidRPr="00E07944">
              <w:rPr>
                <w:rFonts w:ascii="Times New Roman" w:eastAsia="Times New Roman" w:hAnsi="Times New Roman" w:cs="Times New Roman"/>
                <w:color w:val="000000" w:themeColor="text1"/>
                <w:sz w:val="20"/>
                <w:szCs w:val="20"/>
                <w:lang w:eastAsia="ro-MD"/>
              </w:rPr>
              <w:t xml:space="preserve"> leasing, </w:t>
            </w:r>
            <w:proofErr w:type="spellStart"/>
            <w:r w:rsidRPr="00E07944">
              <w:rPr>
                <w:rFonts w:ascii="Times New Roman" w:eastAsia="Times New Roman" w:hAnsi="Times New Roman" w:cs="Times New Roman"/>
                <w:color w:val="000000" w:themeColor="text1"/>
                <w:sz w:val="20"/>
                <w:szCs w:val="20"/>
                <w:lang w:eastAsia="ro-MD"/>
              </w:rPr>
              <w:t>în</w:t>
            </w:r>
            <w:proofErr w:type="spellEnd"/>
            <w:r w:rsidRPr="00E07944">
              <w:rPr>
                <w:rFonts w:ascii="Times New Roman" w:eastAsia="Times New Roman" w:hAnsi="Times New Roman" w:cs="Times New Roman"/>
                <w:color w:val="000000" w:themeColor="text1"/>
                <w:sz w:val="20"/>
                <w:szCs w:val="20"/>
                <w:lang w:eastAsia="ro-MD"/>
              </w:rPr>
              <w:t xml:space="preserve"> </w:t>
            </w:r>
            <w:proofErr w:type="spellStart"/>
            <w:r w:rsidRPr="00E07944">
              <w:rPr>
                <w:rFonts w:ascii="Times New Roman" w:eastAsia="Times New Roman" w:hAnsi="Times New Roman" w:cs="Times New Roman"/>
                <w:color w:val="000000" w:themeColor="text1"/>
                <w:sz w:val="20"/>
                <w:szCs w:val="20"/>
                <w:lang w:eastAsia="ro-MD"/>
              </w:rPr>
              <w:t>conformitate</w:t>
            </w:r>
            <w:proofErr w:type="spellEnd"/>
            <w:r w:rsidRPr="00E07944">
              <w:rPr>
                <w:rFonts w:ascii="Times New Roman" w:eastAsia="Times New Roman" w:hAnsi="Times New Roman" w:cs="Times New Roman"/>
                <w:color w:val="000000" w:themeColor="text1"/>
                <w:sz w:val="20"/>
                <w:szCs w:val="20"/>
                <w:lang w:eastAsia="ro-MD"/>
              </w:rPr>
              <w:t xml:space="preserve"> cu </w:t>
            </w:r>
            <w:proofErr w:type="spellStart"/>
            <w:r w:rsidRPr="00E07944">
              <w:rPr>
                <w:rFonts w:ascii="Times New Roman" w:eastAsia="Times New Roman" w:hAnsi="Times New Roman" w:cs="Times New Roman"/>
                <w:color w:val="000000" w:themeColor="text1"/>
                <w:sz w:val="20"/>
                <w:szCs w:val="20"/>
                <w:lang w:eastAsia="ro-MD"/>
              </w:rPr>
              <w:t>alineatul</w:t>
            </w:r>
            <w:proofErr w:type="spellEnd"/>
            <w:r w:rsidRPr="00E07944">
              <w:rPr>
                <w:rFonts w:ascii="Times New Roman" w:eastAsia="Times New Roman" w:hAnsi="Times New Roman" w:cs="Times New Roman"/>
                <w:color w:val="000000" w:themeColor="text1"/>
                <w:sz w:val="20"/>
                <w:szCs w:val="20"/>
                <w:lang w:eastAsia="ro-MD"/>
              </w:rPr>
              <w:t xml:space="preserve"> (7).</w:t>
            </w:r>
          </w:p>
          <w:p w14:paraId="22859926" w14:textId="19EBAA4B" w:rsidR="00E07944" w:rsidRPr="00595B15" w:rsidRDefault="00E07944" w:rsidP="00595B15">
            <w:pPr>
              <w:shd w:val="clear" w:color="auto" w:fill="FFFFFF"/>
              <w:spacing w:after="0" w:line="240" w:lineRule="auto"/>
              <w:jc w:val="both"/>
              <w:rPr>
                <w:rFonts w:ascii="Times New Roman" w:hAnsi="Times New Roman"/>
                <w:color w:val="000000" w:themeColor="text1"/>
                <w:sz w:val="20"/>
                <w:szCs w:val="20"/>
                <w:lang w:eastAsia="ro-MD"/>
              </w:rPr>
            </w:pPr>
          </w:p>
        </w:tc>
        <w:tc>
          <w:tcPr>
            <w:tcW w:w="1636" w:type="pct"/>
            <w:shd w:val="clear" w:color="auto" w:fill="auto"/>
          </w:tcPr>
          <w:p w14:paraId="618720A9" w14:textId="77777777" w:rsidR="00E07944" w:rsidRPr="00E8164A" w:rsidRDefault="00E07944" w:rsidP="00E07944">
            <w:pPr>
              <w:spacing w:after="0" w:line="240" w:lineRule="auto"/>
              <w:jc w:val="center"/>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i/>
                <w:iCs/>
                <w:color w:val="000000" w:themeColor="text1"/>
                <w:sz w:val="20"/>
                <w:szCs w:val="20"/>
                <w:lang w:val="ro-RO" w:eastAsia="ro-MD"/>
              </w:rPr>
              <w:t>Secțiunea a 4</w:t>
            </w:r>
            <w:r w:rsidRPr="00E8164A">
              <w:rPr>
                <w:rFonts w:ascii="Times New Roman" w:eastAsia="Times New Roman" w:hAnsi="Times New Roman" w:cs="Times New Roman"/>
                <w:b/>
                <w:bCs/>
                <w:i/>
                <w:iCs/>
                <w:color w:val="000000" w:themeColor="text1"/>
                <w:sz w:val="20"/>
                <w:szCs w:val="20"/>
                <w:vertAlign w:val="superscript"/>
                <w:lang w:val="ro-RO" w:eastAsia="ro-MD"/>
              </w:rPr>
              <w:t>1</w:t>
            </w:r>
            <w:r w:rsidRPr="00E8164A">
              <w:rPr>
                <w:rFonts w:ascii="Times New Roman" w:eastAsia="Times New Roman" w:hAnsi="Times New Roman" w:cs="Times New Roman"/>
                <w:b/>
                <w:bCs/>
                <w:i/>
                <w:iCs/>
                <w:color w:val="000000" w:themeColor="text1"/>
                <w:sz w:val="20"/>
                <w:szCs w:val="20"/>
                <w:lang w:val="ro-RO" w:eastAsia="ro-MD"/>
              </w:rPr>
              <w:t>-a</w:t>
            </w:r>
          </w:p>
          <w:p w14:paraId="17FCDCE5" w14:textId="77777777" w:rsidR="00E07944" w:rsidRPr="00E8164A" w:rsidRDefault="00E07944" w:rsidP="00E07944">
            <w:pPr>
              <w:spacing w:after="0" w:line="240" w:lineRule="auto"/>
              <w:jc w:val="center"/>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i/>
                <w:iCs/>
                <w:color w:val="000000" w:themeColor="text1"/>
                <w:sz w:val="20"/>
                <w:szCs w:val="20"/>
                <w:lang w:val="ro-RO" w:eastAsia="ro-MD"/>
              </w:rPr>
              <w:t>Extinderea eligibilității garanțiilor reale în cadrul</w:t>
            </w:r>
            <w:r w:rsidRPr="00E8164A">
              <w:rPr>
                <w:color w:val="000000" w:themeColor="text1"/>
                <w:sz w:val="20"/>
                <w:szCs w:val="20"/>
              </w:rPr>
              <w:t xml:space="preserve"> </w:t>
            </w:r>
            <w:r w:rsidRPr="00E8164A">
              <w:rPr>
                <w:rFonts w:ascii="Times New Roman" w:eastAsia="Times New Roman" w:hAnsi="Times New Roman" w:cs="Times New Roman"/>
                <w:b/>
                <w:bCs/>
                <w:i/>
                <w:iCs/>
                <w:color w:val="000000" w:themeColor="text1"/>
                <w:sz w:val="20"/>
                <w:szCs w:val="20"/>
                <w:lang w:val="ro-RO" w:eastAsia="ro-MD"/>
              </w:rPr>
              <w:t>abordării IRB</w:t>
            </w:r>
          </w:p>
          <w:p w14:paraId="5AB30D70" w14:textId="77777777" w:rsidR="00E07944" w:rsidRPr="00E8164A" w:rsidRDefault="00E07944" w:rsidP="00E07944">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1</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plus față de garanțiile reale menționate la punctele 25-34, băncile care calculează valorile ponderate la risc ale expunerilor și cuantumurile pierderilor așteptate conform abordării IRB pot utiliza, de asemenea, următoarele forme de garanții reale:</w:t>
            </w:r>
          </w:p>
          <w:p w14:paraId="22177022" w14:textId="394E1316" w:rsidR="00E07944" w:rsidRPr="00E8164A" w:rsidRDefault="00E07944" w:rsidP="0012553D">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garanții sub forma bunurilor imobile, în conformitate cu punctele 34</w:t>
            </w:r>
            <w:r w:rsidRPr="00E8164A">
              <w:rPr>
                <w:rFonts w:ascii="Times New Roman" w:eastAsia="Times New Roman" w:hAnsi="Times New Roman" w:cs="Times New Roman"/>
                <w:color w:val="000000" w:themeColor="text1"/>
                <w:sz w:val="20"/>
                <w:szCs w:val="20"/>
                <w:vertAlign w:val="superscript"/>
                <w:lang w:val="ro-RO" w:eastAsia="ro-MD"/>
              </w:rPr>
              <w:t>2</w:t>
            </w:r>
            <w:r w:rsidRPr="00E8164A">
              <w:rPr>
                <w:rFonts w:ascii="Times New Roman" w:eastAsia="Times New Roman" w:hAnsi="Times New Roman" w:cs="Times New Roman"/>
                <w:color w:val="000000" w:themeColor="text1"/>
                <w:sz w:val="20"/>
                <w:szCs w:val="20"/>
                <w:lang w:val="ro-RO" w:eastAsia="ro-MD"/>
              </w:rPr>
              <w:t>-34</w:t>
            </w:r>
            <w:r w:rsidRPr="00E8164A">
              <w:rPr>
                <w:rFonts w:ascii="Times New Roman" w:eastAsia="Times New Roman" w:hAnsi="Times New Roman" w:cs="Times New Roman"/>
                <w:color w:val="000000" w:themeColor="text1"/>
                <w:sz w:val="20"/>
                <w:szCs w:val="20"/>
                <w:vertAlign w:val="superscript"/>
                <w:lang w:val="ro-RO" w:eastAsia="ro-MD"/>
              </w:rPr>
              <w:t>4</w:t>
            </w:r>
            <w:r w:rsidRPr="00E8164A">
              <w:rPr>
                <w:rFonts w:ascii="Times New Roman" w:eastAsia="Times New Roman" w:hAnsi="Times New Roman" w:cs="Times New Roman"/>
                <w:color w:val="000000" w:themeColor="text1"/>
                <w:sz w:val="20"/>
                <w:szCs w:val="20"/>
                <w:lang w:val="ro-RO" w:eastAsia="ro-MD"/>
              </w:rPr>
              <w:t>;</w:t>
            </w:r>
          </w:p>
          <w:p w14:paraId="78359826" w14:textId="7869E114" w:rsidR="00E07944" w:rsidRPr="00E8164A" w:rsidRDefault="00E07944" w:rsidP="0012553D">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creanțe, în conformitate cu punctele 34</w:t>
            </w:r>
            <w:r w:rsidRPr="00E8164A">
              <w:rPr>
                <w:rFonts w:ascii="Times New Roman" w:eastAsia="Times New Roman" w:hAnsi="Times New Roman" w:cs="Times New Roman"/>
                <w:color w:val="000000" w:themeColor="text1"/>
                <w:sz w:val="20"/>
                <w:szCs w:val="20"/>
                <w:vertAlign w:val="superscript"/>
                <w:lang w:val="ro-RO" w:eastAsia="ro-MD"/>
              </w:rPr>
              <w:t>6</w:t>
            </w:r>
            <w:r w:rsidRPr="00E8164A">
              <w:rPr>
                <w:rFonts w:ascii="Times New Roman" w:eastAsia="Times New Roman" w:hAnsi="Times New Roman" w:cs="Times New Roman"/>
                <w:color w:val="000000" w:themeColor="text1"/>
                <w:sz w:val="20"/>
                <w:szCs w:val="20"/>
                <w:lang w:val="ro-RO" w:eastAsia="ro-MD"/>
              </w:rPr>
              <w:t xml:space="preserve"> și 34</w:t>
            </w:r>
            <w:r w:rsidRPr="00E8164A">
              <w:rPr>
                <w:rFonts w:ascii="Times New Roman" w:eastAsia="Times New Roman" w:hAnsi="Times New Roman" w:cs="Times New Roman"/>
                <w:color w:val="000000" w:themeColor="text1"/>
                <w:sz w:val="20"/>
                <w:szCs w:val="20"/>
                <w:vertAlign w:val="superscript"/>
                <w:lang w:val="ro-RO" w:eastAsia="ro-MD"/>
              </w:rPr>
              <w:t>7</w:t>
            </w:r>
            <w:r w:rsidRPr="00E8164A">
              <w:rPr>
                <w:rFonts w:ascii="Times New Roman" w:eastAsia="Times New Roman" w:hAnsi="Times New Roman" w:cs="Times New Roman"/>
                <w:color w:val="000000" w:themeColor="text1"/>
                <w:sz w:val="20"/>
                <w:szCs w:val="20"/>
                <w:lang w:val="ro-RO" w:eastAsia="ro-MD"/>
              </w:rPr>
              <w:t>;</w:t>
            </w:r>
          </w:p>
          <w:p w14:paraId="3B1AD4CE" w14:textId="40E390BE" w:rsidR="00E07944" w:rsidRPr="00E8164A" w:rsidRDefault="00E07944" w:rsidP="0012553D">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 alte garanții reale corporale, în conformitate cu punctul 34</w:t>
            </w:r>
            <w:r w:rsidRPr="00E8164A">
              <w:rPr>
                <w:rFonts w:ascii="Times New Roman" w:eastAsia="Times New Roman" w:hAnsi="Times New Roman" w:cs="Times New Roman"/>
                <w:color w:val="000000" w:themeColor="text1"/>
                <w:sz w:val="20"/>
                <w:szCs w:val="20"/>
                <w:vertAlign w:val="superscript"/>
                <w:lang w:val="ro-RO" w:eastAsia="ro-MD"/>
              </w:rPr>
              <w:t>8</w:t>
            </w:r>
            <w:r w:rsidRPr="00E8164A">
              <w:rPr>
                <w:rFonts w:ascii="Times New Roman" w:eastAsia="Times New Roman" w:hAnsi="Times New Roman" w:cs="Times New Roman"/>
                <w:color w:val="000000" w:themeColor="text1"/>
                <w:sz w:val="20"/>
                <w:szCs w:val="20"/>
                <w:lang w:val="ro-RO" w:eastAsia="ro-MD"/>
              </w:rPr>
              <w:t>;</w:t>
            </w:r>
          </w:p>
          <w:p w14:paraId="354066C2" w14:textId="77777777" w:rsidR="00E07944" w:rsidRDefault="00E07944" w:rsidP="00E07944">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4) bunuri în leasing, în conformitate cu punctul 34</w:t>
            </w:r>
            <w:r w:rsidRPr="00E8164A">
              <w:rPr>
                <w:rFonts w:ascii="Times New Roman" w:hAnsi="Times New Roman"/>
                <w:color w:val="000000" w:themeColor="text1"/>
                <w:sz w:val="20"/>
                <w:szCs w:val="20"/>
                <w:vertAlign w:val="superscript"/>
                <w:lang w:val="ro-RO" w:eastAsia="ro-MD"/>
              </w:rPr>
              <w:t>9</w:t>
            </w:r>
            <w:r w:rsidRPr="00E8164A">
              <w:rPr>
                <w:rFonts w:ascii="Times New Roman" w:hAnsi="Times New Roman"/>
                <w:color w:val="000000" w:themeColor="text1"/>
                <w:sz w:val="20"/>
                <w:szCs w:val="20"/>
                <w:lang w:val="ro-RO" w:eastAsia="ro-MD"/>
              </w:rPr>
              <w:t>.</w:t>
            </w:r>
          </w:p>
          <w:p w14:paraId="7A511361" w14:textId="7769A586" w:rsidR="0012553D" w:rsidRPr="0012553D" w:rsidRDefault="0012553D" w:rsidP="0012553D">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13616282" w14:textId="216E5D2D" w:rsidR="00E07944" w:rsidRPr="002C32BA" w:rsidRDefault="00E07944" w:rsidP="00E07944">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1A0CC8DB" w14:textId="719A5F17" w:rsidR="00E07944" w:rsidRPr="002C32BA" w:rsidRDefault="00E07944" w:rsidP="00E07944">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9F65D4" w:rsidRPr="002C32BA" w14:paraId="6A592B9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2EC7F149" w14:textId="77777777" w:rsidR="009F65D4" w:rsidRPr="0012553D" w:rsidRDefault="009F65D4" w:rsidP="009F65D4">
            <w:pPr>
              <w:pStyle w:val="CM4"/>
              <w:tabs>
                <w:tab w:val="left" w:pos="150"/>
              </w:tabs>
              <w:ind w:left="-43"/>
              <w:jc w:val="both"/>
              <w:rPr>
                <w:rFonts w:ascii="Times New Roman" w:hAnsi="Times New Roman"/>
                <w:sz w:val="20"/>
                <w:szCs w:val="20"/>
                <w:lang w:val="ro-RO" w:eastAsia="ru-RU"/>
              </w:rPr>
            </w:pPr>
            <w:r w:rsidRPr="0012553D">
              <w:rPr>
                <w:rFonts w:ascii="Times New Roman" w:hAnsi="Times New Roman"/>
                <w:sz w:val="20"/>
                <w:szCs w:val="20"/>
                <w:lang w:val="ro-RO" w:eastAsia="ru-RU"/>
              </w:rPr>
              <w:lastRenderedPageBreak/>
              <w:t>▼M17</w:t>
            </w:r>
          </w:p>
          <w:p w14:paraId="20904283" w14:textId="77777777" w:rsidR="009F65D4" w:rsidRPr="0012553D" w:rsidRDefault="009F65D4" w:rsidP="009F65D4">
            <w:pPr>
              <w:pStyle w:val="CM4"/>
              <w:tabs>
                <w:tab w:val="left" w:pos="150"/>
              </w:tabs>
              <w:ind w:left="-43"/>
              <w:jc w:val="both"/>
              <w:rPr>
                <w:rFonts w:ascii="Times New Roman" w:hAnsi="Times New Roman"/>
                <w:sz w:val="20"/>
                <w:szCs w:val="20"/>
                <w:lang w:val="ro-RO" w:eastAsia="ru-RU"/>
              </w:rPr>
            </w:pPr>
            <w:r w:rsidRPr="0012553D">
              <w:rPr>
                <w:rFonts w:ascii="Times New Roman" w:hAnsi="Times New Roman"/>
                <w:sz w:val="20"/>
                <w:szCs w:val="20"/>
                <w:lang w:val="ro-RO" w:eastAsia="ru-RU"/>
              </w:rPr>
              <w:t>(2)   Cu excepția cazului în care la articolul 124 alineatul (9) se specifică altfel, instituțiile pot utiliza drept garanții reale eligibile bunurile imobile locative care sunt sau vor fi ocupate sau date cu chirie de către proprietar sau, în cazul societăților pentru investiții personale, de către beneficiarul real, precum și bunurile imobile comerciale, inclusiv birouri și alte spații comerciale, dacă sunt îndeplinite cumulativ următoarele condiții:</w:t>
            </w:r>
          </w:p>
          <w:p w14:paraId="1424BCEF" w14:textId="1B2EEEF6" w:rsidR="009F65D4" w:rsidRPr="0012553D" w:rsidRDefault="009F65D4" w:rsidP="009F65D4">
            <w:pPr>
              <w:pStyle w:val="CM4"/>
              <w:tabs>
                <w:tab w:val="left" w:pos="150"/>
              </w:tabs>
              <w:ind w:left="-43"/>
              <w:jc w:val="both"/>
              <w:rPr>
                <w:rFonts w:ascii="Times New Roman" w:hAnsi="Times New Roman"/>
                <w:sz w:val="20"/>
                <w:szCs w:val="20"/>
                <w:lang w:val="ro-RO" w:eastAsia="ru-RU"/>
              </w:rPr>
            </w:pPr>
            <w:r w:rsidRPr="0012553D">
              <w:rPr>
                <w:rFonts w:ascii="Times New Roman" w:hAnsi="Times New Roman"/>
                <w:sz w:val="20"/>
                <w:szCs w:val="20"/>
                <w:lang w:val="ro-RO" w:eastAsia="ru-RU"/>
              </w:rPr>
              <w:t>(a) valoarea bunului imobil nu depinde în mod semnificativ de calitatea creditului debitorului;</w:t>
            </w:r>
          </w:p>
          <w:p w14:paraId="795A4166" w14:textId="729212FB" w:rsidR="009F65D4" w:rsidRPr="0012553D" w:rsidRDefault="009F65D4" w:rsidP="009F65D4">
            <w:pPr>
              <w:pStyle w:val="CM4"/>
              <w:tabs>
                <w:tab w:val="left" w:pos="150"/>
              </w:tabs>
              <w:ind w:left="-43"/>
              <w:jc w:val="both"/>
              <w:rPr>
                <w:rFonts w:ascii="Times New Roman" w:hAnsi="Times New Roman"/>
                <w:sz w:val="20"/>
                <w:szCs w:val="20"/>
                <w:lang w:val="ro-RO" w:eastAsia="ru-RU"/>
              </w:rPr>
            </w:pPr>
            <w:r w:rsidRPr="0012553D">
              <w:rPr>
                <w:rFonts w:ascii="Times New Roman" w:hAnsi="Times New Roman"/>
                <w:sz w:val="20"/>
                <w:szCs w:val="20"/>
                <w:lang w:val="ro-RO" w:eastAsia="ru-RU"/>
              </w:rPr>
              <w:t>(b) riscul asociat debitorului nu depinde în mod semnificativ de randamentul bunului imobil sau al proiectului-suport, ci de capacitatea reală a debitorului de a rambursa datoria din alte surse; în consecință, rambursarea facilității nu depinde în mod semnificativ de fluxurile de numerar generate de bunul imobil care servește drept garanție reală.</w:t>
            </w:r>
          </w:p>
          <w:p w14:paraId="168BE356" w14:textId="77777777" w:rsidR="009F65D4" w:rsidRPr="0012553D" w:rsidRDefault="009F65D4" w:rsidP="009F65D4">
            <w:pPr>
              <w:pStyle w:val="CM4"/>
              <w:tabs>
                <w:tab w:val="left" w:pos="150"/>
              </w:tabs>
              <w:ind w:left="-43"/>
              <w:jc w:val="both"/>
              <w:rPr>
                <w:rFonts w:ascii="Times New Roman" w:hAnsi="Times New Roman"/>
                <w:sz w:val="20"/>
                <w:szCs w:val="20"/>
                <w:lang w:val="ro-RO" w:eastAsia="ru-RU"/>
              </w:rPr>
            </w:pPr>
          </w:p>
          <w:p w14:paraId="7D28D550" w14:textId="0F9D28B2" w:rsidR="009F65D4" w:rsidRPr="0012553D" w:rsidRDefault="009F65D4" w:rsidP="009F65D4">
            <w:pPr>
              <w:pStyle w:val="CM4"/>
              <w:tabs>
                <w:tab w:val="left" w:pos="150"/>
              </w:tabs>
              <w:ind w:left="-43"/>
              <w:jc w:val="both"/>
              <w:rPr>
                <w:rFonts w:ascii="Times New Roman" w:hAnsi="Times New Roman"/>
                <w:sz w:val="20"/>
                <w:szCs w:val="20"/>
                <w:lang w:val="ro-RO" w:eastAsia="ru-RU"/>
              </w:rPr>
            </w:pPr>
            <w:r w:rsidRPr="0012553D">
              <w:rPr>
                <w:rFonts w:ascii="Times New Roman" w:hAnsi="Times New Roman"/>
                <w:sz w:val="20"/>
                <w:szCs w:val="20"/>
                <w:lang w:val="ro-RO" w:eastAsia="ru-RU"/>
              </w:rPr>
              <w:t>În sensul primului paragraf litera (a), instituțiile pot exclude situațiile în care factori pur macroeconomici afectează atât valoarea bunului imobil, cât și performanța debitorului.</w:t>
            </w:r>
          </w:p>
        </w:tc>
        <w:tc>
          <w:tcPr>
            <w:tcW w:w="1636" w:type="pct"/>
            <w:shd w:val="clear" w:color="auto" w:fill="auto"/>
          </w:tcPr>
          <w:p w14:paraId="18488B2F" w14:textId="3CDAE942" w:rsidR="009F65D4" w:rsidRPr="00E8164A" w:rsidRDefault="009F65D4" w:rsidP="009F65D4">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2</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Cu excepția cazului în care conform Regulamentului nr.111/2018 se specifică altfel, băncile pot utiliza drept garanții reale eligibile bunurile imobile locative care sunt sau vor fi ocupate sau date cu chirie de către proprietar sau, în cazul societăților pentru investiții personale, de către beneficiarul real, precum și bunurile imobile comerciale, inclusiv birouri și alte spații comerciale, dacă sunt îndeplinite cumulativ următoarele condiții:</w:t>
            </w:r>
          </w:p>
          <w:p w14:paraId="321037C8" w14:textId="77777777" w:rsidR="009F65D4" w:rsidRPr="00E8164A"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valoarea bunului imobil nu depinde în mod semnificativ de calitatea creditului debitorului;</w:t>
            </w:r>
          </w:p>
          <w:p w14:paraId="3338C5DB" w14:textId="3291416A" w:rsidR="009F65D4" w:rsidRPr="00E8164A"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riscul asociat debitorului nu depinde în mod semnificativ de randamentul bunului imobil sau al proiectului-suport, ci de capacitatea reală a debitorului de a rambursa datoria din alte surse; în consecință, rambursarea facilității nu depinde în mod semnificativ de fluxurile de numerar generate de bunul imobil care servește drept garanție reală.</w:t>
            </w:r>
          </w:p>
          <w:p w14:paraId="245C8C78" w14:textId="77777777" w:rsidR="009F65D4" w:rsidRDefault="009F65D4" w:rsidP="009F65D4">
            <w:pPr>
              <w:spacing w:after="0" w:line="240" w:lineRule="auto"/>
              <w:jc w:val="center"/>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3</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sensul subpunctului 1), băncile pot exclude situațiile în care factori pur macroeconomici afectează atât valoarea bunului imobil, cât și performanța debitorului.</w:t>
            </w:r>
          </w:p>
          <w:p w14:paraId="228C63A9" w14:textId="38A13B70" w:rsidR="009F65D4" w:rsidRPr="0012553D" w:rsidRDefault="009F65D4" w:rsidP="009F65D4">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7ED81F23" w14:textId="074683F7" w:rsidR="009F65D4" w:rsidRPr="002C32BA" w:rsidRDefault="009F65D4" w:rsidP="009F65D4">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42F6C43" w14:textId="37415ACC" w:rsidR="009F65D4" w:rsidRDefault="009F65D4" w:rsidP="009F65D4">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9F65D4" w:rsidRPr="002C32BA" w14:paraId="15672A0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2DE0301A" w14:textId="77777777" w:rsidR="00AD758A" w:rsidRPr="00AD758A" w:rsidRDefault="00AD758A" w:rsidP="00AD758A">
            <w:pPr>
              <w:pStyle w:val="CM4"/>
              <w:tabs>
                <w:tab w:val="left" w:pos="150"/>
              </w:tabs>
              <w:ind w:left="-43"/>
              <w:jc w:val="both"/>
              <w:rPr>
                <w:rFonts w:ascii="Times New Roman" w:hAnsi="Times New Roman"/>
                <w:sz w:val="20"/>
                <w:szCs w:val="20"/>
                <w:lang w:val="ro-RO" w:eastAsia="ru-RU"/>
              </w:rPr>
            </w:pPr>
            <w:r w:rsidRPr="00AD758A">
              <w:rPr>
                <w:rFonts w:ascii="Times New Roman" w:hAnsi="Times New Roman"/>
                <w:sz w:val="20"/>
                <w:szCs w:val="20"/>
                <w:lang w:val="ro-RO" w:eastAsia="ru-RU"/>
              </w:rPr>
              <w:t>(3)   Instituțiile pot deroga de la alineatul (2) litera (b) în cazul expunerilor garantate cu bunuri imobile locative situate pe teritoriul unui stat membru, dacă autoritatea competentă a acestui stat membru a publicat dovezi indicând prezența unei piețe pentru bunuri imobile locative bine dezvoltată și cu existență îndelungată pe teritoriul respectiv, cu rate ale pierderii care nu depășesc niciuna din următoarele limite:</w:t>
            </w:r>
          </w:p>
          <w:p w14:paraId="0CA22339" w14:textId="77777777" w:rsidR="00AD758A" w:rsidRPr="00AD758A" w:rsidRDefault="00AD758A" w:rsidP="00AD758A">
            <w:pPr>
              <w:pStyle w:val="CM4"/>
              <w:tabs>
                <w:tab w:val="left" w:pos="150"/>
              </w:tabs>
              <w:ind w:left="-43"/>
              <w:jc w:val="both"/>
              <w:rPr>
                <w:rFonts w:ascii="Times New Roman" w:hAnsi="Times New Roman"/>
                <w:sz w:val="20"/>
                <w:szCs w:val="20"/>
                <w:lang w:val="ro-RO" w:eastAsia="ru-RU"/>
              </w:rPr>
            </w:pPr>
            <w:r w:rsidRPr="00AD758A">
              <w:rPr>
                <w:rFonts w:ascii="Times New Roman" w:hAnsi="Times New Roman"/>
                <w:sz w:val="20"/>
                <w:szCs w:val="20"/>
                <w:lang w:val="ro-RO" w:eastAsia="ru-RU"/>
              </w:rPr>
              <w:t>▼M17</w:t>
            </w:r>
          </w:p>
          <w:p w14:paraId="1C75BF62" w14:textId="51B5B214" w:rsidR="00AD758A" w:rsidRPr="00AD758A" w:rsidRDefault="00AD758A" w:rsidP="00AD758A">
            <w:pPr>
              <w:pStyle w:val="CM4"/>
              <w:tabs>
                <w:tab w:val="left" w:pos="150"/>
              </w:tabs>
              <w:ind w:left="-43"/>
              <w:jc w:val="both"/>
              <w:rPr>
                <w:rFonts w:ascii="Times New Roman" w:hAnsi="Times New Roman"/>
                <w:sz w:val="20"/>
                <w:szCs w:val="20"/>
                <w:lang w:val="ro-RO" w:eastAsia="ru-RU"/>
              </w:rPr>
            </w:pPr>
            <w:r w:rsidRPr="00AD758A">
              <w:rPr>
                <w:rFonts w:ascii="Times New Roman" w:hAnsi="Times New Roman"/>
                <w:sz w:val="20"/>
                <w:szCs w:val="20"/>
                <w:lang w:val="ro-RO" w:eastAsia="ru-RU"/>
              </w:rPr>
              <w:t xml:space="preserve">(a) cuantumul agregat raportat de instituții în temeiul articolului 430a alineatul (1) litera (a) împărțit la cuantumul agregat raportat de </w:t>
            </w:r>
            <w:r w:rsidRPr="00AD758A">
              <w:rPr>
                <w:rFonts w:ascii="Times New Roman" w:hAnsi="Times New Roman"/>
                <w:sz w:val="20"/>
                <w:szCs w:val="20"/>
                <w:lang w:val="ro-RO" w:eastAsia="ru-RU"/>
              </w:rPr>
              <w:lastRenderedPageBreak/>
              <w:t>instituții în temeiul articolului 430a alineatul (1) litera (c) nu depășește 0,3  %;</w:t>
            </w:r>
          </w:p>
          <w:p w14:paraId="02F51D96" w14:textId="4FBA5F29" w:rsidR="00AD758A" w:rsidRPr="00AD758A" w:rsidRDefault="00AD758A" w:rsidP="00AD758A">
            <w:pPr>
              <w:pStyle w:val="CM4"/>
              <w:tabs>
                <w:tab w:val="left" w:pos="150"/>
              </w:tabs>
              <w:ind w:left="-43"/>
              <w:jc w:val="both"/>
              <w:rPr>
                <w:rFonts w:ascii="Times New Roman" w:hAnsi="Times New Roman"/>
                <w:sz w:val="20"/>
                <w:szCs w:val="20"/>
                <w:lang w:val="ro-RO" w:eastAsia="ru-RU"/>
              </w:rPr>
            </w:pPr>
            <w:r w:rsidRPr="00AD758A">
              <w:rPr>
                <w:rFonts w:ascii="Times New Roman" w:hAnsi="Times New Roman"/>
                <w:sz w:val="20"/>
                <w:szCs w:val="20"/>
                <w:lang w:val="ro-RO" w:eastAsia="ru-RU"/>
              </w:rPr>
              <w:t>(b) cuantumul agregat raportat de instituții în temeiul articolului 430a alineatul (1) litera (b) împărțit la cuantumul agregat raportat de instituții în temeiul articolului 430a alineatul (1) litera (c) nu depășește 0,5  %.</w:t>
            </w:r>
          </w:p>
          <w:p w14:paraId="2FD4298E" w14:textId="232B5075" w:rsidR="009F65D4" w:rsidRPr="0012553D" w:rsidRDefault="00AD758A" w:rsidP="00AD758A">
            <w:pPr>
              <w:pStyle w:val="CM4"/>
              <w:tabs>
                <w:tab w:val="left" w:pos="150"/>
              </w:tabs>
              <w:ind w:left="-43"/>
              <w:jc w:val="both"/>
              <w:rPr>
                <w:rFonts w:ascii="Times New Roman" w:hAnsi="Times New Roman"/>
                <w:sz w:val="20"/>
                <w:szCs w:val="20"/>
                <w:lang w:val="ro-RO" w:eastAsia="ru-RU"/>
              </w:rPr>
            </w:pPr>
            <w:r w:rsidRPr="00AD758A">
              <w:rPr>
                <w:rFonts w:ascii="Times New Roman" w:hAnsi="Times New Roman"/>
                <w:sz w:val="20"/>
                <w:szCs w:val="20"/>
                <w:lang w:val="ro-RO" w:eastAsia="ru-RU"/>
              </w:rPr>
              <w:t>În cazul în care oricare din condițiile prevăzute la primul paragraf literele (a) și (b) nu este îndeplinită într-un anumit an, instituțiile nu aplică tratamentul specificat la paragraful respectiv până când nu sunt satisfăcute, într-un an ulterior, ambele condiții.</w:t>
            </w:r>
          </w:p>
        </w:tc>
        <w:tc>
          <w:tcPr>
            <w:tcW w:w="1636" w:type="pct"/>
            <w:shd w:val="clear" w:color="auto" w:fill="auto"/>
          </w:tcPr>
          <w:p w14:paraId="4379043B" w14:textId="77777777" w:rsidR="009F65D4" w:rsidRPr="00E8164A" w:rsidRDefault="009F65D4" w:rsidP="009F65D4">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34</w:t>
            </w:r>
            <w:r w:rsidRPr="00E8164A">
              <w:rPr>
                <w:rFonts w:ascii="Times New Roman" w:eastAsia="Times New Roman" w:hAnsi="Times New Roman" w:cs="Times New Roman"/>
                <w:b/>
                <w:bCs/>
                <w:color w:val="000000" w:themeColor="text1"/>
                <w:sz w:val="20"/>
                <w:szCs w:val="20"/>
                <w:vertAlign w:val="superscript"/>
                <w:lang w:val="ro-RO" w:eastAsia="ro-MD"/>
              </w:rPr>
              <w:t>4</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Băncile pot deroga de la punctul 34</w:t>
            </w:r>
            <w:r w:rsidRPr="00E8164A">
              <w:rPr>
                <w:rFonts w:ascii="Times New Roman" w:eastAsia="Times New Roman" w:hAnsi="Times New Roman" w:cs="Times New Roman"/>
                <w:color w:val="000000" w:themeColor="text1"/>
                <w:sz w:val="20"/>
                <w:szCs w:val="20"/>
                <w:vertAlign w:val="superscript"/>
                <w:lang w:val="ro-RO" w:eastAsia="ro-MD"/>
              </w:rPr>
              <w:t>2</w:t>
            </w:r>
            <w:r w:rsidRPr="00E8164A">
              <w:rPr>
                <w:rFonts w:ascii="Times New Roman" w:eastAsia="Times New Roman" w:hAnsi="Times New Roman" w:cs="Times New Roman"/>
                <w:color w:val="000000" w:themeColor="text1"/>
                <w:sz w:val="20"/>
                <w:szCs w:val="20"/>
                <w:lang w:val="ro-RO" w:eastAsia="ro-MD"/>
              </w:rPr>
              <w:t xml:space="preserve"> subpunctul 2) în cazul expunerilor garantate cu bunuri imobile locative situate pe teritoriul unui stat membru al Uniunii Europene, dacă autoritatea competentă a acestui stat membru a publicat dovezi indicând prezența unei piețe pentru bunuri imobile locative bine dezvoltată și cu existență îndelungată pe teritoriul respectiv, cu rate ale pierderii care nu depășesc niciuna din următoarele limite:</w:t>
            </w:r>
          </w:p>
          <w:p w14:paraId="14A43649" w14:textId="77BF5192" w:rsidR="009F65D4" w:rsidRPr="00E8164A"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1) raportul dintre valorile agregate raportate de bănci în temeiul subpunctelor 1) și 3) de la punctul 1) din </w:t>
            </w:r>
            <w:r w:rsidRPr="00E8164A">
              <w:rPr>
                <w:rFonts w:ascii="Times New Roman" w:eastAsia="Times New Roman" w:hAnsi="Times New Roman" w:cs="Times New Roman"/>
                <w:color w:val="000000" w:themeColor="text1"/>
                <w:sz w:val="20"/>
                <w:szCs w:val="20"/>
                <w:lang w:val="ro-RO" w:eastAsia="ro-MD"/>
              </w:rPr>
              <w:lastRenderedPageBreak/>
              <w:t>anexa nr.2</w:t>
            </w:r>
            <w:r w:rsidRPr="00E8164A">
              <w:rPr>
                <w:rFonts w:ascii="Times New Roman" w:eastAsia="Times New Roman" w:hAnsi="Times New Roman" w:cs="Times New Roman"/>
                <w:color w:val="000000" w:themeColor="text1"/>
                <w:sz w:val="20"/>
                <w:szCs w:val="20"/>
                <w:vertAlign w:val="superscript"/>
                <w:lang w:val="ro-RO" w:eastAsia="ro-MD"/>
              </w:rPr>
              <w:t>1</w:t>
            </w:r>
            <w:r w:rsidRPr="00E8164A">
              <w:rPr>
                <w:rFonts w:ascii="Times New Roman" w:eastAsia="Times New Roman" w:hAnsi="Times New Roman" w:cs="Times New Roman"/>
                <w:color w:val="000000" w:themeColor="text1"/>
                <w:sz w:val="20"/>
                <w:szCs w:val="20"/>
                <w:lang w:val="ro-RO" w:eastAsia="ro-MD"/>
              </w:rPr>
              <w:t xml:space="preserve"> la Regulamentul nr.111/2018 nu depășește 0,3%;</w:t>
            </w:r>
          </w:p>
          <w:p w14:paraId="7AC342BE" w14:textId="5559C738" w:rsidR="009F65D4" w:rsidRPr="00E8164A"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raportul dintre valorile agregate raportate de bănci în temeiul subpunctului 2) și subpunctului 3), punctul 1) din anexa nr.2</w:t>
            </w:r>
            <w:r w:rsidRPr="00E8164A">
              <w:rPr>
                <w:rFonts w:ascii="Times New Roman" w:eastAsia="Times New Roman" w:hAnsi="Times New Roman" w:cs="Times New Roman"/>
                <w:color w:val="000000" w:themeColor="text1"/>
                <w:sz w:val="20"/>
                <w:szCs w:val="20"/>
                <w:vertAlign w:val="superscript"/>
                <w:lang w:val="ro-RO" w:eastAsia="ro-MD"/>
              </w:rPr>
              <w:t>1</w:t>
            </w:r>
            <w:r w:rsidRPr="00E8164A">
              <w:rPr>
                <w:rFonts w:ascii="Times New Roman" w:eastAsia="Times New Roman" w:hAnsi="Times New Roman" w:cs="Times New Roman"/>
                <w:color w:val="000000" w:themeColor="text1"/>
                <w:sz w:val="20"/>
                <w:szCs w:val="20"/>
                <w:lang w:val="ro-RO" w:eastAsia="ro-MD"/>
              </w:rPr>
              <w:t xml:space="preserve"> la Regulamentul nr.111/2018 nu depășește 0,5%.</w:t>
            </w:r>
          </w:p>
          <w:p w14:paraId="68B52407" w14:textId="77777777" w:rsidR="009F65D4" w:rsidRDefault="009F65D4" w:rsidP="009F65D4">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5</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cazul în care oricare din condițiile prevăzute la subpunctele 1) și 2) nu este îndeplinită într-un anumit an, băncile nu aplică tratamentul specificat la punctul respectiv până când nu sunt satisfăcute, într-un an ulterior, ambele condiții.</w:t>
            </w:r>
          </w:p>
          <w:p w14:paraId="794AF710" w14:textId="5B7C833A" w:rsidR="009F65D4" w:rsidRPr="00E8164A" w:rsidRDefault="009F65D4" w:rsidP="009F65D4">
            <w:pPr>
              <w:spacing w:after="0" w:line="240" w:lineRule="auto"/>
              <w:jc w:val="both"/>
              <w:rPr>
                <w:rFonts w:ascii="Times New Roman" w:eastAsia="Times New Roman" w:hAnsi="Times New Roman" w:cs="Times New Roman"/>
                <w:b/>
                <w:bCs/>
                <w:color w:val="000000" w:themeColor="text1"/>
                <w:sz w:val="20"/>
                <w:szCs w:val="20"/>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4BF50FC8" w14:textId="61450333" w:rsidR="009F65D4" w:rsidRPr="002C32BA" w:rsidRDefault="009F65D4" w:rsidP="009F65D4">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136B45F3" w14:textId="2F98931F" w:rsidR="009F65D4" w:rsidRDefault="009F65D4" w:rsidP="009F65D4">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9F65D4" w:rsidRPr="00145B50" w14:paraId="38E50EF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2FA41B25" w14:textId="77777777" w:rsidR="00D76E78" w:rsidRPr="00D76E78" w:rsidRDefault="00D76E78" w:rsidP="00D76E78">
            <w:pPr>
              <w:pStyle w:val="CM4"/>
              <w:tabs>
                <w:tab w:val="left" w:pos="150"/>
              </w:tabs>
              <w:ind w:left="-43"/>
              <w:jc w:val="both"/>
              <w:rPr>
                <w:rFonts w:ascii="Times New Roman" w:hAnsi="Times New Roman"/>
                <w:sz w:val="20"/>
                <w:szCs w:val="20"/>
                <w:lang w:val="ro-RO" w:eastAsia="ru-RU"/>
              </w:rPr>
            </w:pPr>
            <w:r w:rsidRPr="00D76E78">
              <w:rPr>
                <w:rFonts w:ascii="Times New Roman" w:hAnsi="Times New Roman"/>
                <w:sz w:val="20"/>
                <w:szCs w:val="20"/>
                <w:lang w:val="ro-RO" w:eastAsia="ru-RU"/>
              </w:rPr>
              <w:t>(4)   Instituțiile pot deroga de la alineatul (2) litera (b) în cazul expunerilor garantate cu bunuri imobile comerciale situate pe teritoriul unui stat membru, dacă autoritatea competentă a acestui stat membru a publicat dovezi indicând prezența unei piețe pentru bunuri imobile comerciale bine dezvoltate și cu existență îndelungată pe teritoriul respectiv, cu rate ale pierderii care nu depășesc niciuna dintre următoarele limite:</w:t>
            </w:r>
          </w:p>
          <w:p w14:paraId="45B23568" w14:textId="77777777" w:rsidR="00D76E78" w:rsidRPr="00D76E78" w:rsidRDefault="00D76E78" w:rsidP="00D76E78">
            <w:pPr>
              <w:pStyle w:val="CM4"/>
              <w:tabs>
                <w:tab w:val="left" w:pos="150"/>
              </w:tabs>
              <w:ind w:left="-43"/>
              <w:jc w:val="both"/>
              <w:rPr>
                <w:rFonts w:ascii="Times New Roman" w:hAnsi="Times New Roman"/>
                <w:sz w:val="20"/>
                <w:szCs w:val="20"/>
                <w:lang w:val="ro-RO" w:eastAsia="ru-RU"/>
              </w:rPr>
            </w:pPr>
            <w:r w:rsidRPr="00D76E78">
              <w:rPr>
                <w:rFonts w:ascii="Times New Roman" w:hAnsi="Times New Roman"/>
                <w:sz w:val="20"/>
                <w:szCs w:val="20"/>
                <w:lang w:val="ro-RO" w:eastAsia="ru-RU"/>
              </w:rPr>
              <w:t>▼M17</w:t>
            </w:r>
          </w:p>
          <w:p w14:paraId="56ED4FEE" w14:textId="34CB8AF3" w:rsidR="00D76E78" w:rsidRPr="00D76E78" w:rsidRDefault="00D76E78" w:rsidP="00D76E78">
            <w:pPr>
              <w:pStyle w:val="CM4"/>
              <w:tabs>
                <w:tab w:val="left" w:pos="150"/>
              </w:tabs>
              <w:ind w:left="-43"/>
              <w:jc w:val="both"/>
              <w:rPr>
                <w:rFonts w:ascii="Times New Roman" w:hAnsi="Times New Roman"/>
                <w:sz w:val="20"/>
                <w:szCs w:val="20"/>
                <w:lang w:val="ro-RO" w:eastAsia="ru-RU"/>
              </w:rPr>
            </w:pPr>
            <w:r w:rsidRPr="00D76E78">
              <w:rPr>
                <w:rFonts w:ascii="Times New Roman" w:hAnsi="Times New Roman"/>
                <w:sz w:val="20"/>
                <w:szCs w:val="20"/>
                <w:lang w:val="ro-RO" w:eastAsia="ru-RU"/>
              </w:rPr>
              <w:t>(a) cuantumul agregat raportat de instituții în temeiul articolului 430a alineatul (1) litera (d) împărțit la cuantumul agregat raportat de instituții în temeiul articolului 430a alineatul (1) litera (f) nu depășește 0,3  %;</w:t>
            </w:r>
          </w:p>
          <w:p w14:paraId="0F8BC898" w14:textId="653EC9AB" w:rsidR="00D76E78" w:rsidRDefault="00D76E78" w:rsidP="00D76E78">
            <w:pPr>
              <w:pStyle w:val="CM4"/>
              <w:tabs>
                <w:tab w:val="left" w:pos="150"/>
              </w:tabs>
              <w:ind w:left="-43"/>
              <w:jc w:val="both"/>
              <w:rPr>
                <w:rFonts w:ascii="Times New Roman" w:hAnsi="Times New Roman"/>
                <w:sz w:val="20"/>
                <w:szCs w:val="20"/>
                <w:lang w:val="ro-RO" w:eastAsia="ru-RU"/>
              </w:rPr>
            </w:pPr>
            <w:r w:rsidRPr="00D76E78">
              <w:rPr>
                <w:rFonts w:ascii="Times New Roman" w:hAnsi="Times New Roman"/>
                <w:sz w:val="20"/>
                <w:szCs w:val="20"/>
                <w:lang w:val="ro-RO" w:eastAsia="ru-RU"/>
              </w:rPr>
              <w:t>(b) cuantumul agregat raportat de instituții în temeiul articolului 430a alineatul (1) litera (e) împărțit la cuantumul agregat raportat de instituții în temeiul articolului 430a alineatul (1) litera (f) nu depășește 0,5  %.</w:t>
            </w:r>
          </w:p>
          <w:p w14:paraId="79E30886" w14:textId="77777777" w:rsidR="00D76E78" w:rsidRPr="00D76E78" w:rsidRDefault="00D76E78" w:rsidP="00D76E78">
            <w:pPr>
              <w:rPr>
                <w:lang w:val="ro-RO" w:eastAsia="ru-RU"/>
              </w:rPr>
            </w:pPr>
          </w:p>
          <w:p w14:paraId="5104A535" w14:textId="74364B15" w:rsidR="009F65D4" w:rsidRPr="0012553D" w:rsidRDefault="00D76E78" w:rsidP="00D76E78">
            <w:pPr>
              <w:pStyle w:val="CM4"/>
              <w:tabs>
                <w:tab w:val="left" w:pos="150"/>
              </w:tabs>
              <w:ind w:left="-43"/>
              <w:jc w:val="both"/>
              <w:rPr>
                <w:rFonts w:ascii="Times New Roman" w:hAnsi="Times New Roman"/>
                <w:sz w:val="20"/>
                <w:szCs w:val="20"/>
                <w:lang w:val="ro-RO" w:eastAsia="ru-RU"/>
              </w:rPr>
            </w:pPr>
            <w:r w:rsidRPr="00D76E78">
              <w:rPr>
                <w:rFonts w:ascii="Times New Roman" w:hAnsi="Times New Roman"/>
                <w:sz w:val="20"/>
                <w:szCs w:val="20"/>
                <w:lang w:val="ro-RO" w:eastAsia="ru-RU"/>
              </w:rPr>
              <w:t xml:space="preserve">În cazul în care una din condițiile prevăzute la primul paragraf literele (a) și (b) nu este îndeplinită într-un anumit an, instituțiile nu aplică </w:t>
            </w:r>
            <w:r w:rsidRPr="00D76E78">
              <w:rPr>
                <w:rFonts w:ascii="Times New Roman" w:hAnsi="Times New Roman"/>
                <w:sz w:val="20"/>
                <w:szCs w:val="20"/>
                <w:lang w:val="ro-RO" w:eastAsia="ru-RU"/>
              </w:rPr>
              <w:lastRenderedPageBreak/>
              <w:t>tratamentul specificat la paragraful respectiv până când nu sunt satisfăcute, într-un an ulterior, ambele condiții.</w:t>
            </w:r>
          </w:p>
        </w:tc>
        <w:tc>
          <w:tcPr>
            <w:tcW w:w="1636" w:type="pct"/>
            <w:shd w:val="clear" w:color="auto" w:fill="auto"/>
          </w:tcPr>
          <w:p w14:paraId="23C0DFAD" w14:textId="77777777" w:rsidR="009F65D4" w:rsidRPr="00E8164A" w:rsidRDefault="009F65D4" w:rsidP="00D76E7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34</w:t>
            </w:r>
            <w:r w:rsidRPr="00E8164A">
              <w:rPr>
                <w:rFonts w:ascii="Times New Roman" w:eastAsia="Times New Roman" w:hAnsi="Times New Roman" w:cs="Times New Roman"/>
                <w:b/>
                <w:bCs/>
                <w:color w:val="000000" w:themeColor="text1"/>
                <w:sz w:val="20"/>
                <w:szCs w:val="20"/>
                <w:vertAlign w:val="superscript"/>
                <w:lang w:val="ro-RO" w:eastAsia="ro-MD"/>
              </w:rPr>
              <w:t>6</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Băncile pot deroga de la punctul 34</w:t>
            </w:r>
            <w:r w:rsidRPr="00E8164A">
              <w:rPr>
                <w:rFonts w:ascii="Times New Roman" w:eastAsia="Times New Roman" w:hAnsi="Times New Roman" w:cs="Times New Roman"/>
                <w:color w:val="000000" w:themeColor="text1"/>
                <w:sz w:val="20"/>
                <w:szCs w:val="20"/>
                <w:vertAlign w:val="superscript"/>
                <w:lang w:val="ro-RO" w:eastAsia="ro-MD"/>
              </w:rPr>
              <w:t>2</w:t>
            </w:r>
            <w:r w:rsidRPr="00E8164A">
              <w:rPr>
                <w:rFonts w:ascii="Times New Roman" w:eastAsia="Times New Roman" w:hAnsi="Times New Roman" w:cs="Times New Roman"/>
                <w:color w:val="000000" w:themeColor="text1"/>
                <w:sz w:val="20"/>
                <w:szCs w:val="20"/>
                <w:lang w:val="ro-RO" w:eastAsia="ro-MD"/>
              </w:rPr>
              <w:t xml:space="preserve"> subpunctul 2) în cazul expunerilor garantate cu bunuri imobile comerciale situate pe teritoriul unui stat membru al Uniunii Europene, dacă autoritatea competentă a acestui stat membru a publicat dovezi indicând prezența unei piețe pentru bunuri imobile comerciale bine dezvoltate și cu existență îndelungată pe teritoriul respectiv, cu rate ale pierderii care nu depășesc niciuna dintre următoarele limite:</w:t>
            </w:r>
          </w:p>
          <w:p w14:paraId="3951BED3" w14:textId="5E58A9C0" w:rsidR="009F65D4" w:rsidRPr="00E8164A"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raportul dintre valorile agregate raportate de bănci în temeiul subpunctului 4) și subpunctului 6), punctul 1) din anexa nr.2</w:t>
            </w:r>
            <w:r w:rsidRPr="00E8164A">
              <w:rPr>
                <w:rFonts w:ascii="Times New Roman" w:eastAsia="Times New Roman" w:hAnsi="Times New Roman" w:cs="Times New Roman"/>
                <w:color w:val="000000" w:themeColor="text1"/>
                <w:sz w:val="20"/>
                <w:szCs w:val="20"/>
                <w:vertAlign w:val="superscript"/>
                <w:lang w:val="ro-RO" w:eastAsia="ro-MD"/>
              </w:rPr>
              <w:t>1</w:t>
            </w:r>
            <w:r w:rsidRPr="00E8164A">
              <w:rPr>
                <w:rFonts w:ascii="Times New Roman" w:eastAsia="Times New Roman" w:hAnsi="Times New Roman" w:cs="Times New Roman"/>
                <w:color w:val="000000" w:themeColor="text1"/>
                <w:sz w:val="20"/>
                <w:szCs w:val="20"/>
                <w:lang w:val="ro-RO" w:eastAsia="ro-MD"/>
              </w:rPr>
              <w:t xml:space="preserve"> la Regulamentul nr.111/2018 nu depășește 0,3%;</w:t>
            </w:r>
          </w:p>
          <w:p w14:paraId="1012695D" w14:textId="488E0BE3" w:rsidR="009F65D4" w:rsidRPr="00E8164A"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raportul dintre valorile agregate raportate de bănci în temeiul subpunctului 5) și subpunctului 6), punctul 1) din anexa nr.2</w:t>
            </w:r>
            <w:r w:rsidRPr="00E8164A">
              <w:rPr>
                <w:rFonts w:ascii="Times New Roman" w:eastAsia="Times New Roman" w:hAnsi="Times New Roman" w:cs="Times New Roman"/>
                <w:color w:val="000000" w:themeColor="text1"/>
                <w:sz w:val="20"/>
                <w:szCs w:val="20"/>
                <w:vertAlign w:val="superscript"/>
                <w:lang w:val="ro-RO" w:eastAsia="ro-MD"/>
              </w:rPr>
              <w:t>1</w:t>
            </w:r>
            <w:r w:rsidRPr="00E8164A">
              <w:rPr>
                <w:rFonts w:ascii="Times New Roman" w:eastAsia="Times New Roman" w:hAnsi="Times New Roman" w:cs="Times New Roman"/>
                <w:color w:val="000000" w:themeColor="text1"/>
                <w:sz w:val="20"/>
                <w:szCs w:val="20"/>
                <w:lang w:val="ro-RO" w:eastAsia="ro-MD"/>
              </w:rPr>
              <w:t xml:space="preserve"> la Regulamentul nr.111/2018 nu depășește 0,5%.</w:t>
            </w:r>
          </w:p>
          <w:p w14:paraId="394984AF" w14:textId="77777777" w:rsidR="009F65D4" w:rsidRDefault="009F65D4" w:rsidP="009F65D4">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7</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cazul în care una din condițiile prevăzute la subpunctul 1) și 2) nu este îndeplinită într-un anumit an, băncile nu aplică tratamentul specificat la paragraful respectiv până când nu sunt satisfăcute, într-un an ulterior, ambele condiții.</w:t>
            </w:r>
          </w:p>
          <w:p w14:paraId="3A42C48F" w14:textId="25AD7A27" w:rsidR="009F65D4" w:rsidRPr="00E8164A" w:rsidRDefault="009F65D4" w:rsidP="009F65D4">
            <w:pPr>
              <w:spacing w:after="0" w:line="240" w:lineRule="auto"/>
              <w:jc w:val="both"/>
              <w:rPr>
                <w:rFonts w:ascii="Times New Roman" w:eastAsia="Times New Roman" w:hAnsi="Times New Roman" w:cs="Times New Roman"/>
                <w:b/>
                <w:bCs/>
                <w:color w:val="000000" w:themeColor="text1"/>
                <w:sz w:val="20"/>
                <w:szCs w:val="20"/>
                <w:lang w:val="ro-RO" w:eastAsia="ro-MD"/>
              </w:rPr>
            </w:pPr>
            <w:proofErr w:type="spellStart"/>
            <w:r w:rsidRPr="00684853">
              <w:rPr>
                <w:rFonts w:ascii="Times New Roman" w:hAnsi="Times New Roman" w:cs="Times New Roman"/>
                <w:i/>
                <w:iCs/>
                <w:color w:val="000000" w:themeColor="text1"/>
                <w:sz w:val="20"/>
                <w:szCs w:val="20"/>
              </w:rPr>
              <w:lastRenderedPageBreak/>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2E7B87C7" w14:textId="0B50CCB4" w:rsidR="009F65D4" w:rsidRPr="002C32BA" w:rsidRDefault="009F65D4" w:rsidP="009F65D4">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5414B15D" w14:textId="35C9D0F6" w:rsidR="009F65D4" w:rsidRDefault="009F65D4" w:rsidP="009F65D4">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9F65D4" w:rsidRPr="00145B50" w14:paraId="385D63F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2B196F89" w14:textId="77777777" w:rsidR="00D76E78" w:rsidRPr="00D76E78" w:rsidRDefault="00D76E78" w:rsidP="00D76E78">
            <w:pPr>
              <w:pStyle w:val="CM4"/>
              <w:tabs>
                <w:tab w:val="left" w:pos="150"/>
              </w:tabs>
              <w:ind w:left="-43"/>
              <w:jc w:val="both"/>
              <w:rPr>
                <w:rFonts w:ascii="Times New Roman" w:hAnsi="Times New Roman"/>
                <w:sz w:val="20"/>
                <w:szCs w:val="20"/>
                <w:lang w:val="ro-RO" w:eastAsia="ru-RU"/>
              </w:rPr>
            </w:pPr>
            <w:r w:rsidRPr="00D76E78">
              <w:rPr>
                <w:rFonts w:ascii="Times New Roman" w:hAnsi="Times New Roman"/>
                <w:sz w:val="20"/>
                <w:szCs w:val="20"/>
                <w:lang w:val="ro-RO" w:eastAsia="ru-RU"/>
              </w:rPr>
              <w:t>▼M17</w:t>
            </w:r>
          </w:p>
          <w:p w14:paraId="09D8B18A" w14:textId="77777777" w:rsidR="00D76E78" w:rsidRPr="00D76E78" w:rsidRDefault="00D76E78" w:rsidP="00D76E78">
            <w:pPr>
              <w:pStyle w:val="CM4"/>
              <w:tabs>
                <w:tab w:val="left" w:pos="150"/>
              </w:tabs>
              <w:ind w:left="-43"/>
              <w:jc w:val="both"/>
              <w:rPr>
                <w:rFonts w:ascii="Times New Roman" w:hAnsi="Times New Roman"/>
                <w:sz w:val="20"/>
                <w:szCs w:val="20"/>
                <w:lang w:val="ro-RO" w:eastAsia="ru-RU"/>
              </w:rPr>
            </w:pPr>
          </w:p>
          <w:p w14:paraId="0623AAAF" w14:textId="591FBBA5" w:rsidR="009F65D4" w:rsidRPr="0012553D" w:rsidRDefault="00D76E78" w:rsidP="00D76E78">
            <w:pPr>
              <w:pStyle w:val="CM4"/>
              <w:tabs>
                <w:tab w:val="left" w:pos="150"/>
              </w:tabs>
              <w:ind w:left="-43"/>
              <w:jc w:val="both"/>
              <w:rPr>
                <w:rFonts w:ascii="Times New Roman" w:hAnsi="Times New Roman"/>
                <w:sz w:val="20"/>
                <w:szCs w:val="20"/>
                <w:lang w:val="ro-RO" w:eastAsia="ru-RU"/>
              </w:rPr>
            </w:pPr>
            <w:r w:rsidRPr="00D76E78">
              <w:rPr>
                <w:rFonts w:ascii="Times New Roman" w:hAnsi="Times New Roman"/>
                <w:sz w:val="20"/>
                <w:szCs w:val="20"/>
                <w:lang w:val="ro-RO" w:eastAsia="ru-RU"/>
              </w:rPr>
              <w:t>(4a)   Instituțiile pot aplica derogările menționate la alineatele (3) și (4) de la prezentul articol și în cazurile în care autoritatea competentă a unei țări terțe care aplică mecanisme de supraveghere și de reglementare cel puțin echivalente cu cele aplicate în Uniune, astfel cum s-a stabilit printr-o decizie a Comisiei adoptată în conformitate cu articolul 107 alineatul (4), publică ratele pierderilor corespunzătoare pentru expunerile garantate cu bunuri imobile locative sau comerciale situate pe teritoriul țării terțe respective.</w:t>
            </w:r>
          </w:p>
        </w:tc>
        <w:tc>
          <w:tcPr>
            <w:tcW w:w="1636" w:type="pct"/>
            <w:shd w:val="clear" w:color="auto" w:fill="auto"/>
          </w:tcPr>
          <w:p w14:paraId="2419BE43" w14:textId="77777777" w:rsidR="009F65D4"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8</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Băncile pot aplica derogările menționate la punctele 34</w:t>
            </w:r>
            <w:r w:rsidRPr="00E8164A">
              <w:rPr>
                <w:rFonts w:ascii="Times New Roman" w:eastAsia="Times New Roman" w:hAnsi="Times New Roman" w:cs="Times New Roman"/>
                <w:color w:val="000000" w:themeColor="text1"/>
                <w:sz w:val="20"/>
                <w:szCs w:val="20"/>
                <w:vertAlign w:val="superscript"/>
                <w:lang w:val="ro-RO" w:eastAsia="ro-MD"/>
              </w:rPr>
              <w:t>4</w:t>
            </w:r>
            <w:r w:rsidRPr="00E8164A">
              <w:rPr>
                <w:rFonts w:ascii="Times New Roman" w:eastAsia="Times New Roman" w:hAnsi="Times New Roman" w:cs="Times New Roman"/>
                <w:color w:val="000000" w:themeColor="text1"/>
                <w:sz w:val="20"/>
                <w:szCs w:val="20"/>
                <w:lang w:val="ro-RO" w:eastAsia="ro-MD"/>
              </w:rPr>
              <w:t xml:space="preserve"> și 34</w:t>
            </w:r>
            <w:r w:rsidRPr="00E8164A">
              <w:rPr>
                <w:rFonts w:ascii="Times New Roman" w:eastAsia="Times New Roman" w:hAnsi="Times New Roman" w:cs="Times New Roman"/>
                <w:color w:val="000000" w:themeColor="text1"/>
                <w:sz w:val="20"/>
                <w:szCs w:val="20"/>
                <w:vertAlign w:val="superscript"/>
                <w:lang w:val="ro-RO" w:eastAsia="ro-MD"/>
              </w:rPr>
              <w:t>6</w:t>
            </w:r>
            <w:r w:rsidRPr="00E8164A">
              <w:rPr>
                <w:rFonts w:ascii="Times New Roman" w:eastAsia="Times New Roman" w:hAnsi="Times New Roman" w:cs="Times New Roman"/>
                <w:color w:val="000000" w:themeColor="text1"/>
                <w:sz w:val="20"/>
                <w:szCs w:val="20"/>
                <w:lang w:val="ro-RO" w:eastAsia="ro-MD"/>
              </w:rPr>
              <w:t xml:space="preserve"> și în cazurile în care autoritatea competentă a unei țări terțe care aplică mecanisme de supraveghere și de reglementare cel puțin echivalente cu cele aplicate în Republica Moldova</w:t>
            </w:r>
            <w:r w:rsidRPr="00E8164A">
              <w:rPr>
                <w:color w:val="000000" w:themeColor="text1"/>
                <w:sz w:val="20"/>
                <w:szCs w:val="20"/>
              </w:rPr>
              <w:t xml:space="preserve"> </w:t>
            </w:r>
            <w:r w:rsidRPr="00E8164A">
              <w:rPr>
                <w:rFonts w:ascii="Times New Roman" w:eastAsia="Times New Roman" w:hAnsi="Times New Roman" w:cs="Times New Roman"/>
                <w:color w:val="000000" w:themeColor="text1"/>
                <w:sz w:val="20"/>
                <w:szCs w:val="20"/>
                <w:lang w:val="ro-RO" w:eastAsia="ro-MD"/>
              </w:rPr>
              <w:t>în privința băncilor conform anexei nr.5 la Regulamentul nr.111/2018, publică ratele pierderilor corespunzătoare pentru expunerile garantate cu bunuri imobile locative sau comerciale situate pe teritoriul țării terțe respective.</w:t>
            </w:r>
          </w:p>
          <w:p w14:paraId="2157B6D8" w14:textId="605D6E04" w:rsidR="009F65D4" w:rsidRPr="00E8164A" w:rsidRDefault="009F65D4" w:rsidP="009F65D4">
            <w:pPr>
              <w:spacing w:after="0" w:line="240" w:lineRule="auto"/>
              <w:ind w:firstLine="567"/>
              <w:jc w:val="both"/>
              <w:rPr>
                <w:rFonts w:ascii="Times New Roman" w:eastAsia="Times New Roman" w:hAnsi="Times New Roman" w:cs="Times New Roman"/>
                <w:b/>
                <w:bCs/>
                <w:color w:val="000000" w:themeColor="text1"/>
                <w:sz w:val="20"/>
                <w:szCs w:val="20"/>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3D0E49F2" w14:textId="1A62305B" w:rsidR="009F65D4" w:rsidRPr="002C32BA" w:rsidRDefault="009F65D4" w:rsidP="009F65D4">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8379BB5" w14:textId="43E5D55F" w:rsidR="009F65D4" w:rsidRDefault="009F65D4" w:rsidP="009F65D4">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9F65D4" w:rsidRPr="00145B50" w14:paraId="09CCF18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5E983D1F" w14:textId="77777777" w:rsidR="00B3538A" w:rsidRPr="00B3538A" w:rsidRDefault="00B3538A" w:rsidP="00B3538A">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 xml:space="preserve">(5)   Instituțiile pot utiliza drept garanții reale eligibile creanțele aferente unei tranzacții comerciale sau tranzacțiilor cu scadență inițială mai mică sau egală cu un an. Creanțele eligibile nu includ creanțele asociate securitizărilor, </w:t>
            </w:r>
            <w:proofErr w:type="spellStart"/>
            <w:r w:rsidRPr="00B3538A">
              <w:rPr>
                <w:rFonts w:ascii="Times New Roman" w:hAnsi="Times New Roman"/>
                <w:sz w:val="20"/>
                <w:szCs w:val="20"/>
                <w:lang w:val="ro-RO" w:eastAsia="ru-RU"/>
              </w:rPr>
              <w:t>subparticipațiilor</w:t>
            </w:r>
            <w:proofErr w:type="spellEnd"/>
            <w:r w:rsidRPr="00B3538A">
              <w:rPr>
                <w:rFonts w:ascii="Times New Roman" w:hAnsi="Times New Roman"/>
                <w:sz w:val="20"/>
                <w:szCs w:val="20"/>
                <w:lang w:val="ro-RO" w:eastAsia="ru-RU"/>
              </w:rPr>
              <w:t xml:space="preserve"> sau instrumentelor financiare derivate de credit și nici sumele datorate de părți afiliate.</w:t>
            </w:r>
          </w:p>
          <w:p w14:paraId="116DAAEA" w14:textId="77777777" w:rsidR="00B3538A" w:rsidRPr="00B3538A" w:rsidRDefault="00B3538A" w:rsidP="00B3538A">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▼M17</w:t>
            </w:r>
          </w:p>
          <w:p w14:paraId="37428A4E" w14:textId="77777777" w:rsidR="00B3538A" w:rsidRPr="00B3538A" w:rsidRDefault="00B3538A" w:rsidP="00B3538A">
            <w:pPr>
              <w:pStyle w:val="CM4"/>
              <w:tabs>
                <w:tab w:val="left" w:pos="150"/>
              </w:tabs>
              <w:ind w:left="-43"/>
              <w:jc w:val="both"/>
              <w:rPr>
                <w:rFonts w:ascii="Times New Roman" w:hAnsi="Times New Roman"/>
                <w:sz w:val="20"/>
                <w:szCs w:val="20"/>
                <w:lang w:val="ro-RO" w:eastAsia="ru-RU"/>
              </w:rPr>
            </w:pPr>
          </w:p>
          <w:p w14:paraId="6444D088" w14:textId="0EC0AE20" w:rsidR="009F65D4" w:rsidRPr="0012553D" w:rsidRDefault="00B3538A" w:rsidP="00B3538A">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 xml:space="preserve">În cazul în care o instituție de credit pentru dezvoltare publică, astfel cum este definită la articolul 429a alineatul (2) din prezentul regulament, acordă un credit promoțional, astfel cum este definit la articolul 429a alineatul (3) din prezentul regulament, unei alte instituții sau unei instituții financiare care este autorizată să desfășoare activitățile menționate la punctul 2 sau 3 din anexa I la Directiva 2013/36/UE și care îndeplinește condițiile prevăzute la articolul 119 alineatul (5) din prezentul regulament și în cazul în care respectiva instituție sau instituție financiară transferă direct sau indirect creditul promoțional respectiv unui debitor final și cedează instituției de credit pentru dezvoltare publică creanța din creditul promoțional drept garanție reală, instituția de credit pentru dezvoltare publică poate </w:t>
            </w:r>
            <w:r w:rsidRPr="00B3538A">
              <w:rPr>
                <w:rFonts w:ascii="Times New Roman" w:hAnsi="Times New Roman"/>
                <w:sz w:val="20"/>
                <w:szCs w:val="20"/>
                <w:lang w:val="ro-RO" w:eastAsia="ru-RU"/>
              </w:rPr>
              <w:lastRenderedPageBreak/>
              <w:t>utiliza creanța cedată drept garanție reală eligibilă, indiferent de scadența inițială a creanței cedate.</w:t>
            </w:r>
          </w:p>
        </w:tc>
        <w:tc>
          <w:tcPr>
            <w:tcW w:w="1636" w:type="pct"/>
            <w:shd w:val="clear" w:color="auto" w:fill="auto"/>
          </w:tcPr>
          <w:p w14:paraId="59C69158" w14:textId="1E74B486" w:rsidR="009F65D4" w:rsidRPr="00E8164A"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34</w:t>
            </w:r>
            <w:r w:rsidRPr="00E8164A">
              <w:rPr>
                <w:rFonts w:ascii="Times New Roman" w:eastAsia="Times New Roman" w:hAnsi="Times New Roman" w:cs="Times New Roman"/>
                <w:b/>
                <w:bCs/>
                <w:color w:val="000000" w:themeColor="text1"/>
                <w:sz w:val="20"/>
                <w:szCs w:val="20"/>
                <w:vertAlign w:val="superscript"/>
                <w:lang w:val="ro-RO" w:eastAsia="ro-MD"/>
              </w:rPr>
              <w:t>9</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Băncile pot utiliza drept garanții reale eligibile creanțele aferente unei tranzacții comerciale sau tranzacțiilor cu scadență inițială mai mică sau egală cu un an. Creanțele eligibile nu includ creanțele asociate securitizărilor, </w:t>
            </w:r>
            <w:proofErr w:type="spellStart"/>
            <w:r w:rsidRPr="00E8164A">
              <w:rPr>
                <w:rFonts w:ascii="Times New Roman" w:eastAsia="Times New Roman" w:hAnsi="Times New Roman" w:cs="Times New Roman"/>
                <w:color w:val="000000" w:themeColor="text1"/>
                <w:sz w:val="20"/>
                <w:szCs w:val="20"/>
                <w:lang w:val="ro-RO" w:eastAsia="ro-MD"/>
              </w:rPr>
              <w:t>subparticipațiilor</w:t>
            </w:r>
            <w:proofErr w:type="spellEnd"/>
            <w:r w:rsidRPr="00E8164A">
              <w:rPr>
                <w:rFonts w:ascii="Times New Roman" w:eastAsia="Times New Roman" w:hAnsi="Times New Roman" w:cs="Times New Roman"/>
                <w:color w:val="000000" w:themeColor="text1"/>
                <w:sz w:val="20"/>
                <w:szCs w:val="20"/>
                <w:lang w:val="ro-RO" w:eastAsia="ro-MD"/>
              </w:rPr>
              <w:t xml:space="preserve"> sau instrumentelor financiare derivate de credit și nici sumele datorate de părți afiliate.</w:t>
            </w:r>
          </w:p>
          <w:p w14:paraId="1C6C2DCE" w14:textId="77777777" w:rsidR="009F65D4" w:rsidRDefault="009F65D4" w:rsidP="009F65D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10</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cazul în care o bancă pentru dezvoltare publică, acordă un credit promoțional în scopul promovării obiectivelor de politică publică ale administrației centrale, ale administrației regionale sau ale autorității locale, unei alte bănci sau unei societăți financiare non-bancare care este autorizată să desfășoare activitățile menționate la articolul 14 aliniatul (1) literele b) sau c)  din Legea nr.202/2017 și care îndeplinește condițiile prevăzute la punctul 51 din Regulamentul nr.111/2018 și în cazul în care respectiva bancă sau societate financiară non-bancară transferă direct sau indirect creditul promoțional respectiv unui debitor final și cedează băncii pentru dezvoltare publică creanța din creditul promoțional drept garanție </w:t>
            </w:r>
            <w:r w:rsidRPr="00E8164A">
              <w:rPr>
                <w:rFonts w:ascii="Times New Roman" w:eastAsia="Times New Roman" w:hAnsi="Times New Roman" w:cs="Times New Roman"/>
                <w:color w:val="000000" w:themeColor="text1"/>
                <w:sz w:val="20"/>
                <w:szCs w:val="20"/>
                <w:lang w:val="ro-RO" w:eastAsia="ro-MD"/>
              </w:rPr>
              <w:lastRenderedPageBreak/>
              <w:t>reală, banca pentru dezvoltare publică poate utiliza creanța cedată drept garanție reală eligibilă, indiferent de scadența inițială a creanței cedate.</w:t>
            </w:r>
          </w:p>
          <w:p w14:paraId="3F00D343" w14:textId="268C722A" w:rsidR="009F65D4" w:rsidRPr="00E8164A" w:rsidRDefault="009F65D4" w:rsidP="009F65D4">
            <w:pPr>
              <w:spacing w:after="0" w:line="240" w:lineRule="auto"/>
              <w:ind w:firstLine="567"/>
              <w:jc w:val="both"/>
              <w:rPr>
                <w:rFonts w:ascii="Times New Roman" w:eastAsia="Times New Roman" w:hAnsi="Times New Roman" w:cs="Times New Roman"/>
                <w:b/>
                <w:bCs/>
                <w:color w:val="000000" w:themeColor="text1"/>
                <w:sz w:val="20"/>
                <w:szCs w:val="20"/>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1DB593B9" w14:textId="63376DD5" w:rsidR="009F65D4" w:rsidRPr="002C32BA" w:rsidRDefault="009F65D4" w:rsidP="009F65D4">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59F0E6A3" w14:textId="607D79CA" w:rsidR="009F65D4" w:rsidRDefault="009F65D4" w:rsidP="009F65D4">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C41905" w:rsidRPr="00145B50" w14:paraId="6AD9EEE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4DD8760E" w14:textId="77777777" w:rsidR="00C41905" w:rsidRPr="00B3538A" w:rsidRDefault="00C41905" w:rsidP="00C41905">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(6)   Autoritățile competente permit unei instituții să utilizeze drept garanții reale eligibile garanțiile reale corporale de alt tip decât cele indicate la alineatele (2), (3) și (4), dacă sunt îndeplinite toate condițiile următoare:</w:t>
            </w:r>
          </w:p>
          <w:p w14:paraId="1EFBED04" w14:textId="45576DF5" w:rsidR="00C41905" w:rsidRDefault="00C41905" w:rsidP="00C41905">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(a) există piețe lichide, o dovadă în acest sens fiind tranzacțiile frecvente, ținând seama de tipul de activ, pentru cedarea garanției reale în mod rapid și eficient din punct de vedere economic. Instituțiile trebuie să evalueze această condiție periodic și atunci când informațiile indică producerea unor modificări semnificative pe piață;</w:t>
            </w:r>
          </w:p>
          <w:p w14:paraId="3F64F097" w14:textId="77777777" w:rsidR="00C41905" w:rsidRPr="00191FE0" w:rsidRDefault="00C41905" w:rsidP="00C41905">
            <w:pPr>
              <w:rPr>
                <w:lang w:val="ro-RO" w:eastAsia="ru-RU"/>
              </w:rPr>
            </w:pPr>
          </w:p>
          <w:p w14:paraId="10441E87" w14:textId="46223023" w:rsidR="00C41905" w:rsidRPr="00B3538A" w:rsidRDefault="00C41905" w:rsidP="00C41905">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(b) există prețuri de piață bine stabilite și disponibile public pentru garanția reală. Instituțiile pot considera că prețurile de piață sunt bine stabilite, dacă acestea provin din surse credibile de informații, precum indici publici, și reflectă prețul tranzacțiilor efectuate în condiții normale. Instituțiile pot considera că prețurile de piață sunt disponibile public, dacă acestea sunt comunicate, sunt ușor accesibile și pot fi obținute cu regularitate și fără eforturi administrative sau financiare nejustificate;</w:t>
            </w:r>
          </w:p>
          <w:p w14:paraId="4DE5A027" w14:textId="289D8A47" w:rsidR="00C41905" w:rsidRPr="00B3538A" w:rsidRDefault="00C41905" w:rsidP="00C41905">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(c) instituția analizează prețurile de piață, timpul și costurile necesare pentru executarea garanției reale, precum și sumele obținute în urma executării garanției reale;</w:t>
            </w:r>
          </w:p>
          <w:p w14:paraId="7D3DDCCB" w14:textId="77777777" w:rsidR="00C41905" w:rsidRPr="00B3538A" w:rsidRDefault="00C41905" w:rsidP="00C41905">
            <w:pPr>
              <w:pStyle w:val="CM4"/>
              <w:tabs>
                <w:tab w:val="left" w:pos="150"/>
              </w:tabs>
              <w:ind w:left="-43"/>
              <w:jc w:val="both"/>
              <w:rPr>
                <w:rFonts w:ascii="Times New Roman" w:hAnsi="Times New Roman"/>
                <w:sz w:val="20"/>
                <w:szCs w:val="20"/>
                <w:lang w:val="ro-RO" w:eastAsia="ru-RU"/>
              </w:rPr>
            </w:pPr>
          </w:p>
          <w:p w14:paraId="494C55C6" w14:textId="77777777" w:rsidR="00C41905" w:rsidRPr="00B3538A" w:rsidRDefault="00C41905" w:rsidP="00C41905">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▼M17</w:t>
            </w:r>
          </w:p>
          <w:p w14:paraId="4791893F" w14:textId="3ECE9E49" w:rsidR="00C41905" w:rsidRPr="00B3538A" w:rsidRDefault="00C41905" w:rsidP="00C41905">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(d) instituția demonstrează că, în cel puțin 90 % din totalul lichidărilor corespunzătoare unui anumit tip de garanție reală, sumele obținute în urma executării garanției reale nu sunt mai mici de 70 % din valoarea garanției reale; în cazul în care există o volatilitate semnificativă a prețurilor pieței, instituția demonstrează autorității competente, într-</w:t>
            </w:r>
            <w:r w:rsidRPr="00B3538A">
              <w:rPr>
                <w:rFonts w:ascii="Times New Roman" w:hAnsi="Times New Roman"/>
                <w:sz w:val="20"/>
                <w:szCs w:val="20"/>
                <w:lang w:val="ro-RO" w:eastAsia="ru-RU"/>
              </w:rPr>
              <w:lastRenderedPageBreak/>
              <w:t>un mod pe care aceasta îl consideră satisfăcător, că propria evaluare a garanției reale este suficient de prudentă.</w:t>
            </w:r>
          </w:p>
          <w:p w14:paraId="506ED04F" w14:textId="77777777" w:rsidR="00C41905" w:rsidRPr="00B3538A" w:rsidRDefault="00C41905" w:rsidP="00C41905">
            <w:pPr>
              <w:pStyle w:val="CM4"/>
              <w:tabs>
                <w:tab w:val="left" w:pos="150"/>
              </w:tabs>
              <w:ind w:left="-43"/>
              <w:jc w:val="both"/>
              <w:rPr>
                <w:rFonts w:ascii="Times New Roman" w:hAnsi="Times New Roman"/>
                <w:sz w:val="20"/>
                <w:szCs w:val="20"/>
                <w:lang w:val="ro-RO" w:eastAsia="ru-RU"/>
              </w:rPr>
            </w:pPr>
          </w:p>
          <w:p w14:paraId="5225323C" w14:textId="463A4AE1" w:rsidR="00C41905" w:rsidRPr="00B3538A" w:rsidRDefault="00C41905" w:rsidP="00C41905">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Instituțiile trebuie să formalizeze îndeplinirea condițiilor specificate la primul paragraf literele (a)-(d) și la articolul 210.</w:t>
            </w:r>
          </w:p>
        </w:tc>
        <w:tc>
          <w:tcPr>
            <w:tcW w:w="1636" w:type="pct"/>
            <w:shd w:val="clear" w:color="auto" w:fill="auto"/>
          </w:tcPr>
          <w:p w14:paraId="0BB4ED26" w14:textId="77777777" w:rsidR="00C41905" w:rsidRPr="00E8164A" w:rsidRDefault="00C41905" w:rsidP="00C41905">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34</w:t>
            </w:r>
            <w:r w:rsidRPr="00E8164A">
              <w:rPr>
                <w:rFonts w:ascii="Times New Roman" w:eastAsia="Times New Roman" w:hAnsi="Times New Roman" w:cs="Times New Roman"/>
                <w:b/>
                <w:bCs/>
                <w:color w:val="000000" w:themeColor="text1"/>
                <w:sz w:val="20"/>
                <w:szCs w:val="20"/>
                <w:vertAlign w:val="superscript"/>
                <w:lang w:val="ro-RO" w:eastAsia="ro-MD"/>
              </w:rPr>
              <w:t>12</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Băncile pot să utilizeze drept garanții reale eligibile garanțiile reale corporale de alt tip decât cele indicate la punctele 34</w:t>
            </w:r>
            <w:r w:rsidRPr="00E8164A">
              <w:rPr>
                <w:rFonts w:ascii="Times New Roman" w:eastAsia="Times New Roman" w:hAnsi="Times New Roman" w:cs="Times New Roman"/>
                <w:color w:val="000000" w:themeColor="text1"/>
                <w:sz w:val="20"/>
                <w:szCs w:val="20"/>
                <w:vertAlign w:val="superscript"/>
                <w:lang w:val="ro-RO" w:eastAsia="ro-MD"/>
              </w:rPr>
              <w:t>3</w:t>
            </w:r>
            <w:r w:rsidRPr="00E8164A">
              <w:rPr>
                <w:rFonts w:ascii="Times New Roman" w:eastAsia="Times New Roman" w:hAnsi="Times New Roman" w:cs="Times New Roman"/>
                <w:color w:val="000000" w:themeColor="text1"/>
                <w:sz w:val="20"/>
                <w:szCs w:val="20"/>
                <w:lang w:val="ro-RO" w:eastAsia="ro-MD"/>
              </w:rPr>
              <w:t xml:space="preserve"> - 34</w:t>
            </w:r>
            <w:r w:rsidRPr="00E8164A">
              <w:rPr>
                <w:rFonts w:ascii="Times New Roman" w:eastAsia="Times New Roman" w:hAnsi="Times New Roman" w:cs="Times New Roman"/>
                <w:color w:val="000000" w:themeColor="text1"/>
                <w:sz w:val="20"/>
                <w:szCs w:val="20"/>
                <w:vertAlign w:val="superscript"/>
                <w:lang w:val="ro-RO" w:eastAsia="ro-MD"/>
              </w:rPr>
              <w:t>7</w:t>
            </w:r>
            <w:r w:rsidRPr="00E8164A">
              <w:rPr>
                <w:rFonts w:ascii="Times New Roman" w:eastAsia="Times New Roman" w:hAnsi="Times New Roman" w:cs="Times New Roman"/>
                <w:color w:val="000000" w:themeColor="text1"/>
                <w:sz w:val="20"/>
                <w:szCs w:val="20"/>
                <w:lang w:val="ro-RO" w:eastAsia="ro-MD"/>
              </w:rPr>
              <w:t>, dacă sunt îndeplinite cumulativ următoarele condiții:</w:t>
            </w:r>
          </w:p>
          <w:p w14:paraId="36FA889F" w14:textId="4724513A" w:rsidR="00C41905" w:rsidRPr="00E8164A" w:rsidRDefault="00C41905" w:rsidP="00C41905">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există piețe lichide, o dovadă în acest sens fiind tranzacțiile frecvente, ținând seama de tipul de activ, pentru cedarea garanției reale în mod rapid și eficient din punct de vedere economic. Băncile trebuie să evalueze această condiție periodic și atunci când informațiile indică producerea unor modificări semnificative pe piață;</w:t>
            </w:r>
          </w:p>
          <w:p w14:paraId="44580FFB" w14:textId="18E765B3" w:rsidR="00C41905" w:rsidRPr="00E8164A" w:rsidRDefault="00C41905" w:rsidP="00C41905">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există prețuri de piață bine stabilite și disponibile public pentru garanția reală. Băncile pot considera că prețurile de piață sunt bine stabilite, dacă acestea provin din surse credibile de informații, precum indici publici, și reflectă prețul tranzacțiilor efectuate în condiții normale. Băncile pot considera că prețurile de piață sunt disponibile public, dacă acestea sunt comunicate, sunt ușor accesibile și pot fi obținute cu regularitate și fără eforturi administrative sau financiare nejustificate;</w:t>
            </w:r>
          </w:p>
          <w:p w14:paraId="0169F052" w14:textId="34089609" w:rsidR="00C41905" w:rsidRPr="00E8164A" w:rsidRDefault="00C41905" w:rsidP="00C41905">
            <w:pPr>
              <w:tabs>
                <w:tab w:val="left" w:pos="840"/>
              </w:tabs>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 banca analizează prețurile de piață, timpul și costurile necesare pentru executarea garanției reale, precum și sumele obținute în urma executării garanției reale;</w:t>
            </w:r>
          </w:p>
          <w:p w14:paraId="58352EFD" w14:textId="5A8CCAAB" w:rsidR="00C41905" w:rsidRPr="00E8164A" w:rsidRDefault="00C41905" w:rsidP="00C41905">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4) banca demonstrează că, în cel puțin 90% din totalul lichidărilor corespunzătoare unui anumit tip de garanție reală, sumele obținute în urma executării garanției reale nu sunt mai mici de 70% din valoarea garanției reale; în cazul în care există o volatilitate semnificativă a prețurilor pieței, banca demonstrează Băncii Naționale a </w:t>
            </w:r>
            <w:r w:rsidRPr="00E8164A">
              <w:rPr>
                <w:rFonts w:ascii="Times New Roman" w:eastAsia="Times New Roman" w:hAnsi="Times New Roman" w:cs="Times New Roman"/>
                <w:color w:val="000000" w:themeColor="text1"/>
                <w:sz w:val="20"/>
                <w:szCs w:val="20"/>
                <w:lang w:val="ro-RO" w:eastAsia="ro-MD"/>
              </w:rPr>
              <w:lastRenderedPageBreak/>
              <w:t>Moldovei, într-un mod pe care aceasta îl consideră satisfăcător, că propria evaluare a garanției reale este suficient de prudentă.</w:t>
            </w:r>
          </w:p>
          <w:p w14:paraId="6F524C94" w14:textId="77777777" w:rsidR="00C41905" w:rsidRDefault="00C41905" w:rsidP="00C41905">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13</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Băncile trebuie să formalizeze îndeplinirea condițiilor specificate la punctul 34</w:t>
            </w:r>
            <w:r w:rsidRPr="00E8164A">
              <w:rPr>
                <w:rFonts w:ascii="Times New Roman" w:eastAsia="Times New Roman" w:hAnsi="Times New Roman" w:cs="Times New Roman"/>
                <w:color w:val="000000" w:themeColor="text1"/>
                <w:sz w:val="20"/>
                <w:szCs w:val="20"/>
                <w:vertAlign w:val="superscript"/>
                <w:lang w:val="ro-RO" w:eastAsia="ro-MD"/>
              </w:rPr>
              <w:t>12</w:t>
            </w:r>
            <w:r w:rsidRPr="00E8164A">
              <w:rPr>
                <w:rFonts w:ascii="Times New Roman" w:eastAsia="Times New Roman" w:hAnsi="Times New Roman" w:cs="Times New Roman"/>
                <w:color w:val="000000" w:themeColor="text1"/>
                <w:sz w:val="20"/>
                <w:szCs w:val="20"/>
                <w:lang w:val="ro-RO" w:eastAsia="ro-MD"/>
              </w:rPr>
              <w:t xml:space="preserve"> și la punctele 50</w:t>
            </w:r>
            <w:r w:rsidRPr="00E8164A">
              <w:rPr>
                <w:rFonts w:ascii="Times New Roman" w:eastAsia="Times New Roman" w:hAnsi="Times New Roman" w:cs="Times New Roman"/>
                <w:color w:val="000000" w:themeColor="text1"/>
                <w:sz w:val="20"/>
                <w:szCs w:val="20"/>
                <w:vertAlign w:val="superscript"/>
                <w:lang w:val="ro-RO" w:eastAsia="ro-MD"/>
              </w:rPr>
              <w:t>5</w:t>
            </w:r>
            <w:r w:rsidRPr="00E8164A">
              <w:rPr>
                <w:rFonts w:ascii="Times New Roman" w:eastAsia="Times New Roman" w:hAnsi="Times New Roman" w:cs="Times New Roman"/>
                <w:color w:val="000000" w:themeColor="text1"/>
                <w:sz w:val="20"/>
                <w:szCs w:val="20"/>
                <w:lang w:val="ro-RO" w:eastAsia="ro-MD"/>
              </w:rPr>
              <w:t>-50</w:t>
            </w:r>
            <w:r w:rsidRPr="00E8164A">
              <w:rPr>
                <w:rFonts w:ascii="Times New Roman" w:eastAsia="Times New Roman" w:hAnsi="Times New Roman" w:cs="Times New Roman"/>
                <w:color w:val="000000" w:themeColor="text1"/>
                <w:sz w:val="20"/>
                <w:szCs w:val="20"/>
                <w:vertAlign w:val="superscript"/>
                <w:lang w:val="ro-RO" w:eastAsia="ro-MD"/>
              </w:rPr>
              <w:t>6</w:t>
            </w:r>
            <w:r w:rsidRPr="00E8164A">
              <w:rPr>
                <w:rFonts w:ascii="Times New Roman" w:eastAsia="Times New Roman" w:hAnsi="Times New Roman" w:cs="Times New Roman"/>
                <w:color w:val="000000" w:themeColor="text1"/>
                <w:sz w:val="20"/>
                <w:szCs w:val="20"/>
                <w:lang w:val="ro-RO" w:eastAsia="ro-MD"/>
              </w:rPr>
              <w:t>.</w:t>
            </w:r>
          </w:p>
          <w:p w14:paraId="7804F828" w14:textId="4AAD86DB" w:rsidR="00C41905" w:rsidRPr="00191FE0" w:rsidRDefault="00C41905" w:rsidP="00C41905">
            <w:pPr>
              <w:ind w:firstLine="466"/>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71B0FC48" w14:textId="29214229" w:rsidR="00C41905" w:rsidRPr="002C32BA" w:rsidRDefault="00C41905" w:rsidP="00C41905">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2DCB49C6" w14:textId="7BF3E8C5" w:rsidR="00C41905" w:rsidRDefault="00C41905" w:rsidP="00C41905">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C41905" w:rsidRPr="00145B50" w14:paraId="306CED9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4ACC01BD" w14:textId="04BC2270" w:rsidR="00C41905" w:rsidRPr="00B3538A" w:rsidRDefault="00C41905" w:rsidP="00C41905">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(7)   Sub rezerva dispozițiilor articolului 230 alineatul (2), în cazul în care cerințele prevăzute la articolul 211 sunt îndeplinite, expunerile decurgând din operațiuni de leasing prin care o instituție dă în leasing un bun unei părți terțe pot fi tratate la fel ca împrumuturile garantate cu tipul de bun dat în leasing.</w:t>
            </w:r>
          </w:p>
        </w:tc>
        <w:tc>
          <w:tcPr>
            <w:tcW w:w="1636" w:type="pct"/>
            <w:shd w:val="clear" w:color="auto" w:fill="auto"/>
          </w:tcPr>
          <w:p w14:paraId="73A04998" w14:textId="77777777" w:rsidR="00C41905" w:rsidRDefault="00C41905" w:rsidP="00C41905">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34</w:t>
            </w:r>
            <w:r w:rsidRPr="00E8164A">
              <w:rPr>
                <w:rFonts w:ascii="Times New Roman" w:eastAsia="Times New Roman" w:hAnsi="Times New Roman" w:cs="Times New Roman"/>
                <w:b/>
                <w:bCs/>
                <w:color w:val="000000" w:themeColor="text1"/>
                <w:sz w:val="20"/>
                <w:szCs w:val="20"/>
                <w:vertAlign w:val="superscript"/>
                <w:lang w:val="ro-RO" w:eastAsia="ro-MD"/>
              </w:rPr>
              <w:t>14</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Sub rezerva dispozițiilor punctului 107</w:t>
            </w:r>
            <w:r w:rsidRPr="00E8164A">
              <w:rPr>
                <w:rFonts w:ascii="Times New Roman" w:eastAsia="Times New Roman" w:hAnsi="Times New Roman" w:cs="Times New Roman"/>
                <w:color w:val="000000" w:themeColor="text1"/>
                <w:sz w:val="20"/>
                <w:szCs w:val="20"/>
                <w:vertAlign w:val="superscript"/>
                <w:lang w:val="ro-RO" w:eastAsia="ro-MD"/>
              </w:rPr>
              <w:t>7</w:t>
            </w:r>
            <w:r w:rsidRPr="00E8164A">
              <w:rPr>
                <w:rFonts w:ascii="Times New Roman" w:eastAsia="Times New Roman" w:hAnsi="Times New Roman" w:cs="Times New Roman"/>
                <w:color w:val="000000" w:themeColor="text1"/>
                <w:sz w:val="20"/>
                <w:szCs w:val="20"/>
                <w:lang w:val="ro-RO" w:eastAsia="ro-MD"/>
              </w:rPr>
              <w:t>, în cazul în care cerințele prevăzute la punctul 51</w:t>
            </w:r>
            <w:r w:rsidRPr="00E8164A">
              <w:rPr>
                <w:rFonts w:ascii="Times New Roman" w:eastAsia="Times New Roman" w:hAnsi="Times New Roman" w:cs="Times New Roman"/>
                <w:color w:val="000000" w:themeColor="text1"/>
                <w:sz w:val="20"/>
                <w:szCs w:val="20"/>
                <w:vertAlign w:val="superscript"/>
                <w:lang w:val="ro-RO" w:eastAsia="ro-MD"/>
              </w:rPr>
              <w:t>7</w:t>
            </w:r>
            <w:r w:rsidRPr="00E8164A">
              <w:rPr>
                <w:rFonts w:ascii="Times New Roman" w:eastAsia="Times New Roman" w:hAnsi="Times New Roman" w:cs="Times New Roman"/>
                <w:color w:val="000000" w:themeColor="text1"/>
                <w:sz w:val="20"/>
                <w:szCs w:val="20"/>
                <w:lang w:val="ro-RO" w:eastAsia="ro-MD"/>
              </w:rPr>
              <w:t xml:space="preserve"> sunt îndeplinite, expunerile decurgând din operațiuni de leasing prin care o bancă dă în leasing un bun unei părți terțe pot fi tratate la fel ca creditele garantate cu tipul de bun dat în leasing.</w:t>
            </w:r>
          </w:p>
          <w:p w14:paraId="0F6B9C29" w14:textId="7D88C9F6" w:rsidR="00C41905" w:rsidRPr="00E8164A" w:rsidRDefault="00C41905" w:rsidP="00C41905">
            <w:pPr>
              <w:spacing w:after="0" w:line="240" w:lineRule="auto"/>
              <w:ind w:firstLine="567"/>
              <w:jc w:val="both"/>
              <w:rPr>
                <w:rFonts w:ascii="Times New Roman" w:eastAsia="Times New Roman" w:hAnsi="Times New Roman" w:cs="Times New Roman"/>
                <w:b/>
                <w:bCs/>
                <w:color w:val="000000" w:themeColor="text1"/>
                <w:sz w:val="20"/>
                <w:szCs w:val="20"/>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2E5284F9" w14:textId="5AE1F042" w:rsidR="00C41905" w:rsidRPr="002C32BA" w:rsidRDefault="00C41905" w:rsidP="00C41905">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EC40126" w14:textId="28CAE906" w:rsidR="00C41905" w:rsidRDefault="00C41905" w:rsidP="00C41905">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B3538A" w:rsidRPr="00145B50" w14:paraId="143ABA0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8"/>
        </w:trPr>
        <w:tc>
          <w:tcPr>
            <w:tcW w:w="1916" w:type="pct"/>
          </w:tcPr>
          <w:p w14:paraId="0E244118" w14:textId="047EA847" w:rsidR="00B3538A" w:rsidRPr="00B3538A" w:rsidRDefault="00B3538A" w:rsidP="00B3538A">
            <w:pPr>
              <w:pStyle w:val="CM4"/>
              <w:tabs>
                <w:tab w:val="left" w:pos="150"/>
              </w:tabs>
              <w:ind w:left="-43"/>
              <w:jc w:val="both"/>
              <w:rPr>
                <w:rFonts w:ascii="Times New Roman" w:hAnsi="Times New Roman"/>
                <w:sz w:val="20"/>
                <w:szCs w:val="20"/>
                <w:lang w:val="ro-RO" w:eastAsia="ru-RU"/>
              </w:rPr>
            </w:pPr>
            <w:r w:rsidRPr="00B3538A">
              <w:rPr>
                <w:rFonts w:ascii="Times New Roman" w:hAnsi="Times New Roman"/>
                <w:sz w:val="20"/>
                <w:szCs w:val="20"/>
                <w:lang w:val="ro-RO" w:eastAsia="ru-RU"/>
              </w:rPr>
              <w:t>(8)   ABE publică o listă cu tipuri de garanții reale corporale pentru care instituțiile pot presupune că sunt îndeplinite condițiile menționate la alineatul (6) literele (a) și (b).</w:t>
            </w:r>
          </w:p>
        </w:tc>
        <w:tc>
          <w:tcPr>
            <w:tcW w:w="1636" w:type="pct"/>
            <w:shd w:val="clear" w:color="auto" w:fill="auto"/>
          </w:tcPr>
          <w:p w14:paraId="1FE1FB1B" w14:textId="77777777" w:rsidR="00B3538A" w:rsidRPr="00E8164A" w:rsidRDefault="00B3538A" w:rsidP="009F65D4">
            <w:pPr>
              <w:spacing w:after="0" w:line="240" w:lineRule="auto"/>
              <w:ind w:firstLine="567"/>
              <w:jc w:val="both"/>
              <w:rPr>
                <w:rFonts w:ascii="Times New Roman" w:eastAsia="Times New Roman" w:hAnsi="Times New Roman" w:cs="Times New Roman"/>
                <w:b/>
                <w:bCs/>
                <w:color w:val="000000" w:themeColor="text1"/>
                <w:sz w:val="20"/>
                <w:szCs w:val="20"/>
                <w:lang w:val="ro-RO" w:eastAsia="ro-MD"/>
              </w:rPr>
            </w:pPr>
          </w:p>
        </w:tc>
        <w:tc>
          <w:tcPr>
            <w:tcW w:w="562" w:type="pct"/>
          </w:tcPr>
          <w:p w14:paraId="3B6AF5ED" w14:textId="3C7FBEA6" w:rsidR="00B3538A" w:rsidRPr="002C32BA" w:rsidRDefault="001D2619" w:rsidP="009F65D4">
            <w:pPr>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885" w:type="pct"/>
          </w:tcPr>
          <w:p w14:paraId="11696B01" w14:textId="05A984DD" w:rsidR="00B3538A" w:rsidRDefault="00DE0AD2" w:rsidP="009F65D4">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Conform EBA, la etapa actuală nu este nici un tip </w:t>
            </w:r>
            <w:proofErr w:type="spellStart"/>
            <w:r>
              <w:rPr>
                <w:rFonts w:ascii="Times New Roman" w:hAnsi="Times New Roman" w:cs="Times New Roman"/>
                <w:sz w:val="20"/>
                <w:szCs w:val="20"/>
                <w:lang w:val="ro-RO"/>
              </w:rPr>
              <w:t>degaranție</w:t>
            </w:r>
            <w:proofErr w:type="spellEnd"/>
            <w:r>
              <w:rPr>
                <w:rFonts w:ascii="Times New Roman" w:hAnsi="Times New Roman" w:cs="Times New Roman"/>
                <w:sz w:val="20"/>
                <w:szCs w:val="20"/>
                <w:lang w:val="ro-RO"/>
              </w:rPr>
              <w:t xml:space="preserve"> reală corporală pentru care instituțiile ar putea să asume în mod automat că îndeplinesc condițiile alin. (6) lit.(a) și (b) – </w:t>
            </w:r>
            <w:hyperlink r:id="rId23" w:history="1">
              <w:r w:rsidRPr="00DE0AD2">
                <w:rPr>
                  <w:rStyle w:val="Hyperlink"/>
                  <w:rFonts w:ascii="Times New Roman" w:hAnsi="Times New Roman" w:cs="Times New Roman"/>
                  <w:sz w:val="20"/>
                  <w:szCs w:val="20"/>
                  <w:lang w:val="ro-RO"/>
                </w:rPr>
                <w:t>link</w:t>
              </w:r>
            </w:hyperlink>
            <w:r>
              <w:rPr>
                <w:rFonts w:ascii="Times New Roman" w:hAnsi="Times New Roman" w:cs="Times New Roman"/>
                <w:sz w:val="20"/>
                <w:szCs w:val="20"/>
                <w:lang w:val="ro-RO"/>
              </w:rPr>
              <w:t>.</w:t>
            </w:r>
          </w:p>
        </w:tc>
      </w:tr>
      <w:tr w:rsidR="00D62F3C" w:rsidRPr="002C32BA" w14:paraId="3708040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8E3D9F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200</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Alte tipuri de protecție finanțată a creditului</w:t>
            </w:r>
          </w:p>
          <w:p w14:paraId="382E679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Instituțiile pot utiliza următoarele alte tipuri de protecție finanțată a creditului drept garanții reale eligibile:</w:t>
            </w:r>
          </w:p>
          <w:p w14:paraId="67492442" w14:textId="11D34E28" w:rsidR="00D62F3C" w:rsidRDefault="00D62F3C" w:rsidP="00056611">
            <w:pPr>
              <w:pStyle w:val="CM4"/>
              <w:numPr>
                <w:ilvl w:val="0"/>
                <w:numId w:val="95"/>
              </w:numPr>
              <w:tabs>
                <w:tab w:val="left" w:pos="150"/>
              </w:tabs>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numerarul sub formă de depozit constituit la o instituție terță, sau instrumentele asimilate numerarului deținute de aceasta în alt regim decât cel de custodie și gajate în favoarea instituției creditoare;</w:t>
            </w:r>
          </w:p>
          <w:p w14:paraId="785FE4A4" w14:textId="77777777" w:rsidR="00056611" w:rsidRPr="00056611" w:rsidRDefault="00056611" w:rsidP="00056611">
            <w:pPr>
              <w:rPr>
                <w:lang w:val="ro-RO" w:eastAsia="ru-RU"/>
              </w:rPr>
            </w:pPr>
          </w:p>
          <w:p w14:paraId="7C00E35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(b) polițele de asigurare de viață gajate în favoarea instituției creditoare;</w:t>
            </w:r>
          </w:p>
          <w:p w14:paraId="64B2F0C1" w14:textId="77777777" w:rsidR="00056611" w:rsidRPr="00056611" w:rsidRDefault="00056611" w:rsidP="00056611">
            <w:pPr>
              <w:pStyle w:val="CM4"/>
              <w:tabs>
                <w:tab w:val="left" w:pos="150"/>
              </w:tabs>
              <w:ind w:left="-43"/>
              <w:jc w:val="both"/>
              <w:rPr>
                <w:rFonts w:ascii="Times New Roman" w:hAnsi="Times New Roman"/>
                <w:iCs/>
                <w:sz w:val="20"/>
                <w:szCs w:val="20"/>
                <w:lang w:val="ro-RO" w:eastAsia="ru-RU"/>
              </w:rPr>
            </w:pPr>
            <w:r w:rsidRPr="00056611">
              <w:rPr>
                <w:rFonts w:ascii="Times New Roman" w:hAnsi="Times New Roman"/>
                <w:iCs/>
                <w:sz w:val="20"/>
                <w:szCs w:val="20"/>
                <w:lang w:val="ro-RO" w:eastAsia="ru-RU"/>
              </w:rPr>
              <w:t>▼M9</w:t>
            </w:r>
          </w:p>
          <w:p w14:paraId="39AC6163" w14:textId="3765AF40" w:rsidR="00D62F3C" w:rsidRPr="002C32BA" w:rsidRDefault="00056611" w:rsidP="00056611">
            <w:pPr>
              <w:pStyle w:val="CM4"/>
              <w:tabs>
                <w:tab w:val="left" w:pos="150"/>
              </w:tabs>
              <w:ind w:left="-43"/>
              <w:jc w:val="both"/>
              <w:rPr>
                <w:rFonts w:ascii="Times New Roman" w:hAnsi="Times New Roman"/>
                <w:iCs/>
                <w:sz w:val="20"/>
                <w:szCs w:val="20"/>
                <w:lang w:val="ro-RO" w:eastAsia="ru-RU"/>
              </w:rPr>
            </w:pPr>
            <w:r w:rsidRPr="00056611">
              <w:rPr>
                <w:rFonts w:ascii="Times New Roman" w:hAnsi="Times New Roman"/>
                <w:iCs/>
                <w:sz w:val="20"/>
                <w:szCs w:val="20"/>
                <w:lang w:val="ro-RO" w:eastAsia="ru-RU"/>
              </w:rPr>
              <w:t>(c) instrumentele emise de o instituție terță sau de o firmă de investiții, care urmează să fie răscumpărate de către respectiva instituție sau de către respectiva firmă de investiții la cerere.</w:t>
            </w:r>
          </w:p>
        </w:tc>
        <w:tc>
          <w:tcPr>
            <w:tcW w:w="1636" w:type="pct"/>
            <w:shd w:val="clear" w:color="auto" w:fill="auto"/>
          </w:tcPr>
          <w:p w14:paraId="2520EC2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Secțiunea a 5-a. Alte tipuri de protecție finanțată a creditului</w:t>
            </w:r>
          </w:p>
          <w:p w14:paraId="445B2E35" w14:textId="77777777" w:rsidR="00056611" w:rsidRPr="00E8164A" w:rsidRDefault="00D62F3C" w:rsidP="00056611">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056611">
              <w:rPr>
                <w:rFonts w:ascii="Times New Roman" w:hAnsi="Times New Roman"/>
                <w:b/>
                <w:bCs/>
                <w:sz w:val="20"/>
                <w:szCs w:val="20"/>
                <w:lang w:val="ro-RO" w:eastAsia="ru-RU"/>
              </w:rPr>
              <w:t>35.</w:t>
            </w:r>
            <w:r w:rsidRPr="002C32BA">
              <w:rPr>
                <w:rFonts w:ascii="Times New Roman" w:hAnsi="Times New Roman"/>
                <w:sz w:val="20"/>
                <w:szCs w:val="20"/>
                <w:lang w:val="ro-RO" w:eastAsia="ru-RU"/>
              </w:rPr>
              <w:t xml:space="preserve"> </w:t>
            </w:r>
            <w:r w:rsidR="00056611" w:rsidRPr="00E8164A">
              <w:rPr>
                <w:rFonts w:ascii="Times New Roman" w:eastAsia="Times New Roman" w:hAnsi="Times New Roman" w:cs="Times New Roman"/>
                <w:color w:val="000000" w:themeColor="text1"/>
                <w:sz w:val="20"/>
                <w:szCs w:val="20"/>
                <w:lang w:val="ro-RO" w:eastAsia="ro-MD"/>
              </w:rPr>
              <w:t>Băncile pot utiliza următoarele alte tipuri de protecție finanțată a creditului drept garanții reale eligibile:</w:t>
            </w:r>
          </w:p>
          <w:p w14:paraId="79087759" w14:textId="2DAFC0ED" w:rsidR="00056611" w:rsidRPr="00E8164A" w:rsidRDefault="00056611" w:rsidP="00056611">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1) mijloacele bănești sub formă de depozit constituit la o bancă terță sau instrumentele asimilate mijloacelor bănești deținute de respectiva bancă terță, cu condiția că mijloacele bănești/instrumentele respective sunt constituite/deținute </w:t>
            </w:r>
            <w:r w:rsidRPr="00E8164A">
              <w:rPr>
                <w:rFonts w:ascii="Times New Roman" w:eastAsia="Times New Roman" w:hAnsi="Times New Roman" w:cs="Times New Roman"/>
                <w:color w:val="000000" w:themeColor="text1"/>
                <w:sz w:val="20"/>
                <w:szCs w:val="20"/>
                <w:lang w:val="ro-RO" w:eastAsia="ro-MD"/>
              </w:rPr>
              <w:lastRenderedPageBreak/>
              <w:t>în alt regim decât cel de custodie și sunt gajate în favoarea băncii creditoare;</w:t>
            </w:r>
            <w:r w:rsidRPr="00056611">
              <w:rPr>
                <w:rFonts w:ascii="Times New Roman" w:eastAsia="Times New Roman" w:hAnsi="Times New Roman" w:cs="Times New Roman"/>
                <w:color w:val="000000" w:themeColor="text1"/>
                <w:sz w:val="20"/>
                <w:szCs w:val="20"/>
                <w:highlight w:val="lightGray"/>
                <w:lang w:val="ro-RO" w:eastAsia="ro-MD"/>
              </w:rPr>
              <w:t xml:space="preserve"> </w:t>
            </w:r>
          </w:p>
          <w:p w14:paraId="25971016" w14:textId="77777777" w:rsidR="00056611" w:rsidRDefault="00056611" w:rsidP="00056611">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w:t>
            </w:r>
            <w:r w:rsidRPr="00E8164A">
              <w:rPr>
                <w:color w:val="000000" w:themeColor="text1"/>
                <w:sz w:val="20"/>
                <w:szCs w:val="20"/>
              </w:rPr>
              <w:t xml:space="preserve"> </w:t>
            </w:r>
            <w:r w:rsidRPr="00E8164A">
              <w:rPr>
                <w:rFonts w:ascii="Times New Roman" w:eastAsia="Times New Roman" w:hAnsi="Times New Roman" w:cs="Times New Roman"/>
                <w:color w:val="000000" w:themeColor="text1"/>
                <w:sz w:val="20"/>
                <w:szCs w:val="20"/>
                <w:lang w:val="ro-RO" w:eastAsia="ro-MD"/>
              </w:rPr>
              <w:t>polițele de asigurare de viață gajate în favoarea băncii creditoare.</w:t>
            </w:r>
          </w:p>
          <w:p w14:paraId="54D79834" w14:textId="39CA6BD1" w:rsidR="00056611" w:rsidRPr="00E8164A" w:rsidRDefault="00056611" w:rsidP="00056611">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instrumentele emise de bănci terțe/societăți de investiții, care vor fi răscumpărate de aceste bănci/societăți la cerere;</w:t>
            </w:r>
            <w:r w:rsidRPr="00056611">
              <w:rPr>
                <w:rFonts w:ascii="Times New Roman" w:eastAsia="Times New Roman" w:hAnsi="Times New Roman" w:cs="Times New Roman"/>
                <w:color w:val="000000" w:themeColor="text1"/>
                <w:sz w:val="20"/>
                <w:szCs w:val="20"/>
                <w:highlight w:val="lightGray"/>
                <w:lang w:val="ro-RO" w:eastAsia="ro-MD"/>
              </w:rPr>
              <w:t xml:space="preserve"> </w:t>
            </w:r>
          </w:p>
          <w:p w14:paraId="00EDF9CE" w14:textId="6C196E4A" w:rsidR="00D62F3C" w:rsidRPr="002C32BA" w:rsidRDefault="00D62F3C" w:rsidP="00056611">
            <w:pPr>
              <w:pStyle w:val="CM4"/>
              <w:tabs>
                <w:tab w:val="left" w:pos="150"/>
              </w:tabs>
              <w:ind w:left="-36"/>
              <w:rPr>
                <w:rFonts w:ascii="Times New Roman" w:hAnsi="Times New Roman"/>
                <w:sz w:val="20"/>
                <w:szCs w:val="20"/>
                <w:lang w:val="ro-RO" w:eastAsia="ru-RU"/>
              </w:rPr>
            </w:pPr>
          </w:p>
        </w:tc>
        <w:tc>
          <w:tcPr>
            <w:tcW w:w="562" w:type="pct"/>
          </w:tcPr>
          <w:p w14:paraId="4494F28E" w14:textId="3FAD6AD1" w:rsidR="00D62F3C" w:rsidRPr="002C32BA" w:rsidRDefault="00056611"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61FCB711" w14:textId="4E221300"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7EA033A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98E8BB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Subsecțiunea 2</w:t>
            </w:r>
          </w:p>
          <w:p w14:paraId="7C9357F3" w14:textId="77777777" w:rsidR="00D62F3C" w:rsidRPr="002C32BA" w:rsidRDefault="00D62F3C" w:rsidP="00D62F3C">
            <w:pPr>
              <w:pStyle w:val="CM4"/>
              <w:tabs>
                <w:tab w:val="left" w:pos="150"/>
              </w:tabs>
              <w:ind w:left="-43"/>
              <w:jc w:val="both"/>
              <w:rPr>
                <w:rFonts w:ascii="Times New Roman" w:hAnsi="Times New Roman"/>
                <w:i/>
                <w:iCs/>
                <w:sz w:val="20"/>
                <w:szCs w:val="20"/>
                <w:lang w:val="ro-RO" w:eastAsia="ru-RU"/>
              </w:rPr>
            </w:pPr>
            <w:r w:rsidRPr="002C32BA">
              <w:rPr>
                <w:rFonts w:ascii="Times New Roman" w:hAnsi="Times New Roman"/>
                <w:b/>
                <w:iCs/>
                <w:sz w:val="20"/>
                <w:szCs w:val="20"/>
                <w:lang w:val="ro-RO" w:eastAsia="ru-RU"/>
              </w:rPr>
              <w:t>Protecția nefinanțată a creditului</w:t>
            </w:r>
          </w:p>
        </w:tc>
        <w:tc>
          <w:tcPr>
            <w:tcW w:w="1636" w:type="pct"/>
            <w:tcBorders>
              <w:top w:val="single" w:sz="4" w:space="0" w:color="auto"/>
              <w:bottom w:val="single" w:sz="4" w:space="0" w:color="auto"/>
            </w:tcBorders>
          </w:tcPr>
          <w:p w14:paraId="3BA20F5F"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5334805C" w14:textId="77777777" w:rsidR="00D62F3C" w:rsidRPr="002C32BA" w:rsidRDefault="00D62F3C" w:rsidP="00D62F3C">
            <w:pPr>
              <w:rPr>
                <w:rFonts w:ascii="Times New Roman" w:hAnsi="Times New Roman" w:cs="Times New Roman"/>
                <w:sz w:val="20"/>
                <w:szCs w:val="20"/>
                <w:lang w:val="ro-RO"/>
              </w:rPr>
            </w:pPr>
          </w:p>
        </w:tc>
        <w:tc>
          <w:tcPr>
            <w:tcW w:w="885" w:type="pct"/>
          </w:tcPr>
          <w:p w14:paraId="202D22E3" w14:textId="77777777" w:rsidR="00D62F3C" w:rsidRPr="002C32BA" w:rsidRDefault="00D62F3C" w:rsidP="00D62F3C">
            <w:pPr>
              <w:jc w:val="both"/>
              <w:rPr>
                <w:rFonts w:ascii="Times New Roman" w:hAnsi="Times New Roman" w:cs="Times New Roman"/>
                <w:sz w:val="20"/>
                <w:szCs w:val="20"/>
                <w:lang w:val="ro-RO"/>
              </w:rPr>
            </w:pPr>
          </w:p>
        </w:tc>
      </w:tr>
      <w:tr w:rsidR="00523CB3" w:rsidRPr="002C32BA" w14:paraId="57D3482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2EAA206" w14:textId="77777777" w:rsidR="00523CB3" w:rsidRPr="002C32BA" w:rsidRDefault="00523CB3" w:rsidP="00523CB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201</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Eligibilitatea furnizorilor de protecție în cadrul tuturor abordărilor</w:t>
            </w:r>
          </w:p>
          <w:p w14:paraId="5E56B2E5" w14:textId="77777777" w:rsidR="00523CB3" w:rsidRPr="002C32BA" w:rsidRDefault="00523CB3" w:rsidP="00523CB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Instituțiile pot recurge la următoarele părți în calitate de furnizori eligibili de protecție nefinanțată a creditului:</w:t>
            </w:r>
          </w:p>
          <w:p w14:paraId="3F19D88D" w14:textId="77777777" w:rsidR="00523CB3" w:rsidRPr="002C32BA" w:rsidRDefault="00523CB3" w:rsidP="00523CB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administrații centrale și bănci centrale;</w:t>
            </w:r>
          </w:p>
          <w:p w14:paraId="5D957F80" w14:textId="77777777" w:rsidR="00523CB3" w:rsidRPr="002C32BA" w:rsidRDefault="00523CB3" w:rsidP="00523CB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administrații regionale sau autorități locale;</w:t>
            </w:r>
          </w:p>
          <w:p w14:paraId="4B492904" w14:textId="77777777" w:rsidR="00523CB3" w:rsidRPr="002C32BA" w:rsidRDefault="00523CB3" w:rsidP="00523CB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bănci de dezvoltare multilaterală;</w:t>
            </w:r>
          </w:p>
          <w:p w14:paraId="6A946547" w14:textId="77777777" w:rsidR="00523CB3" w:rsidRPr="00493362" w:rsidRDefault="00523CB3" w:rsidP="00523CB3">
            <w:pPr>
              <w:pStyle w:val="CM4"/>
              <w:tabs>
                <w:tab w:val="left" w:pos="150"/>
              </w:tabs>
              <w:ind w:left="-43"/>
              <w:jc w:val="both"/>
              <w:rPr>
                <w:rFonts w:ascii="Times New Roman" w:hAnsi="Times New Roman"/>
                <w:iCs/>
                <w:sz w:val="20"/>
                <w:szCs w:val="20"/>
                <w:lang w:val="ro-RO" w:eastAsia="ru-RU"/>
              </w:rPr>
            </w:pPr>
            <w:r w:rsidRPr="00493362">
              <w:rPr>
                <w:rFonts w:ascii="Times New Roman" w:hAnsi="Times New Roman"/>
                <w:iCs/>
                <w:sz w:val="20"/>
                <w:szCs w:val="20"/>
                <w:lang w:val="ro-RO" w:eastAsia="ru-RU"/>
              </w:rPr>
              <w:t>▼M17</w:t>
            </w:r>
          </w:p>
          <w:p w14:paraId="25A8FC93" w14:textId="48F20E12" w:rsidR="00523CB3" w:rsidRPr="002C32BA" w:rsidRDefault="00523CB3" w:rsidP="00523CB3">
            <w:pPr>
              <w:pStyle w:val="CM4"/>
              <w:tabs>
                <w:tab w:val="left" w:pos="150"/>
              </w:tabs>
              <w:ind w:left="-43"/>
              <w:jc w:val="both"/>
              <w:rPr>
                <w:rFonts w:ascii="Times New Roman" w:hAnsi="Times New Roman"/>
                <w:iCs/>
                <w:sz w:val="20"/>
                <w:szCs w:val="20"/>
                <w:lang w:val="ro-RO" w:eastAsia="ru-RU"/>
              </w:rPr>
            </w:pPr>
            <w:r w:rsidRPr="00493362">
              <w:rPr>
                <w:rFonts w:ascii="Times New Roman" w:hAnsi="Times New Roman"/>
                <w:iCs/>
                <w:sz w:val="20"/>
                <w:szCs w:val="20"/>
                <w:lang w:val="ro-RO" w:eastAsia="ru-RU"/>
              </w:rPr>
              <w:t xml:space="preserve">(d) organizații internaționale cărora li se aplică o pondere de risc de 0 % în conformitate cu articolul 118; </w:t>
            </w:r>
            <w:r w:rsidRPr="002C32BA">
              <w:rPr>
                <w:rFonts w:ascii="Times New Roman" w:hAnsi="Times New Roman"/>
                <w:iCs/>
                <w:sz w:val="20"/>
                <w:szCs w:val="20"/>
                <w:lang w:val="ro-RO" w:eastAsia="ru-RU"/>
              </w:rPr>
              <w:t>(e) entități din sectorul public, în cazul în care creanțele față de acestea sunt tratate în conformitate cu articolul 116;</w:t>
            </w:r>
          </w:p>
          <w:p w14:paraId="78669D48" w14:textId="77777777" w:rsidR="00523CB3" w:rsidRPr="002C32BA" w:rsidRDefault="00523CB3" w:rsidP="00523CB3">
            <w:pPr>
              <w:pStyle w:val="CM4"/>
              <w:tabs>
                <w:tab w:val="left" w:pos="150"/>
              </w:tabs>
              <w:ind w:left="-43"/>
              <w:jc w:val="both"/>
              <w:rPr>
                <w:rFonts w:ascii="Times New Roman" w:hAnsi="Times New Roman"/>
                <w:sz w:val="20"/>
                <w:szCs w:val="20"/>
                <w:lang w:val="ro-RO"/>
              </w:rPr>
            </w:pPr>
            <w:r w:rsidRPr="002C32BA">
              <w:rPr>
                <w:rFonts w:ascii="Times New Roman" w:hAnsi="Times New Roman"/>
                <w:iCs/>
                <w:sz w:val="20"/>
                <w:szCs w:val="20"/>
                <w:lang w:val="ro-RO" w:eastAsia="ru-RU"/>
              </w:rPr>
              <w:t>(g) alte entități corporative, inclusiv întreprinderea-mamă, filialele și entitățile corporative afiliate instituției, dacă este îndeplinită una din condițiile următoare:</w:t>
            </w:r>
            <w:r w:rsidRPr="002C32BA">
              <w:rPr>
                <w:rFonts w:ascii="Times New Roman" w:hAnsi="Times New Roman"/>
                <w:sz w:val="20"/>
                <w:szCs w:val="20"/>
                <w:lang w:val="ro-RO"/>
              </w:rPr>
              <w:t xml:space="preserve"> </w:t>
            </w:r>
          </w:p>
          <w:p w14:paraId="13ACDE73" w14:textId="77777777" w:rsidR="00523CB3" w:rsidRPr="002C32BA" w:rsidRDefault="00523CB3" w:rsidP="00523CB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aceste alte entități corporative dispun de o evaluare a creditului efectuată de o ECAI;</w:t>
            </w:r>
          </w:p>
          <w:p w14:paraId="69DEAF07" w14:textId="77777777" w:rsidR="00523CB3" w:rsidRPr="002C32BA" w:rsidRDefault="00523CB3" w:rsidP="00523CB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în cazul instituțiilor care calculează cuantumurile ponderate la risc ale expunerilor și cuantumurile pierderilor așteptate conform abordării IRB, aceste alte entități corporative nu dispun de o evaluare a creditului efectuată de o ECAI recunoscută și sunt evaluate intern de către instituție.</w:t>
            </w:r>
          </w:p>
          <w:p w14:paraId="18E6044D" w14:textId="7EEB1800" w:rsidR="00523CB3" w:rsidRPr="002C32BA" w:rsidRDefault="00523CB3" w:rsidP="00523CB3">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4B3FB39F" w14:textId="77777777" w:rsidR="00523CB3" w:rsidRPr="002C32BA" w:rsidRDefault="00523CB3" w:rsidP="00523CB3">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Capitolul IV. Protecția nefinanțată a creditului</w:t>
            </w:r>
          </w:p>
          <w:p w14:paraId="65DAB6B2" w14:textId="77777777" w:rsidR="00523CB3" w:rsidRPr="002C32BA" w:rsidRDefault="00523CB3" w:rsidP="00523CB3">
            <w:pPr>
              <w:pStyle w:val="CM4"/>
              <w:tabs>
                <w:tab w:val="left" w:pos="150"/>
              </w:tabs>
              <w:ind w:left="-36"/>
              <w:rPr>
                <w:rFonts w:ascii="Times New Roman" w:hAnsi="Times New Roman"/>
                <w:sz w:val="20"/>
                <w:szCs w:val="20"/>
                <w:lang w:val="ro-RO" w:eastAsia="ru-RU"/>
              </w:rPr>
            </w:pPr>
          </w:p>
          <w:p w14:paraId="129FC600" w14:textId="77777777" w:rsidR="00523CB3" w:rsidRPr="002C32BA" w:rsidRDefault="00523CB3" w:rsidP="00523CB3">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36. Băncile pot recurge la următoarele părți în calitate de furnizori eligibili de protecție nefinanțată a creditului: </w:t>
            </w:r>
          </w:p>
          <w:p w14:paraId="167BA0BB" w14:textId="77777777" w:rsidR="00523CB3" w:rsidRPr="002C32BA" w:rsidRDefault="00523CB3" w:rsidP="00523CB3">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administrații centrale și bănci centrale, administrații regionale sau autorități locale, bănci de dezvoltare multilaterală, organizații internaționale, dacă expunerilor față de acestea se atribuie o pondere de risc de 0% în temeiul actului normativ al Băncii Naționale a Moldovei aferent tratamentului riscului de credit pentru bănci potrivit abordării standardizate; </w:t>
            </w:r>
          </w:p>
          <w:p w14:paraId="1FD1D84A" w14:textId="77777777" w:rsidR="00523CB3" w:rsidRPr="002C32BA" w:rsidRDefault="00523CB3" w:rsidP="00523CB3">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entități din sectorul public, tratate în conformitate cu actul normativ al Băncii Naționale a Moldovei aferent tratamentului riscului de credit pentru bănci potrivit abordării standardizate; </w:t>
            </w:r>
          </w:p>
          <w:p w14:paraId="506344C1" w14:textId="1583DE12" w:rsidR="00523CB3" w:rsidRPr="002C32BA" w:rsidRDefault="00523CB3" w:rsidP="00523CB3">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p>
          <w:p w14:paraId="5332CF9C" w14:textId="0D8E637A" w:rsidR="00523CB3" w:rsidRPr="002C32BA" w:rsidRDefault="00523CB3" w:rsidP="00523CB3">
            <w:pPr>
              <w:pStyle w:val="CM4"/>
              <w:tabs>
                <w:tab w:val="left" w:pos="150"/>
              </w:tabs>
              <w:ind w:left="-36"/>
              <w:rPr>
                <w:rFonts w:ascii="Times New Roman" w:hAnsi="Times New Roman"/>
                <w:sz w:val="20"/>
                <w:szCs w:val="20"/>
                <w:lang w:val="ro-RO" w:eastAsia="ru-RU"/>
              </w:rPr>
            </w:pPr>
          </w:p>
        </w:tc>
        <w:tc>
          <w:tcPr>
            <w:tcW w:w="562" w:type="pct"/>
          </w:tcPr>
          <w:p w14:paraId="5F536DE2" w14:textId="1E94B2B2" w:rsidR="00523CB3" w:rsidRPr="002C32BA" w:rsidRDefault="00523CB3" w:rsidP="00523CB3">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314C512F" w14:textId="68DDF7D8" w:rsidR="00523CB3" w:rsidRPr="002C32BA" w:rsidRDefault="00523CB3" w:rsidP="00523CB3">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493362" w:rsidRPr="002C32BA" w14:paraId="2EDF71A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7D771C77" w14:textId="151D595E" w:rsidR="00493362" w:rsidRPr="00523CB3" w:rsidRDefault="00493362" w:rsidP="00523CB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(f) instituții și instituții financiare pentru care expunerile față de instituția financiară sunt tratate ca expuneri față de instituții, în conformitate cu articolul 119 alineatul (5);</w:t>
            </w:r>
          </w:p>
        </w:tc>
        <w:tc>
          <w:tcPr>
            <w:tcW w:w="1636" w:type="pct"/>
            <w:shd w:val="clear" w:color="auto" w:fill="auto"/>
          </w:tcPr>
          <w:p w14:paraId="1833673F" w14:textId="77777777" w:rsidR="00493362" w:rsidRDefault="00493362" w:rsidP="00D62F3C">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 xml:space="preserve">3) bănci și societăți financiare </w:t>
            </w:r>
            <w:proofErr w:type="spellStart"/>
            <w:r w:rsidRPr="00E8164A">
              <w:rPr>
                <w:rFonts w:ascii="Times New Roman" w:hAnsi="Times New Roman"/>
                <w:color w:val="000000" w:themeColor="text1"/>
                <w:sz w:val="20"/>
                <w:szCs w:val="20"/>
                <w:lang w:val="ro-RO" w:eastAsia="ro-MD"/>
              </w:rPr>
              <w:t>nonbancare</w:t>
            </w:r>
            <w:proofErr w:type="spellEnd"/>
            <w:r w:rsidRPr="00E8164A">
              <w:rPr>
                <w:rFonts w:ascii="Times New Roman" w:hAnsi="Times New Roman"/>
                <w:color w:val="000000" w:themeColor="text1"/>
                <w:sz w:val="20"/>
                <w:szCs w:val="20"/>
                <w:lang w:val="ro-RO" w:eastAsia="ro-MD"/>
              </w:rPr>
              <w:t xml:space="preserve"> care sunt tratate ca expuneri față de bănci, în conformitate cu Regulamentul nr.111/2018;</w:t>
            </w:r>
          </w:p>
          <w:p w14:paraId="5D8C063A" w14:textId="64B0E59D" w:rsidR="00EE14AB" w:rsidRPr="00EE14AB" w:rsidRDefault="00EE14AB" w:rsidP="00EE14AB">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5FD7C8CB" w14:textId="77777777" w:rsidR="00493362" w:rsidRPr="002C32BA" w:rsidRDefault="00493362" w:rsidP="00D62F3C">
            <w:pPr>
              <w:rPr>
                <w:rFonts w:ascii="Times New Roman" w:hAnsi="Times New Roman" w:cs="Times New Roman"/>
                <w:sz w:val="20"/>
                <w:szCs w:val="20"/>
                <w:lang w:val="ro-RO"/>
              </w:rPr>
            </w:pPr>
          </w:p>
        </w:tc>
        <w:tc>
          <w:tcPr>
            <w:tcW w:w="885" w:type="pct"/>
          </w:tcPr>
          <w:p w14:paraId="743EF8E5" w14:textId="77777777" w:rsidR="00493362" w:rsidRDefault="00493362" w:rsidP="00D62F3C">
            <w:pPr>
              <w:jc w:val="both"/>
              <w:rPr>
                <w:rFonts w:ascii="Times New Roman" w:hAnsi="Times New Roman" w:cs="Times New Roman"/>
                <w:sz w:val="20"/>
                <w:szCs w:val="20"/>
                <w:lang w:val="ro-RO"/>
              </w:rPr>
            </w:pPr>
          </w:p>
        </w:tc>
      </w:tr>
      <w:tr w:rsidR="00493362" w:rsidRPr="002C32BA" w14:paraId="3B9A1F5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A1DBE4A" w14:textId="77777777" w:rsidR="00493362" w:rsidRPr="00493362" w:rsidRDefault="00493362" w:rsidP="00493362">
            <w:pPr>
              <w:pStyle w:val="CM4"/>
              <w:tabs>
                <w:tab w:val="left" w:pos="150"/>
              </w:tabs>
              <w:ind w:left="-43"/>
              <w:jc w:val="both"/>
              <w:rPr>
                <w:rFonts w:ascii="Times New Roman" w:hAnsi="Times New Roman"/>
                <w:sz w:val="20"/>
                <w:szCs w:val="20"/>
                <w:lang w:val="ro-RO" w:eastAsia="ru-RU"/>
              </w:rPr>
            </w:pPr>
            <w:r w:rsidRPr="00493362">
              <w:rPr>
                <w:rFonts w:ascii="Times New Roman" w:hAnsi="Times New Roman"/>
                <w:sz w:val="20"/>
                <w:szCs w:val="20"/>
                <w:lang w:val="ro-RO" w:eastAsia="ru-RU"/>
              </w:rPr>
              <w:t>▼M17</w:t>
            </w:r>
          </w:p>
          <w:p w14:paraId="2219F66D" w14:textId="77777777" w:rsidR="00493362" w:rsidRPr="00493362" w:rsidRDefault="00493362" w:rsidP="00493362">
            <w:pPr>
              <w:pStyle w:val="CM4"/>
              <w:tabs>
                <w:tab w:val="left" w:pos="150"/>
              </w:tabs>
              <w:ind w:left="-43"/>
              <w:jc w:val="both"/>
              <w:rPr>
                <w:rFonts w:ascii="Times New Roman" w:hAnsi="Times New Roman"/>
                <w:sz w:val="20"/>
                <w:szCs w:val="20"/>
                <w:lang w:val="ro-RO" w:eastAsia="ru-RU"/>
              </w:rPr>
            </w:pPr>
          </w:p>
          <w:p w14:paraId="253FAE6E" w14:textId="77777777" w:rsidR="00493362" w:rsidRDefault="00493362" w:rsidP="00493362">
            <w:pPr>
              <w:pStyle w:val="CM4"/>
              <w:tabs>
                <w:tab w:val="left" w:pos="150"/>
              </w:tabs>
              <w:ind w:left="-43"/>
              <w:jc w:val="both"/>
              <w:rPr>
                <w:rFonts w:ascii="Times New Roman" w:hAnsi="Times New Roman"/>
                <w:sz w:val="20"/>
                <w:szCs w:val="20"/>
                <w:lang w:val="ro-RO" w:eastAsia="ru-RU"/>
              </w:rPr>
            </w:pPr>
            <w:r w:rsidRPr="00493362">
              <w:rPr>
                <w:rFonts w:ascii="Times New Roman" w:hAnsi="Times New Roman"/>
                <w:sz w:val="20"/>
                <w:szCs w:val="20"/>
                <w:lang w:val="ro-RO" w:eastAsia="ru-RU"/>
              </w:rPr>
              <w:t>(fa) entități reglementate din sectorul financiar;</w:t>
            </w:r>
          </w:p>
          <w:p w14:paraId="509A89A9" w14:textId="77777777" w:rsidR="00FA29CF" w:rsidRPr="00FA29CF" w:rsidRDefault="00FA29CF" w:rsidP="00FA29CF">
            <w:pPr>
              <w:rPr>
                <w:lang w:val="ro-RO" w:eastAsia="ru-RU"/>
              </w:rPr>
            </w:pPr>
          </w:p>
          <w:p w14:paraId="5414E717" w14:textId="77777777" w:rsidR="00493362" w:rsidRPr="00493362" w:rsidRDefault="00493362" w:rsidP="00493362">
            <w:pPr>
              <w:rPr>
                <w:rFonts w:ascii="Times New Roman" w:eastAsia="Times New Roman" w:hAnsi="Times New Roman" w:cs="Times New Roman"/>
                <w:sz w:val="20"/>
                <w:szCs w:val="20"/>
                <w:lang w:val="ro-RO" w:eastAsia="ru-RU"/>
              </w:rPr>
            </w:pPr>
            <w:r w:rsidRPr="00493362">
              <w:rPr>
                <w:rFonts w:ascii="Times New Roman" w:eastAsia="Times New Roman" w:hAnsi="Times New Roman" w:cs="Times New Roman"/>
                <w:sz w:val="20"/>
                <w:szCs w:val="20"/>
                <w:lang w:val="ro-RO" w:eastAsia="ru-RU"/>
              </w:rPr>
              <w:t>▼M17</w:t>
            </w:r>
          </w:p>
          <w:p w14:paraId="0A41C2DC" w14:textId="25B83C4C" w:rsidR="00493362" w:rsidRPr="00493362" w:rsidRDefault="00493362" w:rsidP="00493362">
            <w:pPr>
              <w:rPr>
                <w:lang w:eastAsia="ru-RU"/>
              </w:rPr>
            </w:pPr>
            <w:r w:rsidRPr="00493362">
              <w:rPr>
                <w:rFonts w:ascii="Times New Roman" w:eastAsia="Times New Roman" w:hAnsi="Times New Roman" w:cs="Times New Roman"/>
                <w:sz w:val="20"/>
                <w:szCs w:val="20"/>
                <w:lang w:val="ro-RO" w:eastAsia="ru-RU"/>
              </w:rPr>
              <w:t>În sensul primului paragraf litera (fa) de la prezentul articol, „entitate reglementată din sectorul financiar” înseamnă o entitate din sectorul financiar care îndeplinește condiția prevăzută la articolul 142 alineatul (1) punctul 4 litera (b).</w:t>
            </w:r>
          </w:p>
        </w:tc>
        <w:tc>
          <w:tcPr>
            <w:tcW w:w="1636" w:type="pct"/>
            <w:shd w:val="clear" w:color="auto" w:fill="auto"/>
          </w:tcPr>
          <w:p w14:paraId="490EB1F4" w14:textId="77777777" w:rsidR="00493362" w:rsidRDefault="00493362" w:rsidP="00493362">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4) entități reglementate din sectorul financiar, reprezentate de entități care fac obiectul unor cerințe prudențiale, în mod direct pe bază individuală sau consolidată sau indirect pe baza consolidării prudențiale a întreprinderii-mamă, în conformitate cu cadrul prudențial aferent băncilor, societăților de investiții și asigurătorilor/</w:t>
            </w:r>
            <w:proofErr w:type="spellStart"/>
            <w:r w:rsidRPr="00E8164A">
              <w:rPr>
                <w:rFonts w:ascii="Times New Roman" w:hAnsi="Times New Roman"/>
                <w:color w:val="000000" w:themeColor="text1"/>
                <w:sz w:val="20"/>
                <w:szCs w:val="20"/>
                <w:lang w:val="ro-RO" w:eastAsia="ro-MD"/>
              </w:rPr>
              <w:t>reasigurătorilor</w:t>
            </w:r>
            <w:proofErr w:type="spellEnd"/>
            <w:r w:rsidRPr="00E8164A">
              <w:rPr>
                <w:rFonts w:ascii="Times New Roman" w:hAnsi="Times New Roman"/>
                <w:color w:val="000000" w:themeColor="text1"/>
                <w:sz w:val="20"/>
                <w:szCs w:val="20"/>
                <w:lang w:val="ro-RO" w:eastAsia="ro-MD"/>
              </w:rPr>
              <w:t>, sau al cerințelor prudențiale legale ale unei țări terțe care sunt cel puțin echivalente cu cele aplicate în Republica Moldova conform anexei nr.5 la Regulamentul nr.111/2018;</w:t>
            </w:r>
          </w:p>
          <w:p w14:paraId="17DD289F" w14:textId="652BFB69" w:rsidR="00EE14AB" w:rsidRPr="00EE14AB" w:rsidRDefault="00EE14AB" w:rsidP="00EE14AB">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1A6C262B" w14:textId="4E3D53FB" w:rsidR="00493362" w:rsidRPr="002C32BA" w:rsidRDefault="00493362" w:rsidP="00493362">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2010142" w14:textId="21CBB45A" w:rsidR="00493362" w:rsidRDefault="00493362" w:rsidP="00493362">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197961" w:rsidRPr="002C32BA" w14:paraId="47DDACD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B7D3ED9" w14:textId="77777777" w:rsidR="00197961" w:rsidRPr="00197961" w:rsidRDefault="00197961" w:rsidP="00197961">
            <w:pPr>
              <w:pStyle w:val="CM4"/>
              <w:tabs>
                <w:tab w:val="left" w:pos="150"/>
              </w:tabs>
              <w:ind w:left="-43"/>
              <w:jc w:val="both"/>
              <w:rPr>
                <w:rFonts w:ascii="Times New Roman" w:hAnsi="Times New Roman"/>
                <w:sz w:val="20"/>
                <w:szCs w:val="20"/>
                <w:lang w:val="ro-RO" w:eastAsia="ru-RU"/>
              </w:rPr>
            </w:pPr>
            <w:r w:rsidRPr="00197961">
              <w:rPr>
                <w:rFonts w:ascii="Times New Roman" w:hAnsi="Times New Roman"/>
                <w:sz w:val="20"/>
                <w:szCs w:val="20"/>
                <w:lang w:val="ro-RO" w:eastAsia="ru-RU"/>
              </w:rPr>
              <w:t>▼M17</w:t>
            </w:r>
          </w:p>
          <w:p w14:paraId="0390B636" w14:textId="654E3B79" w:rsidR="00197961" w:rsidRPr="00493362" w:rsidRDefault="00197961" w:rsidP="00197961">
            <w:pPr>
              <w:pStyle w:val="CM4"/>
              <w:tabs>
                <w:tab w:val="left" w:pos="150"/>
              </w:tabs>
              <w:ind w:left="-43"/>
              <w:jc w:val="both"/>
              <w:rPr>
                <w:rFonts w:ascii="Times New Roman" w:hAnsi="Times New Roman"/>
                <w:sz w:val="20"/>
                <w:szCs w:val="20"/>
                <w:lang w:val="ro-RO" w:eastAsia="ru-RU"/>
              </w:rPr>
            </w:pPr>
            <w:r w:rsidRPr="00197961">
              <w:rPr>
                <w:rFonts w:ascii="Times New Roman" w:hAnsi="Times New Roman"/>
                <w:sz w:val="20"/>
                <w:szCs w:val="20"/>
                <w:lang w:val="ro-RO" w:eastAsia="ru-RU"/>
              </w:rPr>
              <w:t>(g) în cazul în care protecția creditului nu este furnizată pentru o expunere din securitizare, alte întreprinderi, care au o evaluare de credit efectuată de o ECAI desemnată, inclusiv întreprinderi-mamă, filiale sau entități afiliate debitorului, în cazul în care o expunere directă a întreprinderilor-mamă, a filialelor sau a entităților afiliate respective are o pondere de risc mai mică decât expunerea față de debitor;</w:t>
            </w:r>
          </w:p>
        </w:tc>
        <w:tc>
          <w:tcPr>
            <w:tcW w:w="1636" w:type="pct"/>
            <w:shd w:val="clear" w:color="auto" w:fill="auto"/>
          </w:tcPr>
          <w:p w14:paraId="148C2F69" w14:textId="77777777" w:rsidR="00197961" w:rsidRDefault="00197961" w:rsidP="00197961">
            <w:pPr>
              <w:pStyle w:val="CM4"/>
              <w:tabs>
                <w:tab w:val="left" w:pos="150"/>
              </w:tabs>
              <w:ind w:left="-36"/>
              <w:rPr>
                <w:rFonts w:ascii="Times New Roman" w:hAnsi="Times New Roman"/>
                <w:color w:val="000000" w:themeColor="text1"/>
                <w:sz w:val="20"/>
                <w:szCs w:val="20"/>
                <w:lang w:val="ro-RO" w:eastAsia="ro-MD"/>
              </w:rPr>
            </w:pPr>
            <w:r w:rsidRPr="00197961">
              <w:rPr>
                <w:rFonts w:ascii="Times New Roman" w:hAnsi="Times New Roman"/>
                <w:color w:val="000000" w:themeColor="text1"/>
                <w:sz w:val="20"/>
                <w:szCs w:val="20"/>
                <w:lang w:val="ro-RO" w:eastAsia="ro-MD"/>
              </w:rPr>
              <w:t>6) în cazul în care protecția creditului nu este furnizată pentru o expunere din securitizare, alte întreprinderi, care au o evaluare de credit efectuată de o ECAI desemnată, inclusiv întreprinderi-mamă, filiale sau entități afiliate debitorului, în cazul în care o expunere directă a întreprinderilor-mamă, a filialelor sau a entităților afiliate respective are o pondere de risc mai mică decât expunerea față de debitor.</w:t>
            </w:r>
          </w:p>
          <w:p w14:paraId="61AAF647" w14:textId="6116775F" w:rsidR="00197961" w:rsidRPr="00197961" w:rsidRDefault="00197961" w:rsidP="00197961">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76B6F8A0" w14:textId="42670346" w:rsidR="00197961" w:rsidRPr="002C32BA" w:rsidRDefault="00197961" w:rsidP="00197961">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46D1579" w14:textId="04F56FEC" w:rsidR="00197961" w:rsidRDefault="00197961" w:rsidP="00197961">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493362" w:rsidRPr="002C32BA" w14:paraId="7FD7CFE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53E24AE" w14:textId="77777777" w:rsidR="00493362" w:rsidRPr="00493362" w:rsidRDefault="00493362" w:rsidP="00493362">
            <w:pPr>
              <w:pStyle w:val="CM4"/>
              <w:tabs>
                <w:tab w:val="left" w:pos="150"/>
              </w:tabs>
              <w:ind w:left="-43"/>
              <w:jc w:val="both"/>
              <w:rPr>
                <w:rFonts w:ascii="Times New Roman" w:hAnsi="Times New Roman"/>
                <w:sz w:val="20"/>
                <w:szCs w:val="20"/>
                <w:lang w:val="ro-RO" w:eastAsia="ru-RU"/>
              </w:rPr>
            </w:pPr>
            <w:r w:rsidRPr="00493362">
              <w:rPr>
                <w:rFonts w:ascii="Times New Roman" w:hAnsi="Times New Roman"/>
                <w:sz w:val="20"/>
                <w:szCs w:val="20"/>
                <w:lang w:val="ro-RO" w:eastAsia="ru-RU"/>
              </w:rPr>
              <w:lastRenderedPageBreak/>
              <w:t>▼M8</w:t>
            </w:r>
          </w:p>
          <w:p w14:paraId="21F25113" w14:textId="1FDF280C" w:rsidR="00493362" w:rsidRPr="00493362" w:rsidRDefault="00493362" w:rsidP="00493362">
            <w:pPr>
              <w:pStyle w:val="CM4"/>
              <w:tabs>
                <w:tab w:val="left" w:pos="150"/>
              </w:tabs>
              <w:ind w:left="-43"/>
              <w:jc w:val="both"/>
              <w:rPr>
                <w:rFonts w:ascii="Times New Roman" w:hAnsi="Times New Roman"/>
                <w:sz w:val="20"/>
                <w:szCs w:val="20"/>
                <w:lang w:val="ro-RO" w:eastAsia="ru-RU"/>
              </w:rPr>
            </w:pPr>
            <w:r w:rsidRPr="00493362">
              <w:rPr>
                <w:rFonts w:ascii="Times New Roman" w:hAnsi="Times New Roman"/>
                <w:sz w:val="20"/>
                <w:szCs w:val="20"/>
                <w:lang w:val="ro-RO" w:eastAsia="ru-RU"/>
              </w:rPr>
              <w:t xml:space="preserve">(h) </w:t>
            </w:r>
            <w:proofErr w:type="spellStart"/>
            <w:r w:rsidRPr="00493362">
              <w:rPr>
                <w:rFonts w:ascii="Times New Roman" w:hAnsi="Times New Roman"/>
                <w:sz w:val="20"/>
                <w:szCs w:val="20"/>
                <w:lang w:val="ro-RO" w:eastAsia="ru-RU"/>
              </w:rPr>
              <w:t>contrapărți</w:t>
            </w:r>
            <w:proofErr w:type="spellEnd"/>
            <w:r w:rsidRPr="00493362">
              <w:rPr>
                <w:rFonts w:ascii="Times New Roman" w:hAnsi="Times New Roman"/>
                <w:sz w:val="20"/>
                <w:szCs w:val="20"/>
                <w:lang w:val="ro-RO" w:eastAsia="ru-RU"/>
              </w:rPr>
              <w:t xml:space="preserve"> centrale calificate.</w:t>
            </w:r>
          </w:p>
        </w:tc>
        <w:tc>
          <w:tcPr>
            <w:tcW w:w="1636" w:type="pct"/>
            <w:shd w:val="clear" w:color="auto" w:fill="auto"/>
          </w:tcPr>
          <w:p w14:paraId="681D1014" w14:textId="235B0B73" w:rsidR="00493362" w:rsidRPr="002C32BA" w:rsidRDefault="00493362" w:rsidP="00493362">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5) </w:t>
            </w:r>
            <w:proofErr w:type="spellStart"/>
            <w:r w:rsidRPr="002C32BA">
              <w:rPr>
                <w:rFonts w:ascii="Times New Roman" w:hAnsi="Times New Roman"/>
                <w:sz w:val="20"/>
                <w:szCs w:val="20"/>
                <w:lang w:val="ro-RO" w:eastAsia="ru-RU"/>
              </w:rPr>
              <w:t>contrapărțile</w:t>
            </w:r>
            <w:proofErr w:type="spellEnd"/>
            <w:r w:rsidRPr="002C32BA">
              <w:rPr>
                <w:rFonts w:ascii="Times New Roman" w:hAnsi="Times New Roman"/>
                <w:sz w:val="20"/>
                <w:szCs w:val="20"/>
                <w:lang w:val="ro-RO" w:eastAsia="ru-RU"/>
              </w:rPr>
              <w:t xml:space="preserve"> centrale</w:t>
            </w:r>
            <w:r w:rsidRPr="00E8164A">
              <w:rPr>
                <w:rFonts w:ascii="Times New Roman" w:hAnsi="Times New Roman"/>
                <w:color w:val="000000" w:themeColor="text1"/>
                <w:sz w:val="20"/>
                <w:szCs w:val="20"/>
                <w:lang w:val="ro-RO" w:eastAsia="ro-MD"/>
              </w:rPr>
              <w:t xml:space="preserve"> calificate</w:t>
            </w:r>
            <w:r w:rsidRPr="002C32BA">
              <w:rPr>
                <w:rFonts w:ascii="Times New Roman" w:hAnsi="Times New Roman"/>
                <w:sz w:val="20"/>
                <w:szCs w:val="20"/>
                <w:lang w:val="ro-RO" w:eastAsia="ru-RU"/>
              </w:rPr>
              <w:t xml:space="preserve"> (CPC</w:t>
            </w:r>
            <w:r>
              <w:rPr>
                <w:rFonts w:ascii="Times New Roman" w:hAnsi="Times New Roman"/>
                <w:sz w:val="20"/>
                <w:szCs w:val="20"/>
                <w:lang w:val="ro-RO" w:eastAsia="ru-RU"/>
              </w:rPr>
              <w:t>C</w:t>
            </w:r>
            <w:r w:rsidRPr="002C32BA">
              <w:rPr>
                <w:rFonts w:ascii="Times New Roman" w:hAnsi="Times New Roman"/>
                <w:sz w:val="20"/>
                <w:szCs w:val="20"/>
                <w:lang w:val="ro-RO" w:eastAsia="ru-RU"/>
              </w:rPr>
              <w:t>).</w:t>
            </w:r>
          </w:p>
        </w:tc>
        <w:tc>
          <w:tcPr>
            <w:tcW w:w="562" w:type="pct"/>
          </w:tcPr>
          <w:p w14:paraId="3DFEC8BA" w14:textId="512521E1" w:rsidR="00493362" w:rsidRPr="002C32BA" w:rsidRDefault="00493362" w:rsidP="00493362">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2674BE7" w14:textId="1891A210" w:rsidR="00493362" w:rsidRDefault="00493362" w:rsidP="00493362">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BB3E0B" w:rsidRPr="002C32BA" w14:paraId="549C47A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7F2B9FCF" w14:textId="77777777" w:rsidR="00BB3E0B" w:rsidRPr="00BB3E0B" w:rsidRDefault="00BB3E0B" w:rsidP="00BB3E0B">
            <w:pPr>
              <w:pStyle w:val="CM4"/>
              <w:tabs>
                <w:tab w:val="left" w:pos="150"/>
              </w:tabs>
              <w:ind w:left="-43"/>
              <w:jc w:val="both"/>
              <w:rPr>
                <w:rFonts w:ascii="Times New Roman" w:hAnsi="Times New Roman"/>
                <w:iCs/>
                <w:sz w:val="20"/>
                <w:szCs w:val="20"/>
                <w:lang w:eastAsia="ru-RU"/>
              </w:rPr>
            </w:pPr>
            <w:r w:rsidRPr="00BB3E0B">
              <w:rPr>
                <w:rFonts w:ascii="Times New Roman" w:hAnsi="Times New Roman"/>
                <w:iCs/>
                <w:sz w:val="20"/>
                <w:szCs w:val="20"/>
                <w:lang w:eastAsia="ru-RU"/>
              </w:rPr>
              <w:t>▼M17</w:t>
            </w:r>
          </w:p>
          <w:p w14:paraId="7E0DD9D0" w14:textId="2E5BCD1E" w:rsidR="00BB3E0B" w:rsidRPr="00BB3E0B" w:rsidRDefault="00BB3E0B" w:rsidP="00BB3E0B">
            <w:pPr>
              <w:pStyle w:val="CM4"/>
              <w:tabs>
                <w:tab w:val="left" w:pos="150"/>
              </w:tabs>
              <w:ind w:left="-43"/>
              <w:jc w:val="both"/>
              <w:rPr>
                <w:rFonts w:ascii="Times New Roman" w:hAnsi="Times New Roman"/>
                <w:iCs/>
                <w:sz w:val="20"/>
                <w:szCs w:val="20"/>
                <w:lang w:eastAsia="ru-RU"/>
              </w:rPr>
            </w:pPr>
            <w:r w:rsidRPr="00BB3E0B">
              <w:rPr>
                <w:rFonts w:ascii="Times New Roman" w:hAnsi="Times New Roman"/>
                <w:iCs/>
                <w:sz w:val="20"/>
                <w:szCs w:val="20"/>
                <w:lang w:eastAsia="ru-RU"/>
              </w:rPr>
              <w:t xml:space="preserve">(2)   Pe </w:t>
            </w:r>
            <w:proofErr w:type="spellStart"/>
            <w:r w:rsidRPr="00BB3E0B">
              <w:rPr>
                <w:rFonts w:ascii="Times New Roman" w:hAnsi="Times New Roman"/>
                <w:iCs/>
                <w:sz w:val="20"/>
                <w:szCs w:val="20"/>
                <w:lang w:eastAsia="ru-RU"/>
              </w:rPr>
              <w:t>lângă</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furnizorii</w:t>
            </w:r>
            <w:proofErr w:type="spellEnd"/>
            <w:r w:rsidRPr="00BB3E0B">
              <w:rPr>
                <w:rFonts w:ascii="Times New Roman" w:hAnsi="Times New Roman"/>
                <w:iCs/>
                <w:sz w:val="20"/>
                <w:szCs w:val="20"/>
                <w:lang w:eastAsia="ru-RU"/>
              </w:rPr>
              <w:t xml:space="preserve"> de </w:t>
            </w:r>
            <w:proofErr w:type="spellStart"/>
            <w:r w:rsidRPr="00BB3E0B">
              <w:rPr>
                <w:rFonts w:ascii="Times New Roman" w:hAnsi="Times New Roman"/>
                <w:iCs/>
                <w:sz w:val="20"/>
                <w:szCs w:val="20"/>
                <w:lang w:eastAsia="ru-RU"/>
              </w:rPr>
              <w:t>protecție</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enumerați</w:t>
            </w:r>
            <w:proofErr w:type="spellEnd"/>
            <w:r w:rsidRPr="00BB3E0B">
              <w:rPr>
                <w:rFonts w:ascii="Times New Roman" w:hAnsi="Times New Roman"/>
                <w:iCs/>
                <w:sz w:val="20"/>
                <w:szCs w:val="20"/>
                <w:lang w:eastAsia="ru-RU"/>
              </w:rPr>
              <w:t xml:space="preserve"> la </w:t>
            </w:r>
            <w:proofErr w:type="spellStart"/>
            <w:r w:rsidRPr="00BB3E0B">
              <w:rPr>
                <w:rFonts w:ascii="Times New Roman" w:hAnsi="Times New Roman"/>
                <w:iCs/>
                <w:sz w:val="20"/>
                <w:szCs w:val="20"/>
                <w:lang w:eastAsia="ru-RU"/>
              </w:rPr>
              <w:t>alineatul</w:t>
            </w:r>
            <w:proofErr w:type="spellEnd"/>
            <w:r w:rsidRPr="00BB3E0B">
              <w:rPr>
                <w:rFonts w:ascii="Times New Roman" w:hAnsi="Times New Roman"/>
                <w:iCs/>
                <w:sz w:val="20"/>
                <w:szCs w:val="20"/>
                <w:lang w:eastAsia="ru-RU"/>
              </w:rPr>
              <w:t xml:space="preserve"> (1), </w:t>
            </w:r>
            <w:proofErr w:type="spellStart"/>
            <w:r w:rsidRPr="00BB3E0B">
              <w:rPr>
                <w:rFonts w:ascii="Times New Roman" w:hAnsi="Times New Roman"/>
                <w:iCs/>
                <w:sz w:val="20"/>
                <w:szCs w:val="20"/>
                <w:lang w:eastAsia="ru-RU"/>
              </w:rPr>
              <w:t>entitățile</w:t>
            </w:r>
            <w:proofErr w:type="spellEnd"/>
            <w:r w:rsidRPr="00BB3E0B">
              <w:rPr>
                <w:rFonts w:ascii="Times New Roman" w:hAnsi="Times New Roman"/>
                <w:iCs/>
                <w:sz w:val="20"/>
                <w:szCs w:val="20"/>
                <w:lang w:eastAsia="ru-RU"/>
              </w:rPr>
              <w:t xml:space="preserve"> corporative </w:t>
            </w:r>
            <w:proofErr w:type="spellStart"/>
            <w:r w:rsidRPr="00BB3E0B">
              <w:rPr>
                <w:rFonts w:ascii="Times New Roman" w:hAnsi="Times New Roman"/>
                <w:iCs/>
                <w:sz w:val="20"/>
                <w:szCs w:val="20"/>
                <w:lang w:eastAsia="ru-RU"/>
              </w:rPr>
              <w:t>cărora</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instituția</w:t>
            </w:r>
            <w:proofErr w:type="spellEnd"/>
            <w:r w:rsidRPr="00BB3E0B">
              <w:rPr>
                <w:rFonts w:ascii="Times New Roman" w:hAnsi="Times New Roman"/>
                <w:iCs/>
                <w:sz w:val="20"/>
                <w:szCs w:val="20"/>
                <w:lang w:eastAsia="ru-RU"/>
              </w:rPr>
              <w:t xml:space="preserve"> le </w:t>
            </w:r>
            <w:proofErr w:type="spellStart"/>
            <w:r w:rsidRPr="00BB3E0B">
              <w:rPr>
                <w:rFonts w:ascii="Times New Roman" w:hAnsi="Times New Roman"/>
                <w:iCs/>
                <w:sz w:val="20"/>
                <w:szCs w:val="20"/>
                <w:lang w:eastAsia="ru-RU"/>
              </w:rPr>
              <w:t>acordă</w:t>
            </w:r>
            <w:proofErr w:type="spellEnd"/>
            <w:r w:rsidRPr="00BB3E0B">
              <w:rPr>
                <w:rFonts w:ascii="Times New Roman" w:hAnsi="Times New Roman"/>
                <w:iCs/>
                <w:sz w:val="20"/>
                <w:szCs w:val="20"/>
                <w:lang w:eastAsia="ru-RU"/>
              </w:rPr>
              <w:t xml:space="preserve"> un rating intern </w:t>
            </w:r>
            <w:proofErr w:type="spellStart"/>
            <w:r w:rsidRPr="00BB3E0B">
              <w:rPr>
                <w:rFonts w:ascii="Times New Roman" w:hAnsi="Times New Roman"/>
                <w:iCs/>
                <w:sz w:val="20"/>
                <w:szCs w:val="20"/>
                <w:lang w:eastAsia="ru-RU"/>
              </w:rPr>
              <w:t>în</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conformitate</w:t>
            </w:r>
            <w:proofErr w:type="spellEnd"/>
            <w:r w:rsidRPr="00BB3E0B">
              <w:rPr>
                <w:rFonts w:ascii="Times New Roman" w:hAnsi="Times New Roman"/>
                <w:iCs/>
                <w:sz w:val="20"/>
                <w:szCs w:val="20"/>
                <w:lang w:eastAsia="ru-RU"/>
              </w:rPr>
              <w:t xml:space="preserve"> cu </w:t>
            </w:r>
            <w:proofErr w:type="spellStart"/>
            <w:r w:rsidRPr="00BB3E0B">
              <w:rPr>
                <w:rFonts w:ascii="Times New Roman" w:hAnsi="Times New Roman"/>
                <w:iCs/>
                <w:sz w:val="20"/>
                <w:szCs w:val="20"/>
                <w:lang w:eastAsia="ru-RU"/>
              </w:rPr>
              <w:t>capitolul</w:t>
            </w:r>
            <w:proofErr w:type="spellEnd"/>
            <w:r w:rsidRPr="00BB3E0B">
              <w:rPr>
                <w:rFonts w:ascii="Times New Roman" w:hAnsi="Times New Roman"/>
                <w:iCs/>
                <w:sz w:val="20"/>
                <w:szCs w:val="20"/>
                <w:lang w:eastAsia="ru-RU"/>
              </w:rPr>
              <w:t xml:space="preserve"> 3 </w:t>
            </w:r>
            <w:proofErr w:type="spellStart"/>
            <w:r w:rsidRPr="00BB3E0B">
              <w:rPr>
                <w:rFonts w:ascii="Times New Roman" w:hAnsi="Times New Roman"/>
                <w:iCs/>
                <w:sz w:val="20"/>
                <w:szCs w:val="20"/>
                <w:lang w:eastAsia="ru-RU"/>
              </w:rPr>
              <w:t>secțiunea</w:t>
            </w:r>
            <w:proofErr w:type="spellEnd"/>
            <w:r w:rsidRPr="00BB3E0B">
              <w:rPr>
                <w:rFonts w:ascii="Times New Roman" w:hAnsi="Times New Roman"/>
                <w:iCs/>
                <w:sz w:val="20"/>
                <w:szCs w:val="20"/>
                <w:lang w:eastAsia="ru-RU"/>
              </w:rPr>
              <w:t xml:space="preserve"> 6 sunt </w:t>
            </w:r>
            <w:proofErr w:type="spellStart"/>
            <w:r w:rsidRPr="00BB3E0B">
              <w:rPr>
                <w:rFonts w:ascii="Times New Roman" w:hAnsi="Times New Roman"/>
                <w:iCs/>
                <w:sz w:val="20"/>
                <w:szCs w:val="20"/>
                <w:lang w:eastAsia="ru-RU"/>
              </w:rPr>
              <w:t>furnizori</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eligibili</w:t>
            </w:r>
            <w:proofErr w:type="spellEnd"/>
            <w:r w:rsidRPr="00BB3E0B">
              <w:rPr>
                <w:rFonts w:ascii="Times New Roman" w:hAnsi="Times New Roman"/>
                <w:iCs/>
                <w:sz w:val="20"/>
                <w:szCs w:val="20"/>
                <w:lang w:eastAsia="ru-RU"/>
              </w:rPr>
              <w:t xml:space="preserve"> de </w:t>
            </w:r>
            <w:proofErr w:type="spellStart"/>
            <w:r w:rsidRPr="00BB3E0B">
              <w:rPr>
                <w:rFonts w:ascii="Times New Roman" w:hAnsi="Times New Roman"/>
                <w:iCs/>
                <w:sz w:val="20"/>
                <w:szCs w:val="20"/>
                <w:lang w:eastAsia="ru-RU"/>
              </w:rPr>
              <w:t>protecție</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nefinanțată</w:t>
            </w:r>
            <w:proofErr w:type="spellEnd"/>
            <w:r w:rsidRPr="00BB3E0B">
              <w:rPr>
                <w:rFonts w:ascii="Times New Roman" w:hAnsi="Times New Roman"/>
                <w:iCs/>
                <w:sz w:val="20"/>
                <w:szCs w:val="20"/>
                <w:lang w:eastAsia="ru-RU"/>
              </w:rPr>
              <w:t xml:space="preserve"> a </w:t>
            </w:r>
            <w:proofErr w:type="spellStart"/>
            <w:r w:rsidRPr="00BB3E0B">
              <w:rPr>
                <w:rFonts w:ascii="Times New Roman" w:hAnsi="Times New Roman"/>
                <w:iCs/>
                <w:sz w:val="20"/>
                <w:szCs w:val="20"/>
                <w:lang w:eastAsia="ru-RU"/>
              </w:rPr>
              <w:t>creditului</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în</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cazul</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în</w:t>
            </w:r>
            <w:proofErr w:type="spellEnd"/>
            <w:r w:rsidRPr="00BB3E0B">
              <w:rPr>
                <w:rFonts w:ascii="Times New Roman" w:hAnsi="Times New Roman"/>
                <w:iCs/>
                <w:sz w:val="20"/>
                <w:szCs w:val="20"/>
                <w:lang w:eastAsia="ru-RU"/>
              </w:rPr>
              <w:t xml:space="preserve"> care </w:t>
            </w:r>
            <w:proofErr w:type="spellStart"/>
            <w:r w:rsidRPr="00BB3E0B">
              <w:rPr>
                <w:rFonts w:ascii="Times New Roman" w:hAnsi="Times New Roman"/>
                <w:iCs/>
                <w:sz w:val="20"/>
                <w:szCs w:val="20"/>
                <w:lang w:eastAsia="ru-RU"/>
              </w:rPr>
              <w:t>instituția</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utilizează</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abordarea</w:t>
            </w:r>
            <w:proofErr w:type="spellEnd"/>
            <w:r w:rsidRPr="00BB3E0B">
              <w:rPr>
                <w:rFonts w:ascii="Times New Roman" w:hAnsi="Times New Roman"/>
                <w:iCs/>
                <w:sz w:val="20"/>
                <w:szCs w:val="20"/>
                <w:lang w:eastAsia="ru-RU"/>
              </w:rPr>
              <w:t xml:space="preserve"> IRB </w:t>
            </w:r>
            <w:proofErr w:type="spellStart"/>
            <w:r w:rsidRPr="00BB3E0B">
              <w:rPr>
                <w:rFonts w:ascii="Times New Roman" w:hAnsi="Times New Roman"/>
                <w:iCs/>
                <w:sz w:val="20"/>
                <w:szCs w:val="20"/>
                <w:lang w:eastAsia="ru-RU"/>
              </w:rPr>
              <w:t>în</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cazul</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expunerilor</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față</w:t>
            </w:r>
            <w:proofErr w:type="spellEnd"/>
            <w:r w:rsidRPr="00BB3E0B">
              <w:rPr>
                <w:rFonts w:ascii="Times New Roman" w:hAnsi="Times New Roman"/>
                <w:iCs/>
                <w:sz w:val="20"/>
                <w:szCs w:val="20"/>
                <w:lang w:eastAsia="ru-RU"/>
              </w:rPr>
              <w:t xml:space="preserve"> de </w:t>
            </w:r>
            <w:proofErr w:type="spellStart"/>
            <w:r w:rsidRPr="00BB3E0B">
              <w:rPr>
                <w:rFonts w:ascii="Times New Roman" w:hAnsi="Times New Roman"/>
                <w:iCs/>
                <w:sz w:val="20"/>
                <w:szCs w:val="20"/>
                <w:lang w:eastAsia="ru-RU"/>
              </w:rPr>
              <w:t>respectivele</w:t>
            </w:r>
            <w:proofErr w:type="spellEnd"/>
            <w:r w:rsidRPr="00BB3E0B">
              <w:rPr>
                <w:rFonts w:ascii="Times New Roman" w:hAnsi="Times New Roman"/>
                <w:iCs/>
                <w:sz w:val="20"/>
                <w:szCs w:val="20"/>
                <w:lang w:eastAsia="ru-RU"/>
              </w:rPr>
              <w:t xml:space="preserve"> </w:t>
            </w:r>
            <w:proofErr w:type="spellStart"/>
            <w:r w:rsidRPr="00BB3E0B">
              <w:rPr>
                <w:rFonts w:ascii="Times New Roman" w:hAnsi="Times New Roman"/>
                <w:iCs/>
                <w:sz w:val="20"/>
                <w:szCs w:val="20"/>
                <w:lang w:eastAsia="ru-RU"/>
              </w:rPr>
              <w:t>entități</w:t>
            </w:r>
            <w:proofErr w:type="spellEnd"/>
            <w:r w:rsidRPr="00BB3E0B">
              <w:rPr>
                <w:rFonts w:ascii="Times New Roman" w:hAnsi="Times New Roman"/>
                <w:iCs/>
                <w:sz w:val="20"/>
                <w:szCs w:val="20"/>
                <w:lang w:eastAsia="ru-RU"/>
              </w:rPr>
              <w:t xml:space="preserve"> corporative.</w:t>
            </w:r>
          </w:p>
        </w:tc>
        <w:tc>
          <w:tcPr>
            <w:tcW w:w="1636" w:type="pct"/>
            <w:shd w:val="clear" w:color="auto" w:fill="auto"/>
          </w:tcPr>
          <w:p w14:paraId="4BA6FDA3" w14:textId="77777777" w:rsidR="00BB3E0B" w:rsidRDefault="00BB3E0B" w:rsidP="00BB3E0B">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b/>
                <w:bCs/>
                <w:color w:val="000000" w:themeColor="text1"/>
                <w:sz w:val="20"/>
                <w:szCs w:val="20"/>
                <w:lang w:val="ro-RO" w:eastAsia="ro-MD"/>
              </w:rPr>
              <w:t>36</w:t>
            </w:r>
            <w:r w:rsidRPr="00E8164A">
              <w:rPr>
                <w:rFonts w:ascii="Times New Roman" w:hAnsi="Times New Roman"/>
                <w:b/>
                <w:bCs/>
                <w:color w:val="000000" w:themeColor="text1"/>
                <w:sz w:val="20"/>
                <w:szCs w:val="20"/>
                <w:vertAlign w:val="superscript"/>
                <w:lang w:val="ro-RO" w:eastAsia="ro-MD"/>
              </w:rPr>
              <w:t>1</w:t>
            </w:r>
            <w:r w:rsidRPr="00E8164A">
              <w:rPr>
                <w:rFonts w:ascii="Times New Roman" w:hAnsi="Times New Roman"/>
                <w:b/>
                <w:bCs/>
                <w:color w:val="000000" w:themeColor="text1"/>
                <w:sz w:val="20"/>
                <w:szCs w:val="20"/>
                <w:lang w:val="ro-RO" w:eastAsia="ro-MD"/>
              </w:rPr>
              <w:t>.</w:t>
            </w:r>
            <w:r w:rsidRPr="00E8164A">
              <w:rPr>
                <w:rFonts w:ascii="Times New Roman" w:hAnsi="Times New Roman"/>
                <w:color w:val="000000" w:themeColor="text1"/>
                <w:sz w:val="20"/>
                <w:szCs w:val="20"/>
                <w:lang w:val="ro-RO" w:eastAsia="ro-MD"/>
              </w:rPr>
              <w:t xml:space="preserve"> Pe lângă furnizorii de protecție enumerați la punctul 36, entităților cărora băncile le acordă un rating intern în conformitate cu cerințele pentru utilizarea abordării IRB sunt furnizori eligibili de protecție nefinanțată a creditului în cazul în care banca utilizează abordarea IRB în cazul expunerilor față de respectivele entități.</w:t>
            </w:r>
          </w:p>
          <w:p w14:paraId="7469EACF" w14:textId="13A53082" w:rsidR="00BB3E0B" w:rsidRPr="00BB3E0B" w:rsidRDefault="00BB3E0B" w:rsidP="00BB3E0B">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Pr>
          <w:p w14:paraId="1E61F6EB" w14:textId="4EAC4E43" w:rsidR="00BB3E0B" w:rsidRPr="002C32BA" w:rsidRDefault="00BB3E0B" w:rsidP="00BB3E0B">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F4A689E" w14:textId="4343498A" w:rsidR="00BB3E0B" w:rsidRPr="002C32BA" w:rsidRDefault="00BB3E0B" w:rsidP="00BB3E0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00C53D7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1916" w:type="pct"/>
            <w:tcBorders>
              <w:top w:val="single" w:sz="4" w:space="0" w:color="auto"/>
              <w:left w:val="single" w:sz="4" w:space="0" w:color="auto"/>
              <w:bottom w:val="single" w:sz="4" w:space="0" w:color="auto"/>
              <w:right w:val="single" w:sz="4" w:space="0" w:color="auto"/>
            </w:tcBorders>
          </w:tcPr>
          <w:p w14:paraId="612BABB8" w14:textId="62852BED" w:rsidR="00D62F3C" w:rsidRPr="00595B15" w:rsidRDefault="00D62F3C" w:rsidP="006E29D3">
            <w:pPr>
              <w:pStyle w:val="CM4"/>
              <w:tabs>
                <w:tab w:val="left" w:pos="150"/>
              </w:tabs>
              <w:ind w:left="-43"/>
              <w:jc w:val="both"/>
              <w:rPr>
                <w:rFonts w:ascii="Times New Roman" w:eastAsiaTheme="minorHAnsi" w:hAnsi="Times New Roman" w:cstheme="minorBidi"/>
                <w:color w:val="000000" w:themeColor="text1"/>
                <w:sz w:val="21"/>
                <w:szCs w:val="21"/>
                <w:lang w:eastAsia="ro-MD"/>
              </w:rPr>
            </w:pPr>
            <w:r w:rsidRPr="002C32BA">
              <w:rPr>
                <w:rFonts w:ascii="Times New Roman" w:hAnsi="Times New Roman"/>
                <w:i/>
                <w:iCs/>
                <w:sz w:val="20"/>
                <w:szCs w:val="20"/>
                <w:lang w:val="ro-RO" w:eastAsia="ru-RU"/>
              </w:rPr>
              <w:t>Articolul 202</w:t>
            </w:r>
            <w:r w:rsidR="006E29D3">
              <w:rPr>
                <w:rFonts w:ascii="Times New Roman" w:hAnsi="Times New Roman"/>
                <w:i/>
                <w:iCs/>
                <w:sz w:val="20"/>
                <w:szCs w:val="20"/>
                <w:lang w:val="ro-RO" w:eastAsia="ru-RU"/>
              </w:rPr>
              <w:t xml:space="preserve"> – abrogat prin M17</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367974B"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Borders>
              <w:top w:val="single" w:sz="4" w:space="0" w:color="auto"/>
              <w:left w:val="single" w:sz="4" w:space="0" w:color="auto"/>
              <w:bottom w:val="single" w:sz="4" w:space="0" w:color="auto"/>
              <w:right w:val="single" w:sz="4" w:space="0" w:color="auto"/>
            </w:tcBorders>
          </w:tcPr>
          <w:p w14:paraId="18241634" w14:textId="29F3172A" w:rsidR="00D62F3C" w:rsidRPr="002C32BA" w:rsidRDefault="00D62F3C" w:rsidP="00D62F3C">
            <w:pPr>
              <w:rPr>
                <w:rFonts w:ascii="Times New Roman" w:hAnsi="Times New Roman" w:cs="Times New Roman"/>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3B748954" w14:textId="6DCC6798" w:rsidR="00D62F3C" w:rsidRPr="002C32BA" w:rsidRDefault="00D62F3C" w:rsidP="00D62F3C">
            <w:pPr>
              <w:jc w:val="both"/>
              <w:rPr>
                <w:rFonts w:ascii="Times New Roman" w:hAnsi="Times New Roman" w:cs="Times New Roman"/>
                <w:sz w:val="20"/>
                <w:szCs w:val="20"/>
                <w:lang w:val="ro-RO"/>
              </w:rPr>
            </w:pPr>
          </w:p>
        </w:tc>
      </w:tr>
      <w:tr w:rsidR="00D62F3C" w:rsidRPr="002C32BA" w14:paraId="2A2149C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Borders>
              <w:top w:val="single" w:sz="4" w:space="0" w:color="auto"/>
              <w:left w:val="single" w:sz="4" w:space="0" w:color="auto"/>
              <w:bottom w:val="single" w:sz="4" w:space="0" w:color="auto"/>
              <w:right w:val="single" w:sz="4" w:space="0" w:color="auto"/>
            </w:tcBorders>
          </w:tcPr>
          <w:p w14:paraId="29D327C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203</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Eligibilitatea garanțiilor ca protecție nefinanțată a creditului</w:t>
            </w:r>
          </w:p>
          <w:p w14:paraId="24A94C8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Instituțiile pot utiliza garanții ca protecție nefinanțată eligibilă a creditului.</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0DE93FC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FA29CF">
              <w:rPr>
                <w:rFonts w:ascii="Times New Roman" w:hAnsi="Times New Roman"/>
                <w:b/>
                <w:bCs/>
                <w:sz w:val="20"/>
                <w:szCs w:val="20"/>
                <w:lang w:val="ro-RO" w:eastAsia="ru-RU"/>
              </w:rPr>
              <w:t>37.</w:t>
            </w:r>
            <w:r w:rsidRPr="002C32BA">
              <w:rPr>
                <w:rFonts w:ascii="Times New Roman" w:hAnsi="Times New Roman"/>
                <w:sz w:val="20"/>
                <w:szCs w:val="20"/>
                <w:lang w:val="ro-RO" w:eastAsia="ru-RU"/>
              </w:rPr>
              <w:t xml:space="preserve"> Băncile pot utiliza garanții ca protecție nefinanțată a creditului eligibilă, în condițiile punctului 36.</w:t>
            </w:r>
          </w:p>
        </w:tc>
        <w:tc>
          <w:tcPr>
            <w:tcW w:w="562" w:type="pct"/>
            <w:tcBorders>
              <w:top w:val="single" w:sz="4" w:space="0" w:color="auto"/>
              <w:left w:val="single" w:sz="4" w:space="0" w:color="auto"/>
              <w:bottom w:val="single" w:sz="4" w:space="0" w:color="auto"/>
              <w:right w:val="single" w:sz="4" w:space="0" w:color="auto"/>
            </w:tcBorders>
          </w:tcPr>
          <w:p w14:paraId="484092FE"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7053E65C" w14:textId="2A77CFA3"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5DB955E6"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67D6FA7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Borders>
              <w:top w:val="single" w:sz="4" w:space="0" w:color="auto"/>
              <w:left w:val="single" w:sz="4" w:space="0" w:color="auto"/>
              <w:bottom w:val="single" w:sz="4" w:space="0" w:color="auto"/>
              <w:right w:val="single" w:sz="4" w:space="0" w:color="auto"/>
            </w:tcBorders>
          </w:tcPr>
          <w:p w14:paraId="5A17F60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Subsecțiunea 3</w:t>
            </w:r>
          </w:p>
          <w:p w14:paraId="6445BD0F" w14:textId="77777777"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b/>
                <w:iCs/>
                <w:sz w:val="20"/>
                <w:szCs w:val="20"/>
                <w:lang w:val="ro-RO" w:eastAsia="ru-RU"/>
              </w:rPr>
              <w:t>Tipuri de instrumente financiare derivate</w:t>
            </w:r>
          </w:p>
          <w:p w14:paraId="6272DED6" w14:textId="77777777" w:rsidR="00D62F3C" w:rsidRPr="002C32BA" w:rsidRDefault="00D62F3C" w:rsidP="00D62F3C">
            <w:pPr>
              <w:pStyle w:val="CM4"/>
              <w:tabs>
                <w:tab w:val="left" w:pos="150"/>
              </w:tabs>
              <w:ind w:left="-43"/>
              <w:jc w:val="both"/>
              <w:rPr>
                <w:rFonts w:ascii="Times New Roman" w:hAnsi="Times New Roman"/>
                <w:i/>
                <w:iCs/>
                <w:sz w:val="20"/>
                <w:szCs w:val="20"/>
                <w:lang w:val="ro-RO" w:eastAsia="ru-RU"/>
              </w:rPr>
            </w:pP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BDB9147"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Borders>
              <w:top w:val="single" w:sz="4" w:space="0" w:color="auto"/>
              <w:left w:val="single" w:sz="4" w:space="0" w:color="auto"/>
              <w:bottom w:val="single" w:sz="4" w:space="0" w:color="auto"/>
              <w:right w:val="single" w:sz="4" w:space="0" w:color="auto"/>
            </w:tcBorders>
          </w:tcPr>
          <w:p w14:paraId="61615351" w14:textId="77777777" w:rsidR="00D62F3C" w:rsidRPr="002C32BA" w:rsidRDefault="00D62F3C" w:rsidP="00D62F3C">
            <w:pPr>
              <w:rPr>
                <w:rFonts w:ascii="Times New Roman" w:hAnsi="Times New Roman" w:cs="Times New Roman"/>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6DC63472"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32D53E4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Borders>
              <w:top w:val="single" w:sz="4" w:space="0" w:color="auto"/>
              <w:left w:val="single" w:sz="4" w:space="0" w:color="auto"/>
              <w:bottom w:val="single" w:sz="4" w:space="0" w:color="auto"/>
              <w:right w:val="single" w:sz="4" w:space="0" w:color="auto"/>
            </w:tcBorders>
          </w:tcPr>
          <w:p w14:paraId="3D5292C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204</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Tipuri eligibile de instrumente financiare derivate de credit</w:t>
            </w:r>
          </w:p>
          <w:p w14:paraId="23D67C7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Instituțiile pot utiliza ca protecție a creditului eligibilă următoarele tipuri de instrumente financiare derivate de credit, precum și instrumente care pot fi compuse din astfel de instrumente financiare derivate de credit sau care sunt efectiv similare din punct de vedere economic:</w:t>
            </w:r>
          </w:p>
          <w:p w14:paraId="7671D1B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(a) instrumente de tip credit </w:t>
            </w:r>
            <w:proofErr w:type="spellStart"/>
            <w:r w:rsidRPr="002C32BA">
              <w:rPr>
                <w:rFonts w:ascii="Times New Roman" w:hAnsi="Times New Roman"/>
                <w:iCs/>
                <w:sz w:val="20"/>
                <w:szCs w:val="20"/>
                <w:lang w:val="ro-RO" w:eastAsia="ru-RU"/>
              </w:rPr>
              <w:t>default</w:t>
            </w:r>
            <w:proofErr w:type="spellEnd"/>
            <w:r w:rsidRPr="002C32BA">
              <w:rPr>
                <w:rFonts w:ascii="Times New Roman" w:hAnsi="Times New Roman"/>
                <w:iCs/>
                <w:sz w:val="20"/>
                <w:szCs w:val="20"/>
                <w:lang w:val="ro-RO" w:eastAsia="ru-RU"/>
              </w:rPr>
              <w:t xml:space="preserve"> </w:t>
            </w:r>
            <w:proofErr w:type="spellStart"/>
            <w:r w:rsidRPr="002C32BA">
              <w:rPr>
                <w:rFonts w:ascii="Times New Roman" w:hAnsi="Times New Roman"/>
                <w:iCs/>
                <w:sz w:val="20"/>
                <w:szCs w:val="20"/>
                <w:lang w:val="ro-RO" w:eastAsia="ru-RU"/>
              </w:rPr>
              <w:t>swap</w:t>
            </w:r>
            <w:proofErr w:type="spellEnd"/>
            <w:r w:rsidRPr="002C32BA">
              <w:rPr>
                <w:rFonts w:ascii="Times New Roman" w:hAnsi="Times New Roman"/>
                <w:iCs/>
                <w:sz w:val="20"/>
                <w:szCs w:val="20"/>
                <w:lang w:val="ro-RO" w:eastAsia="ru-RU"/>
              </w:rPr>
              <w:t>;</w:t>
            </w:r>
          </w:p>
          <w:p w14:paraId="07868C2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(b) instrumente de tip total </w:t>
            </w:r>
            <w:proofErr w:type="spellStart"/>
            <w:r w:rsidRPr="002C32BA">
              <w:rPr>
                <w:rFonts w:ascii="Times New Roman" w:hAnsi="Times New Roman"/>
                <w:iCs/>
                <w:sz w:val="20"/>
                <w:szCs w:val="20"/>
                <w:lang w:val="ro-RO" w:eastAsia="ru-RU"/>
              </w:rPr>
              <w:t>return</w:t>
            </w:r>
            <w:proofErr w:type="spellEnd"/>
            <w:r w:rsidRPr="002C32BA">
              <w:rPr>
                <w:rFonts w:ascii="Times New Roman" w:hAnsi="Times New Roman"/>
                <w:iCs/>
                <w:sz w:val="20"/>
                <w:szCs w:val="20"/>
                <w:lang w:val="ro-RO" w:eastAsia="ru-RU"/>
              </w:rPr>
              <w:t xml:space="preserve"> </w:t>
            </w:r>
            <w:proofErr w:type="spellStart"/>
            <w:r w:rsidRPr="002C32BA">
              <w:rPr>
                <w:rFonts w:ascii="Times New Roman" w:hAnsi="Times New Roman"/>
                <w:iCs/>
                <w:sz w:val="20"/>
                <w:szCs w:val="20"/>
                <w:lang w:val="ro-RO" w:eastAsia="ru-RU"/>
              </w:rPr>
              <w:t>swap</w:t>
            </w:r>
            <w:proofErr w:type="spellEnd"/>
            <w:r w:rsidRPr="002C32BA">
              <w:rPr>
                <w:rFonts w:ascii="Times New Roman" w:hAnsi="Times New Roman"/>
                <w:iCs/>
                <w:sz w:val="20"/>
                <w:szCs w:val="20"/>
                <w:lang w:val="ro-RO" w:eastAsia="ru-RU"/>
              </w:rPr>
              <w:t>;</w:t>
            </w:r>
          </w:p>
          <w:p w14:paraId="4FBBA2F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(c) instrumente de tip credit </w:t>
            </w:r>
            <w:proofErr w:type="spellStart"/>
            <w:r w:rsidRPr="002C32BA">
              <w:rPr>
                <w:rFonts w:ascii="Times New Roman" w:hAnsi="Times New Roman"/>
                <w:iCs/>
                <w:sz w:val="20"/>
                <w:szCs w:val="20"/>
                <w:lang w:val="ro-RO" w:eastAsia="ru-RU"/>
              </w:rPr>
              <w:t>linked</w:t>
            </w:r>
            <w:proofErr w:type="spellEnd"/>
            <w:r w:rsidRPr="002C32BA">
              <w:rPr>
                <w:rFonts w:ascii="Times New Roman" w:hAnsi="Times New Roman"/>
                <w:iCs/>
                <w:sz w:val="20"/>
                <w:szCs w:val="20"/>
                <w:lang w:val="ro-RO" w:eastAsia="ru-RU"/>
              </w:rPr>
              <w:t xml:space="preserve"> note, în măsura finanțării lor în numerar.</w:t>
            </w:r>
          </w:p>
          <w:p w14:paraId="6C68902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În cazul în care o instituție cumpără protecția creditului prin intermediul unui instrument de tip total </w:t>
            </w:r>
            <w:proofErr w:type="spellStart"/>
            <w:r w:rsidRPr="002C32BA">
              <w:rPr>
                <w:rFonts w:ascii="Times New Roman" w:hAnsi="Times New Roman"/>
                <w:iCs/>
                <w:sz w:val="20"/>
                <w:szCs w:val="20"/>
                <w:lang w:val="ro-RO" w:eastAsia="ru-RU"/>
              </w:rPr>
              <w:t>return</w:t>
            </w:r>
            <w:proofErr w:type="spellEnd"/>
            <w:r w:rsidRPr="002C32BA">
              <w:rPr>
                <w:rFonts w:ascii="Times New Roman" w:hAnsi="Times New Roman"/>
                <w:iCs/>
                <w:sz w:val="20"/>
                <w:szCs w:val="20"/>
                <w:lang w:val="ro-RO" w:eastAsia="ru-RU"/>
              </w:rPr>
              <w:t xml:space="preserve"> </w:t>
            </w:r>
            <w:proofErr w:type="spellStart"/>
            <w:r w:rsidRPr="002C32BA">
              <w:rPr>
                <w:rFonts w:ascii="Times New Roman" w:hAnsi="Times New Roman"/>
                <w:iCs/>
                <w:sz w:val="20"/>
                <w:szCs w:val="20"/>
                <w:lang w:val="ro-RO" w:eastAsia="ru-RU"/>
              </w:rPr>
              <w:t>swap</w:t>
            </w:r>
            <w:proofErr w:type="spellEnd"/>
            <w:r w:rsidRPr="002C32BA">
              <w:rPr>
                <w:rFonts w:ascii="Times New Roman" w:hAnsi="Times New Roman"/>
                <w:iCs/>
                <w:sz w:val="20"/>
                <w:szCs w:val="20"/>
                <w:lang w:val="ro-RO" w:eastAsia="ru-RU"/>
              </w:rPr>
              <w:t xml:space="preserve"> și înregistrează </w:t>
            </w:r>
            <w:r w:rsidRPr="002C32BA">
              <w:rPr>
                <w:rFonts w:ascii="Times New Roman" w:hAnsi="Times New Roman"/>
                <w:iCs/>
                <w:sz w:val="20"/>
                <w:szCs w:val="20"/>
                <w:lang w:val="ro-RO" w:eastAsia="ru-RU"/>
              </w:rPr>
              <w:lastRenderedPageBreak/>
              <w:t xml:space="preserve">plățile nete primite aferente </w:t>
            </w:r>
            <w:proofErr w:type="spellStart"/>
            <w:r w:rsidRPr="002C32BA">
              <w:rPr>
                <w:rFonts w:ascii="Times New Roman" w:hAnsi="Times New Roman"/>
                <w:iCs/>
                <w:sz w:val="20"/>
                <w:szCs w:val="20"/>
                <w:lang w:val="ro-RO" w:eastAsia="ru-RU"/>
              </w:rPr>
              <w:t>swapului</w:t>
            </w:r>
            <w:proofErr w:type="spellEnd"/>
            <w:r w:rsidRPr="002C32BA">
              <w:rPr>
                <w:rFonts w:ascii="Times New Roman" w:hAnsi="Times New Roman"/>
                <w:iCs/>
                <w:sz w:val="20"/>
                <w:szCs w:val="20"/>
                <w:lang w:val="ro-RO" w:eastAsia="ru-RU"/>
              </w:rPr>
              <w:t xml:space="preserve"> ca venit net, dar nu înregistrează deteriorarea corespunzătoare a valorii activului protejat, fie prin reducerea valorii juste, fie prin suplimentarea rezervelor, protecția creditului respectivă nu se califică drept protecție a creditului eligibilă.</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027057D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 xml:space="preserve">Capitolul V. Tipuri eligibile de instrumente </w:t>
            </w:r>
          </w:p>
          <w:p w14:paraId="2AE64A7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financiare derivate de credit</w:t>
            </w:r>
          </w:p>
          <w:p w14:paraId="5FC47B85"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0FC3938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347691">
              <w:rPr>
                <w:rFonts w:ascii="Times New Roman" w:hAnsi="Times New Roman"/>
                <w:b/>
                <w:bCs/>
                <w:sz w:val="20"/>
                <w:szCs w:val="20"/>
                <w:lang w:val="ro-RO" w:eastAsia="ru-RU"/>
              </w:rPr>
              <w:t>38.</w:t>
            </w:r>
            <w:r w:rsidRPr="002C32BA">
              <w:rPr>
                <w:rFonts w:ascii="Times New Roman" w:hAnsi="Times New Roman"/>
                <w:sz w:val="20"/>
                <w:szCs w:val="20"/>
                <w:lang w:val="ro-RO" w:eastAsia="ru-RU"/>
              </w:rPr>
              <w:t xml:space="preserve"> Băncile pot utiliza ca protecție a creditului eligibilă următoarele tipuri de instrumente financiare derivate de credit, precum și instrumente care pot fi compuse din astfel de instrumente financiare derivate de credit sau cele care sunt efectiv similare din punct de vedere economic: </w:t>
            </w:r>
          </w:p>
          <w:p w14:paraId="5D007A3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instrumente de tip credit </w:t>
            </w:r>
            <w:proofErr w:type="spellStart"/>
            <w:r w:rsidRPr="002C32BA">
              <w:rPr>
                <w:rFonts w:ascii="Times New Roman" w:hAnsi="Times New Roman"/>
                <w:sz w:val="20"/>
                <w:szCs w:val="20"/>
                <w:lang w:val="ro-RO" w:eastAsia="ru-RU"/>
              </w:rPr>
              <w:t>default</w:t>
            </w:r>
            <w:proofErr w:type="spellEnd"/>
            <w:r w:rsidRPr="002C32BA">
              <w:rPr>
                <w:rFonts w:ascii="Times New Roman" w:hAnsi="Times New Roman"/>
                <w:sz w:val="20"/>
                <w:szCs w:val="20"/>
                <w:lang w:val="ro-RO" w:eastAsia="ru-RU"/>
              </w:rPr>
              <w:t xml:space="preserve"> </w:t>
            </w:r>
            <w:proofErr w:type="spellStart"/>
            <w:r w:rsidRPr="002C32BA">
              <w:rPr>
                <w:rFonts w:ascii="Times New Roman" w:hAnsi="Times New Roman"/>
                <w:sz w:val="20"/>
                <w:szCs w:val="20"/>
                <w:lang w:val="ro-RO" w:eastAsia="ru-RU"/>
              </w:rPr>
              <w:t>swap</w:t>
            </w:r>
            <w:proofErr w:type="spellEnd"/>
            <w:r w:rsidRPr="002C32BA">
              <w:rPr>
                <w:rFonts w:ascii="Times New Roman" w:hAnsi="Times New Roman"/>
                <w:sz w:val="20"/>
                <w:szCs w:val="20"/>
                <w:lang w:val="ro-RO" w:eastAsia="ru-RU"/>
              </w:rPr>
              <w:t xml:space="preserve">; </w:t>
            </w:r>
          </w:p>
          <w:p w14:paraId="765C67D7"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instrumente de tip total </w:t>
            </w:r>
            <w:proofErr w:type="spellStart"/>
            <w:r w:rsidRPr="002C32BA">
              <w:rPr>
                <w:rFonts w:ascii="Times New Roman" w:hAnsi="Times New Roman"/>
                <w:sz w:val="20"/>
                <w:szCs w:val="20"/>
                <w:lang w:val="ro-RO" w:eastAsia="ru-RU"/>
              </w:rPr>
              <w:t>return</w:t>
            </w:r>
            <w:proofErr w:type="spellEnd"/>
            <w:r w:rsidRPr="002C32BA">
              <w:rPr>
                <w:rFonts w:ascii="Times New Roman" w:hAnsi="Times New Roman"/>
                <w:sz w:val="20"/>
                <w:szCs w:val="20"/>
                <w:lang w:val="ro-RO" w:eastAsia="ru-RU"/>
              </w:rPr>
              <w:t xml:space="preserve"> </w:t>
            </w:r>
            <w:proofErr w:type="spellStart"/>
            <w:r w:rsidRPr="002C32BA">
              <w:rPr>
                <w:rFonts w:ascii="Times New Roman" w:hAnsi="Times New Roman"/>
                <w:sz w:val="20"/>
                <w:szCs w:val="20"/>
                <w:lang w:val="ro-RO" w:eastAsia="ru-RU"/>
              </w:rPr>
              <w:t>swap</w:t>
            </w:r>
            <w:proofErr w:type="spellEnd"/>
            <w:r w:rsidRPr="002C32BA">
              <w:rPr>
                <w:rFonts w:ascii="Times New Roman" w:hAnsi="Times New Roman"/>
                <w:sz w:val="20"/>
                <w:szCs w:val="20"/>
                <w:lang w:val="ro-RO" w:eastAsia="ru-RU"/>
              </w:rPr>
              <w:t xml:space="preserve">; </w:t>
            </w:r>
          </w:p>
          <w:p w14:paraId="52088C3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3) instrumente de tip credit </w:t>
            </w:r>
            <w:proofErr w:type="spellStart"/>
            <w:r w:rsidRPr="002C32BA">
              <w:rPr>
                <w:rFonts w:ascii="Times New Roman" w:hAnsi="Times New Roman"/>
                <w:sz w:val="20"/>
                <w:szCs w:val="20"/>
                <w:lang w:val="ro-RO" w:eastAsia="ru-RU"/>
              </w:rPr>
              <w:t>linked</w:t>
            </w:r>
            <w:proofErr w:type="spellEnd"/>
            <w:r w:rsidRPr="002C32BA">
              <w:rPr>
                <w:rFonts w:ascii="Times New Roman" w:hAnsi="Times New Roman"/>
                <w:sz w:val="20"/>
                <w:szCs w:val="20"/>
                <w:lang w:val="ro-RO" w:eastAsia="ru-RU"/>
              </w:rPr>
              <w:t xml:space="preserve"> note, în măsura finanțării lor în mijloace bănești. </w:t>
            </w:r>
          </w:p>
          <w:p w14:paraId="2CF88748"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556A927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347691">
              <w:rPr>
                <w:rFonts w:ascii="Times New Roman" w:hAnsi="Times New Roman"/>
                <w:b/>
                <w:bCs/>
                <w:sz w:val="20"/>
                <w:szCs w:val="20"/>
                <w:lang w:val="ro-RO" w:eastAsia="ru-RU"/>
              </w:rPr>
              <w:lastRenderedPageBreak/>
              <w:t>39.</w:t>
            </w:r>
            <w:r w:rsidRPr="002C32BA">
              <w:rPr>
                <w:rFonts w:ascii="Times New Roman" w:hAnsi="Times New Roman"/>
                <w:sz w:val="20"/>
                <w:szCs w:val="20"/>
                <w:lang w:val="ro-RO" w:eastAsia="ru-RU"/>
              </w:rPr>
              <w:t xml:space="preserve"> În cazul în care o bancă cumpără protecția creditului prin intermediul unui instrument de tip total </w:t>
            </w:r>
            <w:proofErr w:type="spellStart"/>
            <w:r w:rsidRPr="002C32BA">
              <w:rPr>
                <w:rFonts w:ascii="Times New Roman" w:hAnsi="Times New Roman"/>
                <w:sz w:val="20"/>
                <w:szCs w:val="20"/>
                <w:lang w:val="ro-RO" w:eastAsia="ru-RU"/>
              </w:rPr>
              <w:t>return</w:t>
            </w:r>
            <w:proofErr w:type="spellEnd"/>
            <w:r w:rsidRPr="002C32BA">
              <w:rPr>
                <w:rFonts w:ascii="Times New Roman" w:hAnsi="Times New Roman"/>
                <w:sz w:val="20"/>
                <w:szCs w:val="20"/>
                <w:lang w:val="ro-RO" w:eastAsia="ru-RU"/>
              </w:rPr>
              <w:t xml:space="preserve"> </w:t>
            </w:r>
            <w:proofErr w:type="spellStart"/>
            <w:r w:rsidRPr="002C32BA">
              <w:rPr>
                <w:rFonts w:ascii="Times New Roman" w:hAnsi="Times New Roman"/>
                <w:sz w:val="20"/>
                <w:szCs w:val="20"/>
                <w:lang w:val="ro-RO" w:eastAsia="ru-RU"/>
              </w:rPr>
              <w:t>swap</w:t>
            </w:r>
            <w:proofErr w:type="spellEnd"/>
            <w:r w:rsidRPr="002C32BA">
              <w:rPr>
                <w:rFonts w:ascii="Times New Roman" w:hAnsi="Times New Roman"/>
                <w:sz w:val="20"/>
                <w:szCs w:val="20"/>
                <w:lang w:val="ro-RO" w:eastAsia="ru-RU"/>
              </w:rPr>
              <w:t xml:space="preserve"> și înregistrează plățile nete primite aferente </w:t>
            </w:r>
            <w:proofErr w:type="spellStart"/>
            <w:r w:rsidRPr="002C32BA">
              <w:rPr>
                <w:rFonts w:ascii="Times New Roman" w:hAnsi="Times New Roman"/>
                <w:sz w:val="20"/>
                <w:szCs w:val="20"/>
                <w:lang w:val="ro-RO" w:eastAsia="ru-RU"/>
              </w:rPr>
              <w:t>swapului</w:t>
            </w:r>
            <w:proofErr w:type="spellEnd"/>
            <w:r w:rsidRPr="002C32BA">
              <w:rPr>
                <w:rFonts w:ascii="Times New Roman" w:hAnsi="Times New Roman"/>
                <w:sz w:val="20"/>
                <w:szCs w:val="20"/>
                <w:lang w:val="ro-RO" w:eastAsia="ru-RU"/>
              </w:rPr>
              <w:t xml:space="preserve"> ca venit net, dar nu înregistrează deteriorarea corespunzătoare a valorii activului protejat, fie prin reducerea valorii juste, fie prin suplimentarea rezervelor, protecția creditului respectivă nu se califică drept protecție a creditului eligibilă.</w:t>
            </w:r>
          </w:p>
        </w:tc>
        <w:tc>
          <w:tcPr>
            <w:tcW w:w="562" w:type="pct"/>
            <w:tcBorders>
              <w:top w:val="single" w:sz="4" w:space="0" w:color="auto"/>
              <w:left w:val="single" w:sz="4" w:space="0" w:color="auto"/>
              <w:bottom w:val="single" w:sz="4" w:space="0" w:color="auto"/>
              <w:right w:val="single" w:sz="4" w:space="0" w:color="auto"/>
            </w:tcBorders>
          </w:tcPr>
          <w:p w14:paraId="74810F94"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Borders>
              <w:top w:val="single" w:sz="4" w:space="0" w:color="auto"/>
              <w:left w:val="single" w:sz="4" w:space="0" w:color="auto"/>
              <w:bottom w:val="single" w:sz="4" w:space="0" w:color="auto"/>
              <w:right w:val="single" w:sz="4" w:space="0" w:color="auto"/>
            </w:tcBorders>
          </w:tcPr>
          <w:p w14:paraId="163F9DC0" w14:textId="3D6FB81A"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1938154"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827C54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7"/>
        </w:trPr>
        <w:tc>
          <w:tcPr>
            <w:tcW w:w="1916" w:type="pct"/>
            <w:tcBorders>
              <w:top w:val="single" w:sz="4" w:space="0" w:color="auto"/>
              <w:left w:val="single" w:sz="4" w:space="0" w:color="auto"/>
              <w:bottom w:val="single" w:sz="4" w:space="0" w:color="auto"/>
              <w:right w:val="single" w:sz="4" w:space="0" w:color="auto"/>
            </w:tcBorders>
          </w:tcPr>
          <w:p w14:paraId="39C3A7B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Dacă o instituție efectuează o acoperire internă a riscului utilizând un instrument financiar derivat de credit, pentru ca protecția creditului să se califice drept protecție a creditului eligibilă în sensul prezentului capitol, riscul de credit transferat în portofoliul de tranzacționare trebuie transferat în exterior uneia sau mai multor părți terțe.</w:t>
            </w:r>
          </w:p>
          <w:p w14:paraId="2206544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Dacă s-a efectuat o acoperire internă a riscului în conformitate cu primul paragraf, iar cerințele prevăzute în prezentul capitol au fost îndeplinite, instituțiile trebuie să aplice regulile stabilite în secțiunile 4 - 6 la calculul cuantumurilor ponderate la risc ale expunerilor și al cuantumurilor pierderilor așteptate, în cazul în care cumpără o protecție nefinanțată a creditului.</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7DCDD9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9C69B1">
              <w:rPr>
                <w:rFonts w:ascii="Times New Roman" w:hAnsi="Times New Roman"/>
                <w:b/>
                <w:bCs/>
                <w:sz w:val="20"/>
                <w:szCs w:val="20"/>
                <w:lang w:val="ro-RO" w:eastAsia="ru-RU"/>
              </w:rPr>
              <w:t>40</w:t>
            </w:r>
            <w:r w:rsidRPr="002C32BA">
              <w:rPr>
                <w:rFonts w:ascii="Times New Roman" w:hAnsi="Times New Roman"/>
                <w:sz w:val="20"/>
                <w:szCs w:val="20"/>
                <w:lang w:val="ro-RO" w:eastAsia="ru-RU"/>
              </w:rPr>
              <w:t xml:space="preserve">. Dacă o bancă efectuează o acoperire internă </w:t>
            </w:r>
            <w:proofErr w:type="spellStart"/>
            <w:r w:rsidRPr="002C32BA">
              <w:rPr>
                <w:rFonts w:ascii="Times New Roman" w:hAnsi="Times New Roman"/>
                <w:sz w:val="20"/>
                <w:szCs w:val="20"/>
                <w:lang w:val="ro-RO" w:eastAsia="ru-RU"/>
              </w:rPr>
              <w:t>impotriva</w:t>
            </w:r>
            <w:proofErr w:type="spellEnd"/>
            <w:r w:rsidRPr="002C32BA">
              <w:rPr>
                <w:rFonts w:ascii="Times New Roman" w:hAnsi="Times New Roman"/>
                <w:sz w:val="20"/>
                <w:szCs w:val="20"/>
                <w:lang w:val="ro-RO" w:eastAsia="ru-RU"/>
              </w:rPr>
              <w:t xml:space="preserve"> riscului utilizând un instrument financiar derivat de credit, pentru ca protecția creditului să se califice drept protecție a creditului eligibilă în sensul prezentului regulament, riscul de credit transferat în portofoliul de tranzacționare trebuie transferat în exterior uneia sau mai multor părți terțe.</w:t>
            </w:r>
          </w:p>
          <w:p w14:paraId="1F2EF9D3" w14:textId="05969202" w:rsidR="009C69B1" w:rsidRPr="009C69B1" w:rsidRDefault="00D62F3C" w:rsidP="009C69B1">
            <w:pPr>
              <w:pStyle w:val="CM4"/>
              <w:tabs>
                <w:tab w:val="left" w:pos="150"/>
              </w:tabs>
              <w:ind w:left="-36"/>
              <w:rPr>
                <w:rFonts w:ascii="Times New Roman" w:hAnsi="Times New Roman"/>
                <w:sz w:val="20"/>
                <w:szCs w:val="20"/>
                <w:lang w:val="ro-RO" w:eastAsia="ru-RU"/>
              </w:rPr>
            </w:pPr>
            <w:r w:rsidRPr="009C69B1">
              <w:rPr>
                <w:rFonts w:ascii="Times New Roman" w:hAnsi="Times New Roman"/>
                <w:b/>
                <w:bCs/>
                <w:sz w:val="20"/>
                <w:szCs w:val="20"/>
                <w:lang w:val="ro-RO" w:eastAsia="ru-RU"/>
              </w:rPr>
              <w:t>41.</w:t>
            </w:r>
            <w:r w:rsidRPr="002C32BA">
              <w:rPr>
                <w:rFonts w:ascii="Times New Roman" w:hAnsi="Times New Roman"/>
                <w:sz w:val="20"/>
                <w:szCs w:val="20"/>
                <w:lang w:val="ro-RO" w:eastAsia="ru-RU"/>
              </w:rPr>
              <w:t xml:space="preserve"> Dacă s-a efectuat o acoperire internă </w:t>
            </w:r>
            <w:proofErr w:type="spellStart"/>
            <w:r w:rsidRPr="002C32BA">
              <w:rPr>
                <w:rFonts w:ascii="Times New Roman" w:hAnsi="Times New Roman"/>
                <w:sz w:val="20"/>
                <w:szCs w:val="20"/>
                <w:lang w:val="ro-RO" w:eastAsia="ru-RU"/>
              </w:rPr>
              <w:t>impotriva</w:t>
            </w:r>
            <w:proofErr w:type="spellEnd"/>
            <w:r w:rsidRPr="002C32BA">
              <w:rPr>
                <w:rFonts w:ascii="Times New Roman" w:hAnsi="Times New Roman"/>
                <w:sz w:val="20"/>
                <w:szCs w:val="20"/>
                <w:lang w:val="ro-RO" w:eastAsia="ru-RU"/>
              </w:rPr>
              <w:t xml:space="preserve"> riscului în conformitate cu punctul 40, și cerințele prevăzute în prezentul regulament au fost îndeplinite, băncile trebuie să aplice regulile stabilite în titlurile IV – V la calculul valorilor ponderate la risc ale expunerilor</w:t>
            </w:r>
            <w:r w:rsidR="009C69B1" w:rsidRPr="009C69B1">
              <w:rPr>
                <w:lang w:val="ro-RO"/>
              </w:rPr>
              <w:t xml:space="preserve"> </w:t>
            </w:r>
            <w:r w:rsidR="009C69B1" w:rsidRPr="009C69B1">
              <w:rPr>
                <w:rFonts w:ascii="Times New Roman" w:hAnsi="Times New Roman"/>
                <w:sz w:val="20"/>
                <w:szCs w:val="20"/>
                <w:lang w:val="ro-RO" w:eastAsia="ru-RU"/>
              </w:rPr>
              <w:t>și al cuantumurilor pierderilor așteptate</w:t>
            </w:r>
            <w:r w:rsidRPr="002C32BA">
              <w:rPr>
                <w:rFonts w:ascii="Times New Roman" w:hAnsi="Times New Roman"/>
                <w:sz w:val="20"/>
                <w:szCs w:val="20"/>
                <w:lang w:val="ro-RO" w:eastAsia="ru-RU"/>
              </w:rPr>
              <w:t>, în cazul în care băncile cumpără o protecție nefinanțată a creditului.</w:t>
            </w:r>
          </w:p>
        </w:tc>
        <w:tc>
          <w:tcPr>
            <w:tcW w:w="562" w:type="pct"/>
            <w:tcBorders>
              <w:top w:val="single" w:sz="4" w:space="0" w:color="auto"/>
              <w:left w:val="single" w:sz="4" w:space="0" w:color="auto"/>
              <w:bottom w:val="single" w:sz="4" w:space="0" w:color="auto"/>
              <w:right w:val="single" w:sz="4" w:space="0" w:color="auto"/>
            </w:tcBorders>
          </w:tcPr>
          <w:p w14:paraId="6832DE0E"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027DA717" w14:textId="6CC8D52C"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97FD554" w14:textId="77777777" w:rsidR="00D62F3C" w:rsidRPr="002C32BA" w:rsidRDefault="00D62F3C" w:rsidP="00D62F3C">
            <w:pPr>
              <w:jc w:val="both"/>
              <w:rPr>
                <w:rFonts w:ascii="Times New Roman" w:hAnsi="Times New Roman" w:cs="Times New Roman"/>
                <w:sz w:val="20"/>
                <w:szCs w:val="20"/>
                <w:lang w:val="ro-RO"/>
              </w:rPr>
            </w:pPr>
          </w:p>
        </w:tc>
      </w:tr>
      <w:tr w:rsidR="00347691" w:rsidRPr="002C32BA" w14:paraId="1B6E810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7"/>
        </w:trPr>
        <w:tc>
          <w:tcPr>
            <w:tcW w:w="1916" w:type="pct"/>
            <w:tcBorders>
              <w:top w:val="single" w:sz="4" w:space="0" w:color="auto"/>
              <w:left w:val="single" w:sz="4" w:space="0" w:color="auto"/>
              <w:bottom w:val="single" w:sz="4" w:space="0" w:color="auto"/>
              <w:right w:val="single" w:sz="4" w:space="0" w:color="auto"/>
            </w:tcBorders>
          </w:tcPr>
          <w:p w14:paraId="61733AC9" w14:textId="77777777" w:rsidR="00347691" w:rsidRPr="00347691" w:rsidRDefault="00347691" w:rsidP="00347691">
            <w:pPr>
              <w:pStyle w:val="CM4"/>
              <w:tabs>
                <w:tab w:val="left" w:pos="150"/>
              </w:tabs>
              <w:ind w:left="-43"/>
              <w:jc w:val="both"/>
              <w:rPr>
                <w:rFonts w:ascii="Times New Roman" w:hAnsi="Times New Roman"/>
                <w:iCs/>
                <w:sz w:val="20"/>
                <w:szCs w:val="20"/>
                <w:lang w:val="ro-RO" w:eastAsia="ru-RU"/>
              </w:rPr>
            </w:pPr>
            <w:r w:rsidRPr="00347691">
              <w:rPr>
                <w:rFonts w:ascii="Times New Roman" w:hAnsi="Times New Roman"/>
                <w:iCs/>
                <w:sz w:val="20"/>
                <w:szCs w:val="20"/>
                <w:lang w:val="ro-RO" w:eastAsia="ru-RU"/>
              </w:rPr>
              <w:t>▼M17</w:t>
            </w:r>
          </w:p>
          <w:p w14:paraId="62B8D708" w14:textId="3887ED34" w:rsidR="00347691" w:rsidRPr="002C32BA" w:rsidRDefault="00347691" w:rsidP="00347691">
            <w:pPr>
              <w:pStyle w:val="CM4"/>
              <w:tabs>
                <w:tab w:val="left" w:pos="150"/>
              </w:tabs>
              <w:ind w:left="-43"/>
              <w:jc w:val="both"/>
              <w:rPr>
                <w:rFonts w:ascii="Times New Roman" w:hAnsi="Times New Roman"/>
                <w:iCs/>
                <w:sz w:val="20"/>
                <w:szCs w:val="20"/>
                <w:lang w:val="ro-RO" w:eastAsia="ru-RU"/>
              </w:rPr>
            </w:pPr>
            <w:r w:rsidRPr="00347691">
              <w:rPr>
                <w:rFonts w:ascii="Times New Roman" w:hAnsi="Times New Roman"/>
                <w:iCs/>
                <w:sz w:val="20"/>
                <w:szCs w:val="20"/>
                <w:lang w:val="ro-RO" w:eastAsia="ru-RU"/>
              </w:rPr>
              <w:t xml:space="preserve">(3)   Instrumentele financiare derivate de credit de tipul </w:t>
            </w:r>
            <w:proofErr w:type="spellStart"/>
            <w:r w:rsidRPr="00347691">
              <w:rPr>
                <w:rFonts w:ascii="Times New Roman" w:hAnsi="Times New Roman"/>
                <w:iCs/>
                <w:sz w:val="20"/>
                <w:szCs w:val="20"/>
                <w:lang w:val="ro-RO" w:eastAsia="ru-RU"/>
              </w:rPr>
              <w:t>first-to-default</w:t>
            </w:r>
            <w:proofErr w:type="spellEnd"/>
            <w:r w:rsidRPr="00347691">
              <w:rPr>
                <w:rFonts w:ascii="Times New Roman" w:hAnsi="Times New Roman"/>
                <w:iCs/>
                <w:sz w:val="20"/>
                <w:szCs w:val="20"/>
                <w:lang w:val="ro-RO" w:eastAsia="ru-RU"/>
              </w:rPr>
              <w:t xml:space="preserve"> și toate celelalte instrumente financiare derivate de credit de tipul </w:t>
            </w:r>
            <w:proofErr w:type="spellStart"/>
            <w:r w:rsidRPr="00347691">
              <w:rPr>
                <w:rFonts w:ascii="Times New Roman" w:hAnsi="Times New Roman"/>
                <w:iCs/>
                <w:sz w:val="20"/>
                <w:szCs w:val="20"/>
                <w:lang w:val="ro-RO" w:eastAsia="ru-RU"/>
              </w:rPr>
              <w:t>nth-to-default</w:t>
            </w:r>
            <w:proofErr w:type="spellEnd"/>
            <w:r w:rsidRPr="00347691">
              <w:rPr>
                <w:rFonts w:ascii="Times New Roman" w:hAnsi="Times New Roman"/>
                <w:iCs/>
                <w:sz w:val="20"/>
                <w:szCs w:val="20"/>
                <w:lang w:val="ro-RO" w:eastAsia="ru-RU"/>
              </w:rPr>
              <w:t xml:space="preserve"> nu sunt tipuri eligibile de protecție nefinanțată a creditului în temeiul prezentului capitol.</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C0A68BC" w14:textId="77777777" w:rsidR="00347691" w:rsidRDefault="00347691" w:rsidP="00347691">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b/>
                <w:bCs/>
                <w:color w:val="000000" w:themeColor="text1"/>
                <w:sz w:val="20"/>
                <w:szCs w:val="20"/>
                <w:lang w:val="ro-RO" w:eastAsia="ro-MD"/>
              </w:rPr>
              <w:t>41</w:t>
            </w:r>
            <w:r w:rsidRPr="00E8164A">
              <w:rPr>
                <w:rFonts w:ascii="Times New Roman" w:hAnsi="Times New Roman"/>
                <w:b/>
                <w:bCs/>
                <w:color w:val="000000" w:themeColor="text1"/>
                <w:sz w:val="20"/>
                <w:szCs w:val="20"/>
                <w:vertAlign w:val="superscript"/>
                <w:lang w:val="ro-RO" w:eastAsia="ro-MD"/>
              </w:rPr>
              <w:t>1</w:t>
            </w:r>
            <w:r w:rsidRPr="00E8164A">
              <w:rPr>
                <w:rFonts w:ascii="Times New Roman" w:hAnsi="Times New Roman"/>
                <w:b/>
                <w:bCs/>
                <w:color w:val="000000" w:themeColor="text1"/>
                <w:sz w:val="20"/>
                <w:szCs w:val="20"/>
                <w:lang w:val="ro-RO" w:eastAsia="ro-MD"/>
              </w:rPr>
              <w:t>.</w:t>
            </w:r>
            <w:r w:rsidRPr="00E8164A">
              <w:rPr>
                <w:rFonts w:ascii="Times New Roman" w:hAnsi="Times New Roman"/>
                <w:color w:val="000000" w:themeColor="text1"/>
                <w:sz w:val="20"/>
                <w:szCs w:val="20"/>
                <w:lang w:val="ro-RO" w:eastAsia="ro-MD"/>
              </w:rPr>
              <w:t xml:space="preserve"> Instrumentele financiare derivate de credit de tipul </w:t>
            </w:r>
            <w:proofErr w:type="spellStart"/>
            <w:r w:rsidRPr="00E8164A">
              <w:rPr>
                <w:rFonts w:ascii="Times New Roman" w:hAnsi="Times New Roman"/>
                <w:color w:val="000000" w:themeColor="text1"/>
                <w:sz w:val="20"/>
                <w:szCs w:val="20"/>
                <w:lang w:val="ro-RO" w:eastAsia="ro-MD"/>
              </w:rPr>
              <w:t>first-to-default</w:t>
            </w:r>
            <w:proofErr w:type="spellEnd"/>
            <w:r w:rsidRPr="00E8164A">
              <w:rPr>
                <w:rFonts w:ascii="Times New Roman" w:hAnsi="Times New Roman"/>
                <w:color w:val="000000" w:themeColor="text1"/>
                <w:sz w:val="20"/>
                <w:szCs w:val="20"/>
                <w:lang w:val="ro-RO" w:eastAsia="ro-MD"/>
              </w:rPr>
              <w:t xml:space="preserve"> și toate celelalte instrumente financiare derivate de credit de tipul </w:t>
            </w:r>
            <w:proofErr w:type="spellStart"/>
            <w:r w:rsidRPr="00E8164A">
              <w:rPr>
                <w:rFonts w:ascii="Times New Roman" w:hAnsi="Times New Roman"/>
                <w:color w:val="000000" w:themeColor="text1"/>
                <w:sz w:val="20"/>
                <w:szCs w:val="20"/>
                <w:lang w:val="ro-RO" w:eastAsia="ro-MD"/>
              </w:rPr>
              <w:t>nth-to-default</w:t>
            </w:r>
            <w:proofErr w:type="spellEnd"/>
            <w:r w:rsidRPr="00E8164A">
              <w:rPr>
                <w:rFonts w:ascii="Times New Roman" w:hAnsi="Times New Roman"/>
                <w:color w:val="000000" w:themeColor="text1"/>
                <w:sz w:val="20"/>
                <w:szCs w:val="20"/>
                <w:lang w:val="ro-RO" w:eastAsia="ro-MD"/>
              </w:rPr>
              <w:t xml:space="preserve"> nu sunt tipuri eligibile de protecție nefinanțată a creditului.</w:t>
            </w:r>
          </w:p>
          <w:p w14:paraId="681E3BE6" w14:textId="6D9B7363" w:rsidR="00347691" w:rsidRPr="00347691" w:rsidRDefault="00347691" w:rsidP="00347691">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Borders>
              <w:top w:val="single" w:sz="4" w:space="0" w:color="auto"/>
              <w:left w:val="single" w:sz="4" w:space="0" w:color="auto"/>
              <w:bottom w:val="single" w:sz="4" w:space="0" w:color="auto"/>
              <w:right w:val="single" w:sz="4" w:space="0" w:color="auto"/>
            </w:tcBorders>
          </w:tcPr>
          <w:p w14:paraId="6AECD945" w14:textId="2D295C8D" w:rsidR="00347691" w:rsidRPr="002C32BA" w:rsidRDefault="00347691" w:rsidP="00347691">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26D064AA" w14:textId="77777777" w:rsidR="00347691" w:rsidRDefault="00347691" w:rsidP="00347691">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1B58096E" w14:textId="77777777" w:rsidR="00347691" w:rsidRDefault="00347691" w:rsidP="00347691">
            <w:pPr>
              <w:jc w:val="both"/>
              <w:rPr>
                <w:rFonts w:ascii="Times New Roman" w:hAnsi="Times New Roman" w:cs="Times New Roman"/>
                <w:sz w:val="20"/>
                <w:szCs w:val="20"/>
                <w:lang w:val="ro-RO"/>
              </w:rPr>
            </w:pPr>
          </w:p>
        </w:tc>
      </w:tr>
      <w:tr w:rsidR="00693FD4" w:rsidRPr="002C32BA" w14:paraId="5504C61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7"/>
        </w:trPr>
        <w:tc>
          <w:tcPr>
            <w:tcW w:w="1916" w:type="pct"/>
            <w:tcBorders>
              <w:top w:val="single" w:sz="4" w:space="0" w:color="auto"/>
              <w:left w:val="single" w:sz="4" w:space="0" w:color="auto"/>
              <w:bottom w:val="single" w:sz="4" w:space="0" w:color="auto"/>
              <w:right w:val="single" w:sz="4" w:space="0" w:color="auto"/>
            </w:tcBorders>
          </w:tcPr>
          <w:p w14:paraId="18C8AD8F" w14:textId="77777777" w:rsidR="00693FD4" w:rsidRPr="002C32BA" w:rsidRDefault="00693FD4" w:rsidP="00693FD4">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M8</w:t>
            </w:r>
          </w:p>
          <w:p w14:paraId="65B6FC39" w14:textId="77777777" w:rsidR="00693FD4" w:rsidRPr="002C32BA" w:rsidRDefault="00693FD4" w:rsidP="00693FD4">
            <w:pPr>
              <w:jc w:val="both"/>
              <w:rPr>
                <w:rFonts w:ascii="Times New Roman" w:hAnsi="Times New Roman" w:cs="Times New Roman"/>
                <w:sz w:val="20"/>
                <w:szCs w:val="20"/>
                <w:lang w:val="ro-RO" w:eastAsia="ru-RU"/>
              </w:rPr>
            </w:pPr>
            <w:r w:rsidRPr="002C32BA">
              <w:rPr>
                <w:rFonts w:ascii="Times New Roman" w:eastAsia="Times New Roman" w:hAnsi="Times New Roman" w:cs="Times New Roman"/>
                <w:i/>
                <w:iCs/>
                <w:sz w:val="20"/>
                <w:szCs w:val="20"/>
                <w:lang w:val="ro-RO" w:eastAsia="ru-RU"/>
              </w:rPr>
              <w:t xml:space="preserve">Articolul 204a </w:t>
            </w:r>
            <w:r w:rsidRPr="002C32BA">
              <w:rPr>
                <w:rFonts w:ascii="Times New Roman" w:eastAsia="Times New Roman" w:hAnsi="Times New Roman" w:cs="Times New Roman"/>
                <w:b/>
                <w:iCs/>
                <w:sz w:val="20"/>
                <w:szCs w:val="20"/>
                <w:lang w:val="ro-RO" w:eastAsia="ru-RU"/>
              </w:rPr>
              <w:t>Tipuri eligibile de instrumente financiare derivate pe titluri de capital</w:t>
            </w:r>
          </w:p>
          <w:p w14:paraId="37F6F62B" w14:textId="77777777" w:rsidR="00693FD4" w:rsidRPr="002C32BA" w:rsidRDefault="00693FD4" w:rsidP="00693FD4">
            <w:pPr>
              <w:jc w:val="both"/>
              <w:rPr>
                <w:rFonts w:ascii="Times New Roman" w:eastAsia="Times New Roman" w:hAnsi="Times New Roman" w:cs="Times New Roman"/>
                <w:iCs/>
                <w:sz w:val="20"/>
                <w:szCs w:val="20"/>
                <w:lang w:val="ro-RO" w:eastAsia="ru-RU"/>
              </w:rPr>
            </w:pPr>
            <w:r w:rsidRPr="002C32BA">
              <w:rPr>
                <w:rFonts w:ascii="Times New Roman" w:eastAsia="Times New Roman" w:hAnsi="Times New Roman" w:cs="Times New Roman"/>
                <w:iCs/>
                <w:sz w:val="20"/>
                <w:szCs w:val="20"/>
                <w:lang w:val="ro-RO" w:eastAsia="ru-RU"/>
              </w:rPr>
              <w:lastRenderedPageBreak/>
              <w:t xml:space="preserve">(1)   Instituțiile pot utiliza ca protecție a creditului eligibilă instrumente financiare derivate pe titluri de capital care sunt instrumente de tipul total </w:t>
            </w:r>
            <w:proofErr w:type="spellStart"/>
            <w:r w:rsidRPr="002C32BA">
              <w:rPr>
                <w:rFonts w:ascii="Times New Roman" w:eastAsia="Times New Roman" w:hAnsi="Times New Roman" w:cs="Times New Roman"/>
                <w:iCs/>
                <w:sz w:val="20"/>
                <w:szCs w:val="20"/>
                <w:lang w:val="ro-RO" w:eastAsia="ru-RU"/>
              </w:rPr>
              <w:t>return</w:t>
            </w:r>
            <w:proofErr w:type="spellEnd"/>
            <w:r w:rsidRPr="002C32BA">
              <w:rPr>
                <w:rFonts w:ascii="Times New Roman" w:eastAsia="Times New Roman" w:hAnsi="Times New Roman" w:cs="Times New Roman"/>
                <w:iCs/>
                <w:sz w:val="20"/>
                <w:szCs w:val="20"/>
                <w:lang w:val="ro-RO" w:eastAsia="ru-RU"/>
              </w:rPr>
              <w:t xml:space="preserve"> </w:t>
            </w:r>
            <w:proofErr w:type="spellStart"/>
            <w:r w:rsidRPr="002C32BA">
              <w:rPr>
                <w:rFonts w:ascii="Times New Roman" w:eastAsia="Times New Roman" w:hAnsi="Times New Roman" w:cs="Times New Roman"/>
                <w:iCs/>
                <w:sz w:val="20"/>
                <w:szCs w:val="20"/>
                <w:lang w:val="ro-RO" w:eastAsia="ru-RU"/>
              </w:rPr>
              <w:t>swap</w:t>
            </w:r>
            <w:proofErr w:type="spellEnd"/>
            <w:r w:rsidRPr="002C32BA">
              <w:rPr>
                <w:rFonts w:ascii="Times New Roman" w:eastAsia="Times New Roman" w:hAnsi="Times New Roman" w:cs="Times New Roman"/>
                <w:iCs/>
                <w:sz w:val="20"/>
                <w:szCs w:val="20"/>
                <w:lang w:val="ro-RO" w:eastAsia="ru-RU"/>
              </w:rPr>
              <w:t xml:space="preserve"> sau care sunt efectiv similare din punct de vedere economic, dar numai în scopul efectuării de acoperiri interne.</w:t>
            </w:r>
          </w:p>
          <w:p w14:paraId="184E92D6" w14:textId="77777777" w:rsidR="00693FD4" w:rsidRPr="002C32BA" w:rsidRDefault="00693FD4" w:rsidP="00693FD4">
            <w:pPr>
              <w:jc w:val="both"/>
              <w:rPr>
                <w:rFonts w:ascii="Times New Roman" w:eastAsia="Times New Roman" w:hAnsi="Times New Roman" w:cs="Times New Roman"/>
                <w:iCs/>
                <w:sz w:val="20"/>
                <w:szCs w:val="20"/>
                <w:lang w:val="ro-RO" w:eastAsia="ru-RU"/>
              </w:rPr>
            </w:pPr>
            <w:r w:rsidRPr="002C32BA">
              <w:rPr>
                <w:rFonts w:ascii="Times New Roman" w:eastAsia="Times New Roman" w:hAnsi="Times New Roman" w:cs="Times New Roman"/>
                <w:iCs/>
                <w:sz w:val="20"/>
                <w:szCs w:val="20"/>
                <w:lang w:val="ro-RO" w:eastAsia="ru-RU"/>
              </w:rPr>
              <w:t xml:space="preserve">În cazul în care o instituție cumpără protecția creditului prin intermediul unui instrument de tipul total </w:t>
            </w:r>
            <w:proofErr w:type="spellStart"/>
            <w:r w:rsidRPr="002C32BA">
              <w:rPr>
                <w:rFonts w:ascii="Times New Roman" w:eastAsia="Times New Roman" w:hAnsi="Times New Roman" w:cs="Times New Roman"/>
                <w:iCs/>
                <w:sz w:val="20"/>
                <w:szCs w:val="20"/>
                <w:lang w:val="ro-RO" w:eastAsia="ru-RU"/>
              </w:rPr>
              <w:t>return</w:t>
            </w:r>
            <w:proofErr w:type="spellEnd"/>
            <w:r w:rsidRPr="002C32BA">
              <w:rPr>
                <w:rFonts w:ascii="Times New Roman" w:eastAsia="Times New Roman" w:hAnsi="Times New Roman" w:cs="Times New Roman"/>
                <w:iCs/>
                <w:sz w:val="20"/>
                <w:szCs w:val="20"/>
                <w:lang w:val="ro-RO" w:eastAsia="ru-RU"/>
              </w:rPr>
              <w:t xml:space="preserve"> </w:t>
            </w:r>
            <w:proofErr w:type="spellStart"/>
            <w:r w:rsidRPr="002C32BA">
              <w:rPr>
                <w:rFonts w:ascii="Times New Roman" w:eastAsia="Times New Roman" w:hAnsi="Times New Roman" w:cs="Times New Roman"/>
                <w:iCs/>
                <w:sz w:val="20"/>
                <w:szCs w:val="20"/>
                <w:lang w:val="ro-RO" w:eastAsia="ru-RU"/>
              </w:rPr>
              <w:t>swap</w:t>
            </w:r>
            <w:proofErr w:type="spellEnd"/>
            <w:r w:rsidRPr="002C32BA">
              <w:rPr>
                <w:rFonts w:ascii="Times New Roman" w:eastAsia="Times New Roman" w:hAnsi="Times New Roman" w:cs="Times New Roman"/>
                <w:iCs/>
                <w:sz w:val="20"/>
                <w:szCs w:val="20"/>
                <w:lang w:val="ro-RO" w:eastAsia="ru-RU"/>
              </w:rPr>
              <w:t xml:space="preserve"> și înregistrează plățile nete primite aferente </w:t>
            </w:r>
            <w:proofErr w:type="spellStart"/>
            <w:r w:rsidRPr="002C32BA">
              <w:rPr>
                <w:rFonts w:ascii="Times New Roman" w:eastAsia="Times New Roman" w:hAnsi="Times New Roman" w:cs="Times New Roman"/>
                <w:iCs/>
                <w:sz w:val="20"/>
                <w:szCs w:val="20"/>
                <w:lang w:val="ro-RO" w:eastAsia="ru-RU"/>
              </w:rPr>
              <w:t>swapului</w:t>
            </w:r>
            <w:proofErr w:type="spellEnd"/>
            <w:r w:rsidRPr="002C32BA">
              <w:rPr>
                <w:rFonts w:ascii="Times New Roman" w:eastAsia="Times New Roman" w:hAnsi="Times New Roman" w:cs="Times New Roman"/>
                <w:iCs/>
                <w:sz w:val="20"/>
                <w:szCs w:val="20"/>
                <w:lang w:val="ro-RO" w:eastAsia="ru-RU"/>
              </w:rPr>
              <w:t xml:space="preserve"> ca venit net, dar nu înregistrează deteriorarea corespunzătoare a valorii activului protejat, fie prin reducerea valorii juste, fie prin suplimentarea rezervelor, protecția respectivă a creditului nu se califică drept protecție a creditului eligibilă.</w:t>
            </w:r>
          </w:p>
          <w:p w14:paraId="1963CC99" w14:textId="77777777" w:rsidR="00693FD4" w:rsidRPr="002C32BA" w:rsidRDefault="00693FD4" w:rsidP="00693FD4">
            <w:pPr>
              <w:jc w:val="both"/>
              <w:rPr>
                <w:rFonts w:ascii="Times New Roman" w:eastAsia="Times New Roman" w:hAnsi="Times New Roman" w:cs="Times New Roman"/>
                <w:iCs/>
                <w:sz w:val="20"/>
                <w:szCs w:val="20"/>
                <w:lang w:val="ro-RO" w:eastAsia="ru-RU"/>
              </w:rPr>
            </w:pPr>
            <w:r w:rsidRPr="002C32BA">
              <w:rPr>
                <w:rFonts w:ascii="Times New Roman" w:eastAsia="Times New Roman" w:hAnsi="Times New Roman" w:cs="Times New Roman"/>
                <w:iCs/>
                <w:sz w:val="20"/>
                <w:szCs w:val="20"/>
                <w:lang w:val="ro-RO" w:eastAsia="ru-RU"/>
              </w:rPr>
              <w:t>(2)   Dacă o instituție efectuează o acoperire internă a riscului utilizând un instrument financiar derivat pe titluri de capital, pentru ca acoperirea internă să se califice drept protecție a creditului eligibilă în sensul prezentului capitol, riscul de credit transferat în portofoliul de tranzacționare este transferat în exterior uneia sau mai multor părți terțe.</w:t>
            </w:r>
          </w:p>
          <w:p w14:paraId="24ACCD8B" w14:textId="77777777" w:rsidR="00693FD4" w:rsidRPr="002C32BA" w:rsidRDefault="00693FD4" w:rsidP="00693FD4">
            <w:pPr>
              <w:jc w:val="both"/>
              <w:rPr>
                <w:rFonts w:ascii="Times New Roman" w:hAnsi="Times New Roman" w:cs="Times New Roman"/>
                <w:sz w:val="20"/>
                <w:szCs w:val="20"/>
                <w:lang w:val="ro-RO" w:eastAsia="ru-RU"/>
              </w:rPr>
            </w:pPr>
            <w:r w:rsidRPr="002C32BA">
              <w:rPr>
                <w:rFonts w:ascii="Times New Roman" w:eastAsia="Times New Roman" w:hAnsi="Times New Roman" w:cs="Times New Roman"/>
                <w:iCs/>
                <w:sz w:val="20"/>
                <w:szCs w:val="20"/>
                <w:lang w:val="ro-RO" w:eastAsia="ru-RU"/>
              </w:rPr>
              <w:t>Dacă s-a efectuat o acoperire internă a riscului în conformitate cu primul paragraf, iar cerințele prevăzute în prezentul capitol au fost îndeplinite, instituțiile aplică regulile stabilite în secțiunile 4-6 din prezentul capitol la calculul valorilor expunerilor ponderate la risc și al cuantumurilor pierderilor așteptate în cazul în care cumpără o protecție nefinanțată a creditului.</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7AD5C9E7" w14:textId="77777777" w:rsidR="00693FD4" w:rsidRPr="00E8164A" w:rsidRDefault="00693FD4" w:rsidP="00693FD4">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Capitolul V</w:t>
            </w:r>
            <w:r w:rsidRPr="00E8164A">
              <w:rPr>
                <w:rFonts w:ascii="Times New Roman" w:eastAsia="Times New Roman" w:hAnsi="Times New Roman" w:cs="Times New Roman"/>
                <w:b/>
                <w:bCs/>
                <w:color w:val="000000" w:themeColor="text1"/>
                <w:sz w:val="20"/>
                <w:szCs w:val="20"/>
                <w:vertAlign w:val="superscript"/>
                <w:lang w:val="ro-RO" w:eastAsia="ro-MD"/>
              </w:rPr>
              <w:t>1</w:t>
            </w:r>
          </w:p>
          <w:p w14:paraId="76AFA78A" w14:textId="77777777" w:rsidR="00693FD4" w:rsidRPr="00E8164A" w:rsidRDefault="00693FD4" w:rsidP="00693FD4">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 TIPURI ELIGIBILE DE INSTRUMENTE</w:t>
            </w:r>
          </w:p>
          <w:p w14:paraId="4BBB4674" w14:textId="77777777" w:rsidR="00693FD4" w:rsidRPr="00E8164A" w:rsidRDefault="00693FD4" w:rsidP="00693FD4">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FINANCIARE DERIVATE PE TITLURI DE CAPITAL</w:t>
            </w:r>
          </w:p>
          <w:p w14:paraId="6A8AAA94" w14:textId="71528772" w:rsidR="00693FD4" w:rsidRPr="00E8164A" w:rsidRDefault="00693FD4" w:rsidP="00CE2037">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41</w:t>
            </w:r>
            <w:r w:rsidRPr="00E8164A">
              <w:rPr>
                <w:rFonts w:ascii="Times New Roman" w:eastAsia="Times New Roman" w:hAnsi="Times New Roman" w:cs="Times New Roman"/>
                <w:b/>
                <w:bCs/>
                <w:color w:val="000000" w:themeColor="text1"/>
                <w:sz w:val="20"/>
                <w:szCs w:val="20"/>
                <w:vertAlign w:val="superscript"/>
                <w:lang w:val="ro-RO" w:eastAsia="ro-MD"/>
              </w:rPr>
              <w:t>2</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Băncile pot utiliza ca protecție a creditului eligibilă instrumente financiare derivate pe titluri de capital care sunt instrumente de tipul total </w:t>
            </w:r>
            <w:proofErr w:type="spellStart"/>
            <w:r w:rsidRPr="00E8164A">
              <w:rPr>
                <w:rFonts w:ascii="Times New Roman" w:eastAsia="Times New Roman" w:hAnsi="Times New Roman" w:cs="Times New Roman"/>
                <w:color w:val="000000" w:themeColor="text1"/>
                <w:sz w:val="20"/>
                <w:szCs w:val="20"/>
                <w:lang w:val="ro-RO" w:eastAsia="ro-MD"/>
              </w:rPr>
              <w:t>return</w:t>
            </w:r>
            <w:proofErr w:type="spellEnd"/>
            <w:r w:rsidRPr="00E8164A">
              <w:rPr>
                <w:rFonts w:ascii="Times New Roman" w:eastAsia="Times New Roman" w:hAnsi="Times New Roman" w:cs="Times New Roman"/>
                <w:color w:val="000000" w:themeColor="text1"/>
                <w:sz w:val="20"/>
                <w:szCs w:val="20"/>
                <w:lang w:val="ro-RO" w:eastAsia="ro-MD"/>
              </w:rPr>
              <w:t xml:space="preserve"> </w:t>
            </w:r>
            <w:proofErr w:type="spellStart"/>
            <w:r w:rsidRPr="00E8164A">
              <w:rPr>
                <w:rFonts w:ascii="Times New Roman" w:eastAsia="Times New Roman" w:hAnsi="Times New Roman" w:cs="Times New Roman"/>
                <w:color w:val="000000" w:themeColor="text1"/>
                <w:sz w:val="20"/>
                <w:szCs w:val="20"/>
                <w:lang w:val="ro-RO" w:eastAsia="ro-MD"/>
              </w:rPr>
              <w:t>swap</w:t>
            </w:r>
            <w:proofErr w:type="spellEnd"/>
            <w:r w:rsidRPr="00E8164A">
              <w:rPr>
                <w:rFonts w:ascii="Times New Roman" w:eastAsia="Times New Roman" w:hAnsi="Times New Roman" w:cs="Times New Roman"/>
                <w:color w:val="000000" w:themeColor="text1"/>
                <w:sz w:val="20"/>
                <w:szCs w:val="20"/>
                <w:lang w:val="ro-RO" w:eastAsia="ro-MD"/>
              </w:rPr>
              <w:t xml:space="preserve"> sau care sunt efectiv similare din punct de vedere economic, dar numai în scopul efectuării de acoperiri interne.</w:t>
            </w:r>
          </w:p>
          <w:p w14:paraId="64BED2D2" w14:textId="6114A0DB" w:rsidR="00693FD4" w:rsidRDefault="00693FD4" w:rsidP="00CE2037">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41</w:t>
            </w:r>
            <w:r w:rsidRPr="00E8164A">
              <w:rPr>
                <w:rFonts w:ascii="Times New Roman" w:eastAsia="Times New Roman" w:hAnsi="Times New Roman" w:cs="Times New Roman"/>
                <w:b/>
                <w:bCs/>
                <w:color w:val="000000" w:themeColor="text1"/>
                <w:sz w:val="20"/>
                <w:szCs w:val="20"/>
                <w:vertAlign w:val="superscript"/>
                <w:lang w:val="ro-RO" w:eastAsia="ro-MD"/>
              </w:rPr>
              <w:t>3</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În cazul în care o bancă cumpără protecția creditului prin intermediul unui instrument de tipul total </w:t>
            </w:r>
            <w:proofErr w:type="spellStart"/>
            <w:r w:rsidRPr="00E8164A">
              <w:rPr>
                <w:rFonts w:ascii="Times New Roman" w:eastAsia="Times New Roman" w:hAnsi="Times New Roman" w:cs="Times New Roman"/>
                <w:color w:val="000000" w:themeColor="text1"/>
                <w:sz w:val="20"/>
                <w:szCs w:val="20"/>
                <w:lang w:val="ro-RO" w:eastAsia="ro-MD"/>
              </w:rPr>
              <w:t>return</w:t>
            </w:r>
            <w:proofErr w:type="spellEnd"/>
            <w:r w:rsidRPr="00E8164A">
              <w:rPr>
                <w:rFonts w:ascii="Times New Roman" w:eastAsia="Times New Roman" w:hAnsi="Times New Roman" w:cs="Times New Roman"/>
                <w:color w:val="000000" w:themeColor="text1"/>
                <w:sz w:val="20"/>
                <w:szCs w:val="20"/>
                <w:lang w:val="ro-RO" w:eastAsia="ro-MD"/>
              </w:rPr>
              <w:t xml:space="preserve"> </w:t>
            </w:r>
            <w:proofErr w:type="spellStart"/>
            <w:r w:rsidRPr="00E8164A">
              <w:rPr>
                <w:rFonts w:ascii="Times New Roman" w:eastAsia="Times New Roman" w:hAnsi="Times New Roman" w:cs="Times New Roman"/>
                <w:color w:val="000000" w:themeColor="text1"/>
                <w:sz w:val="20"/>
                <w:szCs w:val="20"/>
                <w:lang w:val="ro-RO" w:eastAsia="ro-MD"/>
              </w:rPr>
              <w:t>swap</w:t>
            </w:r>
            <w:proofErr w:type="spellEnd"/>
            <w:r w:rsidRPr="00E8164A">
              <w:rPr>
                <w:rFonts w:ascii="Times New Roman" w:eastAsia="Times New Roman" w:hAnsi="Times New Roman" w:cs="Times New Roman"/>
                <w:color w:val="000000" w:themeColor="text1"/>
                <w:sz w:val="20"/>
                <w:szCs w:val="20"/>
                <w:lang w:val="ro-RO" w:eastAsia="ro-MD"/>
              </w:rPr>
              <w:t xml:space="preserve"> și înregistrează plățile nete primite aferente </w:t>
            </w:r>
            <w:proofErr w:type="spellStart"/>
            <w:r w:rsidRPr="00E8164A">
              <w:rPr>
                <w:rFonts w:ascii="Times New Roman" w:eastAsia="Times New Roman" w:hAnsi="Times New Roman" w:cs="Times New Roman"/>
                <w:color w:val="000000" w:themeColor="text1"/>
                <w:sz w:val="20"/>
                <w:szCs w:val="20"/>
                <w:lang w:val="ro-RO" w:eastAsia="ro-MD"/>
              </w:rPr>
              <w:t>swapului</w:t>
            </w:r>
            <w:proofErr w:type="spellEnd"/>
            <w:r w:rsidRPr="00E8164A">
              <w:rPr>
                <w:rFonts w:ascii="Times New Roman" w:eastAsia="Times New Roman" w:hAnsi="Times New Roman" w:cs="Times New Roman"/>
                <w:color w:val="000000" w:themeColor="text1"/>
                <w:sz w:val="20"/>
                <w:szCs w:val="20"/>
                <w:lang w:val="ro-RO" w:eastAsia="ro-MD"/>
              </w:rPr>
              <w:t xml:space="preserve"> ca venit net, dar nu înregistrează deteriorarea corespunzătoare a valorii activului protejat, fie prin reducerea valorii juste, fie prin suplimentarea rezervelor, protecția respectivă a creditului nu se califică drept protecție a creditului eligibilă.</w:t>
            </w:r>
          </w:p>
          <w:p w14:paraId="67D86B3B" w14:textId="77777777" w:rsidR="00CE2037" w:rsidRPr="00E8164A" w:rsidRDefault="00CE2037" w:rsidP="00CE2037">
            <w:pPr>
              <w:spacing w:after="0" w:line="240" w:lineRule="auto"/>
              <w:jc w:val="both"/>
              <w:rPr>
                <w:rFonts w:ascii="Times New Roman" w:eastAsia="Times New Roman" w:hAnsi="Times New Roman" w:cs="Times New Roman"/>
                <w:color w:val="000000" w:themeColor="text1"/>
                <w:sz w:val="20"/>
                <w:szCs w:val="20"/>
                <w:lang w:val="ro-RO" w:eastAsia="ro-MD"/>
              </w:rPr>
            </w:pPr>
          </w:p>
          <w:p w14:paraId="07AAA114" w14:textId="2319FB42" w:rsidR="00693FD4" w:rsidRDefault="00693FD4" w:rsidP="00CE2037">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41</w:t>
            </w:r>
            <w:r w:rsidRPr="00E8164A">
              <w:rPr>
                <w:rFonts w:ascii="Times New Roman" w:eastAsia="Times New Roman" w:hAnsi="Times New Roman" w:cs="Times New Roman"/>
                <w:b/>
                <w:bCs/>
                <w:color w:val="000000" w:themeColor="text1"/>
                <w:sz w:val="20"/>
                <w:szCs w:val="20"/>
                <w:vertAlign w:val="superscript"/>
                <w:lang w:val="ro-RO" w:eastAsia="ro-MD"/>
              </w:rPr>
              <w:t>4</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Dacă o bancă efectuează o acoperire internă a riscului utilizând un instrument financiar derivat pe titluri de capital, pentru ca acoperirea internă să se califice drept protecție a creditului eligibilă, riscul de credit transferat în portofoliul de tranzacționare este transferat în exterior uneia sau mai multor părți terțe.</w:t>
            </w:r>
          </w:p>
          <w:p w14:paraId="50B08D83" w14:textId="77777777" w:rsidR="00CE2037" w:rsidRPr="00E8164A" w:rsidRDefault="00CE2037" w:rsidP="00CE2037">
            <w:pPr>
              <w:spacing w:after="0" w:line="240" w:lineRule="auto"/>
              <w:jc w:val="both"/>
              <w:rPr>
                <w:rFonts w:ascii="Times New Roman" w:eastAsia="Times New Roman" w:hAnsi="Times New Roman" w:cs="Times New Roman"/>
                <w:color w:val="000000" w:themeColor="text1"/>
                <w:sz w:val="20"/>
                <w:szCs w:val="20"/>
                <w:lang w:val="ro-RO" w:eastAsia="ro-MD"/>
              </w:rPr>
            </w:pPr>
          </w:p>
          <w:p w14:paraId="50553798" w14:textId="77777777" w:rsidR="00693FD4" w:rsidRDefault="00693FD4" w:rsidP="00693FD4">
            <w:pPr>
              <w:pStyle w:val="CM4"/>
              <w:tabs>
                <w:tab w:val="left" w:pos="150"/>
              </w:tabs>
              <w:ind w:left="-36"/>
              <w:jc w:val="both"/>
              <w:rPr>
                <w:rFonts w:ascii="Times New Roman" w:hAnsi="Times New Roman"/>
                <w:color w:val="000000" w:themeColor="text1"/>
                <w:sz w:val="20"/>
                <w:szCs w:val="20"/>
                <w:lang w:val="ro-RO" w:eastAsia="ro-MD"/>
              </w:rPr>
            </w:pPr>
            <w:r w:rsidRPr="00E8164A">
              <w:rPr>
                <w:rFonts w:ascii="Times New Roman" w:hAnsi="Times New Roman"/>
                <w:b/>
                <w:bCs/>
                <w:color w:val="000000" w:themeColor="text1"/>
                <w:sz w:val="20"/>
                <w:szCs w:val="20"/>
                <w:lang w:val="ro-RO" w:eastAsia="ro-MD"/>
              </w:rPr>
              <w:t>41</w:t>
            </w:r>
            <w:r w:rsidRPr="00E8164A">
              <w:rPr>
                <w:rFonts w:ascii="Times New Roman" w:hAnsi="Times New Roman"/>
                <w:b/>
                <w:bCs/>
                <w:color w:val="000000" w:themeColor="text1"/>
                <w:sz w:val="20"/>
                <w:szCs w:val="20"/>
                <w:vertAlign w:val="superscript"/>
                <w:lang w:val="ro-RO" w:eastAsia="ro-MD"/>
              </w:rPr>
              <w:t>5</w:t>
            </w:r>
            <w:r w:rsidRPr="00E8164A">
              <w:rPr>
                <w:rFonts w:ascii="Times New Roman" w:hAnsi="Times New Roman"/>
                <w:b/>
                <w:bCs/>
                <w:color w:val="000000" w:themeColor="text1"/>
                <w:sz w:val="20"/>
                <w:szCs w:val="20"/>
                <w:lang w:val="ro-RO" w:eastAsia="ro-MD"/>
              </w:rPr>
              <w:t>.</w:t>
            </w:r>
            <w:r w:rsidRPr="00E8164A">
              <w:rPr>
                <w:rFonts w:ascii="Times New Roman" w:hAnsi="Times New Roman"/>
                <w:color w:val="000000" w:themeColor="text1"/>
                <w:sz w:val="20"/>
                <w:szCs w:val="20"/>
                <w:lang w:val="ro-RO" w:eastAsia="ro-MD"/>
              </w:rPr>
              <w:t xml:space="preserve"> Dacă s-a efectuat o acoperire internă a riscului în conformitate cu punctul 41</w:t>
            </w:r>
            <w:r w:rsidRPr="00E8164A">
              <w:rPr>
                <w:rFonts w:ascii="Times New Roman" w:hAnsi="Times New Roman"/>
                <w:color w:val="000000" w:themeColor="text1"/>
                <w:sz w:val="20"/>
                <w:szCs w:val="20"/>
                <w:vertAlign w:val="superscript"/>
                <w:lang w:val="ro-RO" w:eastAsia="ro-MD"/>
              </w:rPr>
              <w:t>4</w:t>
            </w:r>
            <w:r w:rsidRPr="00E8164A">
              <w:rPr>
                <w:rFonts w:ascii="Times New Roman" w:hAnsi="Times New Roman"/>
                <w:color w:val="000000" w:themeColor="text1"/>
                <w:sz w:val="20"/>
                <w:szCs w:val="20"/>
                <w:lang w:val="ro-RO" w:eastAsia="ro-MD"/>
              </w:rPr>
              <w:t>, iar cerințele prevăzute în prezentul regulament au fost îndeplinite, băncile aplică regulile stabilite în titlurile IV – V la calculul valorilor expunerilor ponderate la risc și al cuantumurilor pierderilor așteptate în cazul în care cumpără o protecție nefinanțată a creditului.</w:t>
            </w:r>
          </w:p>
          <w:p w14:paraId="14561DAC" w14:textId="3575518B" w:rsidR="00693FD4" w:rsidRPr="00693FD4" w:rsidRDefault="00693FD4" w:rsidP="00693FD4">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w:t>
            </w:r>
            <w:r w:rsidR="00296876">
              <w:rPr>
                <w:rFonts w:ascii="Times New Roman" w:hAnsi="Times New Roman" w:cs="Times New Roman"/>
                <w:i/>
                <w:iCs/>
                <w:color w:val="000000" w:themeColor="text1"/>
                <w:sz w:val="20"/>
                <w:szCs w:val="20"/>
              </w:rPr>
              <w:t xml:space="preserve">BNM </w:t>
            </w:r>
            <w:proofErr w:type="spellStart"/>
            <w:r w:rsidR="00296876">
              <w:rPr>
                <w:rFonts w:ascii="Times New Roman" w:hAnsi="Times New Roman" w:cs="Times New Roman"/>
                <w:i/>
                <w:iCs/>
                <w:color w:val="000000" w:themeColor="text1"/>
                <w:sz w:val="20"/>
                <w:szCs w:val="20"/>
              </w:rPr>
              <w:t>pentru</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modificarea</w:t>
            </w:r>
            <w:proofErr w:type="spellEnd"/>
            <w:r w:rsidR="00296876">
              <w:rPr>
                <w:rFonts w:ascii="Times New Roman" w:hAnsi="Times New Roman" w:cs="Times New Roman"/>
                <w:i/>
                <w:iCs/>
                <w:color w:val="000000" w:themeColor="text1"/>
                <w:sz w:val="20"/>
                <w:szCs w:val="20"/>
              </w:rPr>
              <w:t xml:space="preserve"> </w:t>
            </w:r>
            <w:proofErr w:type="spellStart"/>
            <w:r w:rsidR="00296876">
              <w:rPr>
                <w:rFonts w:ascii="Times New Roman" w:hAnsi="Times New Roman" w:cs="Times New Roman"/>
                <w:i/>
                <w:iCs/>
                <w:color w:val="000000" w:themeColor="text1"/>
                <w:sz w:val="20"/>
                <w:szCs w:val="20"/>
              </w:rPr>
              <w:t>Regulamentului</w:t>
            </w:r>
            <w:proofErr w:type="spellEnd"/>
            <w:r w:rsidR="00296876">
              <w:rPr>
                <w:rFonts w:ascii="Times New Roman" w:hAnsi="Times New Roman" w:cs="Times New Roman"/>
                <w:i/>
                <w:iCs/>
                <w:color w:val="000000" w:themeColor="text1"/>
                <w:sz w:val="20"/>
                <w:szCs w:val="20"/>
              </w:rPr>
              <w:t xml:space="preserve"> nr.112/2018 cu </w:t>
            </w:r>
            <w:proofErr w:type="spellStart"/>
            <w:r w:rsidR="00296876">
              <w:rPr>
                <w:rFonts w:ascii="Times New Roman" w:hAnsi="Times New Roman" w:cs="Times New Roman"/>
                <w:i/>
                <w:iCs/>
                <w:color w:val="000000" w:themeColor="text1"/>
                <w:sz w:val="20"/>
                <w:szCs w:val="20"/>
              </w:rPr>
              <w:t>privire</w:t>
            </w:r>
            <w:proofErr w:type="spellEnd"/>
            <w:r w:rsidR="00296876">
              <w:rPr>
                <w:rFonts w:ascii="Times New Roman" w:hAnsi="Times New Roman" w:cs="Times New Roman"/>
                <w:i/>
                <w:iCs/>
                <w:color w:val="000000" w:themeColor="text1"/>
                <w:sz w:val="20"/>
                <w:szCs w:val="20"/>
              </w:rPr>
              <w:t xml:space="preserve"> la </w:t>
            </w:r>
            <w:proofErr w:type="spellStart"/>
            <w:r w:rsidR="00296876">
              <w:rPr>
                <w:rFonts w:ascii="Times New Roman" w:hAnsi="Times New Roman" w:cs="Times New Roman"/>
                <w:i/>
                <w:iCs/>
                <w:color w:val="000000" w:themeColor="text1"/>
                <w:sz w:val="20"/>
                <w:szCs w:val="20"/>
              </w:rPr>
              <w:t>tehnicile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diminuare</w:t>
            </w:r>
            <w:proofErr w:type="spellEnd"/>
            <w:r w:rsidR="00296876">
              <w:rPr>
                <w:rFonts w:ascii="Times New Roman" w:hAnsi="Times New Roman" w:cs="Times New Roman"/>
                <w:i/>
                <w:iCs/>
                <w:color w:val="000000" w:themeColor="text1"/>
                <w:sz w:val="20"/>
                <w:szCs w:val="20"/>
              </w:rPr>
              <w:t xml:space="preserve"> a </w:t>
            </w:r>
            <w:proofErr w:type="spellStart"/>
            <w:r w:rsidR="00296876">
              <w:rPr>
                <w:rFonts w:ascii="Times New Roman" w:hAnsi="Times New Roman" w:cs="Times New Roman"/>
                <w:i/>
                <w:iCs/>
                <w:color w:val="000000" w:themeColor="text1"/>
                <w:sz w:val="20"/>
                <w:szCs w:val="20"/>
              </w:rPr>
              <w:t>riscului</w:t>
            </w:r>
            <w:proofErr w:type="spellEnd"/>
            <w:r w:rsidR="00296876">
              <w:rPr>
                <w:rFonts w:ascii="Times New Roman" w:hAnsi="Times New Roman" w:cs="Times New Roman"/>
                <w:i/>
                <w:iCs/>
                <w:color w:val="000000" w:themeColor="text1"/>
                <w:sz w:val="20"/>
                <w:szCs w:val="20"/>
              </w:rPr>
              <w:t xml:space="preserve"> de credit </w:t>
            </w:r>
            <w:proofErr w:type="spellStart"/>
            <w:r w:rsidR="00296876">
              <w:rPr>
                <w:rFonts w:ascii="Times New Roman" w:hAnsi="Times New Roman" w:cs="Times New Roman"/>
                <w:i/>
                <w:iCs/>
                <w:color w:val="000000" w:themeColor="text1"/>
                <w:sz w:val="20"/>
                <w:szCs w:val="20"/>
              </w:rPr>
              <w:t>utilizate</w:t>
            </w:r>
            <w:proofErr w:type="spellEnd"/>
            <w:r w:rsidR="00296876">
              <w:rPr>
                <w:rFonts w:ascii="Times New Roman" w:hAnsi="Times New Roman" w:cs="Times New Roman"/>
                <w:i/>
                <w:iCs/>
                <w:color w:val="000000" w:themeColor="text1"/>
                <w:sz w:val="20"/>
                <w:szCs w:val="20"/>
              </w:rPr>
              <w:t xml:space="preserve"> de </w:t>
            </w:r>
            <w:proofErr w:type="spellStart"/>
            <w:r w:rsidR="00296876">
              <w:rPr>
                <w:rFonts w:ascii="Times New Roman" w:hAnsi="Times New Roman" w:cs="Times New Roman"/>
                <w:i/>
                <w:iCs/>
                <w:color w:val="000000" w:themeColor="text1"/>
                <w:sz w:val="20"/>
                <w:szCs w:val="20"/>
              </w:rPr>
              <w:t>bănci</w:t>
            </w:r>
            <w:proofErr w:type="spellEnd"/>
          </w:p>
        </w:tc>
        <w:tc>
          <w:tcPr>
            <w:tcW w:w="562" w:type="pct"/>
            <w:tcBorders>
              <w:top w:val="single" w:sz="4" w:space="0" w:color="auto"/>
              <w:left w:val="single" w:sz="4" w:space="0" w:color="auto"/>
              <w:bottom w:val="single" w:sz="4" w:space="0" w:color="auto"/>
              <w:right w:val="single" w:sz="4" w:space="0" w:color="auto"/>
            </w:tcBorders>
          </w:tcPr>
          <w:p w14:paraId="46BD1099" w14:textId="5654A9A2" w:rsidR="00693FD4" w:rsidRPr="002C32BA" w:rsidRDefault="00693FD4" w:rsidP="00693FD4">
            <w:pPr>
              <w:jc w:val="both"/>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Borders>
              <w:top w:val="single" w:sz="4" w:space="0" w:color="auto"/>
              <w:left w:val="single" w:sz="4" w:space="0" w:color="auto"/>
              <w:bottom w:val="single" w:sz="4" w:space="0" w:color="auto"/>
              <w:right w:val="single" w:sz="4" w:space="0" w:color="auto"/>
            </w:tcBorders>
          </w:tcPr>
          <w:p w14:paraId="5E329180" w14:textId="0D78B61B" w:rsidR="00693FD4" w:rsidRPr="002C32BA" w:rsidRDefault="00693FD4" w:rsidP="00693FD4">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08FA905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Borders>
              <w:top w:val="single" w:sz="4" w:space="0" w:color="auto"/>
              <w:left w:val="single" w:sz="4" w:space="0" w:color="auto"/>
              <w:bottom w:val="single" w:sz="4" w:space="0" w:color="auto"/>
              <w:right w:val="single" w:sz="4" w:space="0" w:color="auto"/>
            </w:tcBorders>
          </w:tcPr>
          <w:p w14:paraId="33317F4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Secțiunea 3</w:t>
            </w:r>
          </w:p>
          <w:p w14:paraId="0CEDD0B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b/>
                <w:iCs/>
                <w:sz w:val="20"/>
                <w:szCs w:val="20"/>
                <w:lang w:val="ro-RO" w:eastAsia="ru-RU"/>
              </w:rPr>
              <w:t xml:space="preserve">Cerințe </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1A6BEBB9"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Borders>
              <w:top w:val="single" w:sz="4" w:space="0" w:color="auto"/>
              <w:left w:val="single" w:sz="4" w:space="0" w:color="auto"/>
              <w:bottom w:val="single" w:sz="4" w:space="0" w:color="auto"/>
              <w:right w:val="single" w:sz="4" w:space="0" w:color="auto"/>
            </w:tcBorders>
          </w:tcPr>
          <w:p w14:paraId="393ECE62" w14:textId="77777777" w:rsidR="00D62F3C" w:rsidRPr="002C32BA" w:rsidRDefault="00D62F3C" w:rsidP="00D62F3C">
            <w:pPr>
              <w:rPr>
                <w:rFonts w:ascii="Times New Roman" w:hAnsi="Times New Roman" w:cs="Times New Roman"/>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39804597"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584BD63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Borders>
              <w:top w:val="single" w:sz="4" w:space="0" w:color="auto"/>
              <w:left w:val="single" w:sz="4" w:space="0" w:color="auto"/>
              <w:bottom w:val="single" w:sz="4" w:space="0" w:color="auto"/>
              <w:right w:val="single" w:sz="4" w:space="0" w:color="auto"/>
            </w:tcBorders>
          </w:tcPr>
          <w:p w14:paraId="0F80355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Subsecțiunea 1</w:t>
            </w:r>
          </w:p>
          <w:p w14:paraId="448A4AD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b/>
                <w:iCs/>
                <w:sz w:val="20"/>
                <w:szCs w:val="20"/>
                <w:lang w:val="ro-RO" w:eastAsia="ru-RU"/>
              </w:rPr>
              <w:t>Protecția finanțată a creditului</w:t>
            </w:r>
          </w:p>
        </w:tc>
        <w:tc>
          <w:tcPr>
            <w:tcW w:w="1636" w:type="pct"/>
            <w:tcBorders>
              <w:top w:val="single" w:sz="4" w:space="0" w:color="auto"/>
              <w:left w:val="single" w:sz="4" w:space="0" w:color="auto"/>
              <w:bottom w:val="single" w:sz="4" w:space="0" w:color="auto"/>
              <w:right w:val="single" w:sz="4" w:space="0" w:color="auto"/>
            </w:tcBorders>
          </w:tcPr>
          <w:p w14:paraId="086672A7"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Borders>
              <w:top w:val="single" w:sz="4" w:space="0" w:color="auto"/>
              <w:left w:val="single" w:sz="4" w:space="0" w:color="auto"/>
              <w:bottom w:val="single" w:sz="4" w:space="0" w:color="auto"/>
              <w:right w:val="single" w:sz="4" w:space="0" w:color="auto"/>
            </w:tcBorders>
          </w:tcPr>
          <w:p w14:paraId="5D4921E5" w14:textId="77777777" w:rsidR="00D62F3C" w:rsidRPr="002C32BA" w:rsidRDefault="00D62F3C" w:rsidP="00D62F3C">
            <w:pPr>
              <w:rPr>
                <w:rFonts w:ascii="Times New Roman" w:hAnsi="Times New Roman" w:cs="Times New Roman"/>
                <w:sz w:val="20"/>
                <w:szCs w:val="20"/>
                <w:lang w:val="ro-RO"/>
              </w:rPr>
            </w:pPr>
          </w:p>
        </w:tc>
        <w:tc>
          <w:tcPr>
            <w:tcW w:w="885" w:type="pct"/>
            <w:tcBorders>
              <w:top w:val="single" w:sz="4" w:space="0" w:color="auto"/>
              <w:left w:val="single" w:sz="4" w:space="0" w:color="auto"/>
              <w:bottom w:val="single" w:sz="4" w:space="0" w:color="auto"/>
              <w:right w:val="single" w:sz="4" w:space="0" w:color="auto"/>
            </w:tcBorders>
          </w:tcPr>
          <w:p w14:paraId="59A634FE"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8B41BE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Borders>
              <w:top w:val="single" w:sz="4" w:space="0" w:color="auto"/>
              <w:left w:val="single" w:sz="4" w:space="0" w:color="auto"/>
              <w:bottom w:val="single" w:sz="4" w:space="0" w:color="auto"/>
              <w:right w:val="single" w:sz="4" w:space="0" w:color="auto"/>
            </w:tcBorders>
          </w:tcPr>
          <w:p w14:paraId="7065723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205</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privind acordurile de compensare bilanțieră, altele decât acordurile-cadru de compensare menționate la articolul 206</w:t>
            </w:r>
          </w:p>
          <w:p w14:paraId="7EDC76D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Acordurile de compensare bilanțieră, altele decât acordurile cadru de compensare menționate la articolul 206, se califică drept formă de diminuare a riscului de credit eligibilă, dacă sunt îndeplinite toate condițiile următoare:</w:t>
            </w:r>
          </w:p>
          <w:p w14:paraId="6AC7C02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(a) acordurile sunt valide din punct de vedere legal și au caracter executoriu din punct de vedere juridic în toate jurisdicțiile relevante, inclusiv în cazul insolvenței sau al falimentului unei </w:t>
            </w:r>
            <w:proofErr w:type="spellStart"/>
            <w:r w:rsidRPr="002C32BA">
              <w:rPr>
                <w:rFonts w:ascii="Times New Roman" w:hAnsi="Times New Roman"/>
                <w:iCs/>
                <w:sz w:val="20"/>
                <w:szCs w:val="20"/>
                <w:lang w:val="ro-RO" w:eastAsia="ru-RU"/>
              </w:rPr>
              <w:t>contrapărți</w:t>
            </w:r>
            <w:proofErr w:type="spellEnd"/>
            <w:r w:rsidRPr="002C32BA">
              <w:rPr>
                <w:rFonts w:ascii="Times New Roman" w:hAnsi="Times New Roman"/>
                <w:iCs/>
                <w:sz w:val="20"/>
                <w:szCs w:val="20"/>
                <w:lang w:val="ro-RO" w:eastAsia="ru-RU"/>
              </w:rPr>
              <w:t>;</w:t>
            </w:r>
          </w:p>
          <w:p w14:paraId="0C22FB2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instituțiile sunt în măsură să identifice în orice moment activele și datoriile care fac obiectul acestor acorduri;</w:t>
            </w:r>
          </w:p>
          <w:p w14:paraId="350A959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instituțiile monitorizează și controlează pe bază continuă riscurile asociate încetării protecției creditului;</w:t>
            </w:r>
          </w:p>
          <w:p w14:paraId="721963B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instituțiile monitorizează și controlează pe bază continuă expunerile în cauză pe bază netă.</w:t>
            </w:r>
          </w:p>
        </w:tc>
        <w:tc>
          <w:tcPr>
            <w:tcW w:w="1636" w:type="pct"/>
            <w:tcBorders>
              <w:top w:val="single" w:sz="4" w:space="0" w:color="auto"/>
              <w:left w:val="single" w:sz="4" w:space="0" w:color="auto"/>
              <w:bottom w:val="single" w:sz="4" w:space="0" w:color="auto"/>
              <w:right w:val="single" w:sz="4" w:space="0" w:color="auto"/>
            </w:tcBorders>
          </w:tcPr>
          <w:p w14:paraId="53138DF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Titlul </w:t>
            </w:r>
            <w:proofErr w:type="spellStart"/>
            <w:r w:rsidRPr="002C32BA">
              <w:rPr>
                <w:rFonts w:ascii="Times New Roman" w:hAnsi="Times New Roman"/>
                <w:sz w:val="20"/>
                <w:szCs w:val="20"/>
                <w:lang w:val="ro-RO" w:eastAsia="ru-RU"/>
              </w:rPr>
              <w:t>III.Cerințe</w:t>
            </w:r>
            <w:proofErr w:type="spellEnd"/>
          </w:p>
          <w:p w14:paraId="3039396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Capitolul VI. Cerințe pentru protecția finanțată a creditului</w:t>
            </w:r>
          </w:p>
          <w:p w14:paraId="1E5B2E7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1. Cerințe pentru acordurile de compensare</w:t>
            </w:r>
          </w:p>
          <w:p w14:paraId="2B13024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p>
          <w:p w14:paraId="134AE5E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652AEF">
              <w:rPr>
                <w:rFonts w:ascii="Times New Roman" w:hAnsi="Times New Roman"/>
                <w:b/>
                <w:bCs/>
                <w:sz w:val="20"/>
                <w:szCs w:val="20"/>
                <w:lang w:val="ro-RO" w:eastAsia="ru-RU"/>
              </w:rPr>
              <w:t>42.</w:t>
            </w:r>
            <w:r w:rsidRPr="002C32BA">
              <w:rPr>
                <w:rFonts w:ascii="Times New Roman" w:hAnsi="Times New Roman"/>
                <w:sz w:val="20"/>
                <w:szCs w:val="20"/>
                <w:lang w:val="ro-RO" w:eastAsia="ru-RU"/>
              </w:rPr>
              <w:t xml:space="preserve"> Acordurile de compensare bilanțieră, altele decât acordurile-cadru de compensare menționate la punctul 43, se califică drept formă eligibilă de diminuare a riscului de credit, dacă sunt îndeplinite cumulativ următoarele condiții: </w:t>
            </w:r>
          </w:p>
          <w:p w14:paraId="3B62009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acele acorduri sunt valide din punct de vedere legal și pot fi puse în aplicare/executare în toate jurisdicțiile relevante, inclusiv în cazul insolvabilității sau al falimentului unei </w:t>
            </w:r>
            <w:proofErr w:type="spellStart"/>
            <w:r w:rsidRPr="002C32BA">
              <w:rPr>
                <w:rFonts w:ascii="Times New Roman" w:hAnsi="Times New Roman"/>
                <w:sz w:val="20"/>
                <w:szCs w:val="20"/>
                <w:lang w:val="ro-RO" w:eastAsia="ru-RU"/>
              </w:rPr>
              <w:t>contrapărți</w:t>
            </w:r>
            <w:proofErr w:type="spellEnd"/>
            <w:r w:rsidRPr="002C32BA">
              <w:rPr>
                <w:rFonts w:ascii="Times New Roman" w:hAnsi="Times New Roman"/>
                <w:sz w:val="20"/>
                <w:szCs w:val="20"/>
                <w:lang w:val="ro-RO" w:eastAsia="ru-RU"/>
              </w:rPr>
              <w:t xml:space="preserve">; </w:t>
            </w:r>
          </w:p>
          <w:p w14:paraId="39BE8E5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băncile sunt în măsură să identifice în orice moment activele și datoriile care fac obiectul acestor acorduri; </w:t>
            </w:r>
          </w:p>
          <w:p w14:paraId="5E68148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3) băncile monitorizează și controlează pe bază continuă riscurile asociate încetării protecției creditului; </w:t>
            </w:r>
          </w:p>
          <w:p w14:paraId="59E9106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4) băncile monitorizează și controlează pe bază continuă expunerile relevante pe bază netă.</w:t>
            </w:r>
          </w:p>
        </w:tc>
        <w:tc>
          <w:tcPr>
            <w:tcW w:w="562" w:type="pct"/>
            <w:tcBorders>
              <w:top w:val="single" w:sz="4" w:space="0" w:color="auto"/>
              <w:left w:val="single" w:sz="4" w:space="0" w:color="auto"/>
              <w:bottom w:val="single" w:sz="4" w:space="0" w:color="auto"/>
              <w:right w:val="single" w:sz="4" w:space="0" w:color="auto"/>
            </w:tcBorders>
          </w:tcPr>
          <w:p w14:paraId="5D264B0E"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Borders>
              <w:top w:val="single" w:sz="4" w:space="0" w:color="auto"/>
              <w:left w:val="single" w:sz="4" w:space="0" w:color="auto"/>
              <w:bottom w:val="single" w:sz="4" w:space="0" w:color="auto"/>
              <w:right w:val="single" w:sz="4" w:space="0" w:color="auto"/>
            </w:tcBorders>
          </w:tcPr>
          <w:p w14:paraId="211A2E8E" w14:textId="6FD5BB99"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0478C898"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09F059D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Borders>
              <w:top w:val="single" w:sz="4" w:space="0" w:color="auto"/>
              <w:left w:val="single" w:sz="4" w:space="0" w:color="auto"/>
              <w:bottom w:val="single" w:sz="4" w:space="0" w:color="auto"/>
              <w:right w:val="single" w:sz="4" w:space="0" w:color="auto"/>
            </w:tcBorders>
          </w:tcPr>
          <w:p w14:paraId="209E441B" w14:textId="77777777"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Articolul 206</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privind acordurile-cadru de compensare care acoperă tranzacții de răscumpărare, operațiuni de dare sau luare de titluri sau mărfuri cu împrumut sau alte operațiuni ajustate la condițiile pieței de capital</w:t>
            </w:r>
          </w:p>
          <w:p w14:paraId="72A79094" w14:textId="77777777" w:rsidR="00D62F3C" w:rsidRPr="002C32BA" w:rsidRDefault="00D62F3C" w:rsidP="00D62F3C">
            <w:pPr>
              <w:rPr>
                <w:rFonts w:ascii="Times New Roman" w:hAnsi="Times New Roman" w:cs="Times New Roman"/>
                <w:sz w:val="20"/>
                <w:szCs w:val="20"/>
                <w:lang w:val="ro-RO"/>
              </w:rPr>
            </w:pPr>
          </w:p>
          <w:p w14:paraId="216276A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Acordurile-cadru de compensare care acoperă tranzacții de răscumpărare, operațiuni de dare sau luare de titluri sau mărfuri cu împrumut, sau alte operațiuni ajustate la condițiile pieței de capital se califică drept formă eligibilă de diminuare a riscului de credit dacă garanțiile reale furnizate în temeiul acestor acorduri respectă toate </w:t>
            </w:r>
            <w:r w:rsidRPr="002C32BA">
              <w:rPr>
                <w:rFonts w:ascii="Times New Roman" w:hAnsi="Times New Roman"/>
                <w:iCs/>
                <w:sz w:val="20"/>
                <w:szCs w:val="20"/>
                <w:lang w:val="ro-RO" w:eastAsia="ru-RU"/>
              </w:rPr>
              <w:lastRenderedPageBreak/>
              <w:t>cerințele prevăzute la articolul 207 alineatele (2)-(4) și dacă sunt îndeplinite toate condițiile următoare:</w:t>
            </w:r>
          </w:p>
          <w:p w14:paraId="596DB18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(a) acordurile sunt valide din punct de vedere legal și au caracter executoriu din punct de vedere juridic în toate jurisdicțiile relevante, inclusiv în cazul falimentului sau al insolvenței </w:t>
            </w:r>
            <w:proofErr w:type="spellStart"/>
            <w:r w:rsidRPr="002C32BA">
              <w:rPr>
                <w:rFonts w:ascii="Times New Roman" w:hAnsi="Times New Roman"/>
                <w:iCs/>
                <w:sz w:val="20"/>
                <w:szCs w:val="20"/>
                <w:lang w:val="ro-RO" w:eastAsia="ru-RU"/>
              </w:rPr>
              <w:t>contrapărții</w:t>
            </w:r>
            <w:proofErr w:type="spellEnd"/>
            <w:r w:rsidRPr="002C32BA">
              <w:rPr>
                <w:rFonts w:ascii="Times New Roman" w:hAnsi="Times New Roman"/>
                <w:iCs/>
                <w:sz w:val="20"/>
                <w:szCs w:val="20"/>
                <w:lang w:val="ro-RO" w:eastAsia="ru-RU"/>
              </w:rPr>
              <w:t>;</w:t>
            </w:r>
          </w:p>
          <w:p w14:paraId="603FE32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(b) acordurile asigură părții care și-a îndeplinit obligațiile dreptul de a rezilia și de a lichida în cel mai scurt timp toate tranzacțiile acoperite de acord, în cazul nerespectării obligațiilor contractuale, inclusiv în cazul falimentului sau al insolvenței </w:t>
            </w:r>
            <w:proofErr w:type="spellStart"/>
            <w:r w:rsidRPr="002C32BA">
              <w:rPr>
                <w:rFonts w:ascii="Times New Roman" w:hAnsi="Times New Roman"/>
                <w:iCs/>
                <w:sz w:val="20"/>
                <w:szCs w:val="20"/>
                <w:lang w:val="ro-RO" w:eastAsia="ru-RU"/>
              </w:rPr>
              <w:t>contrapărții</w:t>
            </w:r>
            <w:proofErr w:type="spellEnd"/>
            <w:r w:rsidRPr="002C32BA">
              <w:rPr>
                <w:rFonts w:ascii="Times New Roman" w:hAnsi="Times New Roman"/>
                <w:iCs/>
                <w:sz w:val="20"/>
                <w:szCs w:val="20"/>
                <w:lang w:val="ro-RO" w:eastAsia="ru-RU"/>
              </w:rPr>
              <w:t>;</w:t>
            </w:r>
          </w:p>
          <w:p w14:paraId="0DFB277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acordurile prevăd compensarea câștigurilor și a pierderilor aferente tranzacțiilor lichidate în baza unui acord, astfel încât o singură sumă netă să fie datorată de o parte celeilalte.</w:t>
            </w:r>
          </w:p>
        </w:tc>
        <w:tc>
          <w:tcPr>
            <w:tcW w:w="1636" w:type="pct"/>
            <w:tcBorders>
              <w:top w:val="single" w:sz="4" w:space="0" w:color="auto"/>
              <w:left w:val="single" w:sz="4" w:space="0" w:color="auto"/>
              <w:bottom w:val="single" w:sz="4" w:space="0" w:color="auto"/>
              <w:right w:val="single" w:sz="4" w:space="0" w:color="auto"/>
            </w:tcBorders>
          </w:tcPr>
          <w:p w14:paraId="7725CC3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652AEF">
              <w:rPr>
                <w:rFonts w:ascii="Times New Roman" w:hAnsi="Times New Roman"/>
                <w:b/>
                <w:bCs/>
                <w:sz w:val="20"/>
                <w:szCs w:val="20"/>
                <w:lang w:val="ro-RO" w:eastAsia="ru-RU"/>
              </w:rPr>
              <w:lastRenderedPageBreak/>
              <w:t>43.</w:t>
            </w:r>
            <w:r w:rsidRPr="002C32BA">
              <w:rPr>
                <w:rFonts w:ascii="Times New Roman" w:hAnsi="Times New Roman"/>
                <w:sz w:val="20"/>
                <w:szCs w:val="20"/>
                <w:lang w:val="ro-RO" w:eastAsia="ru-RU"/>
              </w:rPr>
              <w:t xml:space="preserve"> Acordurile-cadru de compensare care acoperă tranzacții de răscumpărare, operațiuni de dare sau luare de valori mobiliare sau mărfuri cu împrumut, sau alte operațiuni ajustate la condițiile pieței de capital se califică drept formă eligibilă de diminuare a riscului de credit dacă garanțiile reale furnizate în temeiul acestor acorduri respectă toate cerințele prevăzute la punctele 45-49 și dacă sunt îndeplinite cumulativ următoarele condiții: </w:t>
            </w:r>
          </w:p>
          <w:p w14:paraId="0017EE2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acordurile sunt valide din punct de vedere legal și pot fi puse în aplicare/executare în toate jurisdicțiile relevante, inclusiv în cazul falimentului sau al insolvabilității </w:t>
            </w:r>
            <w:proofErr w:type="spellStart"/>
            <w:r w:rsidRPr="002C32BA">
              <w:rPr>
                <w:rFonts w:ascii="Times New Roman" w:hAnsi="Times New Roman"/>
                <w:sz w:val="20"/>
                <w:szCs w:val="20"/>
                <w:lang w:val="ro-RO" w:eastAsia="ru-RU"/>
              </w:rPr>
              <w:t>contrapărții</w:t>
            </w:r>
            <w:proofErr w:type="spellEnd"/>
            <w:r w:rsidRPr="002C32BA">
              <w:rPr>
                <w:rFonts w:ascii="Times New Roman" w:hAnsi="Times New Roman"/>
                <w:sz w:val="20"/>
                <w:szCs w:val="20"/>
                <w:lang w:val="ro-RO" w:eastAsia="ru-RU"/>
              </w:rPr>
              <w:t xml:space="preserve">; </w:t>
            </w:r>
          </w:p>
          <w:p w14:paraId="3117894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 xml:space="preserve">2) acordurile asigură părții care și-a îndeplinit obligațiile dreptul de a rezilia și de a </w:t>
            </w:r>
            <w:proofErr w:type="spellStart"/>
            <w:r w:rsidRPr="002C32BA">
              <w:rPr>
                <w:rFonts w:ascii="Times New Roman" w:hAnsi="Times New Roman"/>
                <w:sz w:val="20"/>
                <w:szCs w:val="20"/>
                <w:lang w:val="ro-RO" w:eastAsia="ru-RU"/>
              </w:rPr>
              <w:t>inchide</w:t>
            </w:r>
            <w:proofErr w:type="spellEnd"/>
            <w:r w:rsidRPr="002C32BA">
              <w:rPr>
                <w:rFonts w:ascii="Times New Roman" w:hAnsi="Times New Roman"/>
                <w:sz w:val="20"/>
                <w:szCs w:val="20"/>
                <w:lang w:val="ro-RO" w:eastAsia="ru-RU"/>
              </w:rPr>
              <w:t xml:space="preserve"> în cel mai scurt timp toate tranzacțiile acoperite de acord, în cazul intrării în stare de nerambursare, inclusiv în cazul falimentului sau al insolvabilității </w:t>
            </w:r>
            <w:proofErr w:type="spellStart"/>
            <w:r w:rsidRPr="002C32BA">
              <w:rPr>
                <w:rFonts w:ascii="Times New Roman" w:hAnsi="Times New Roman"/>
                <w:sz w:val="20"/>
                <w:szCs w:val="20"/>
                <w:lang w:val="ro-RO" w:eastAsia="ru-RU"/>
              </w:rPr>
              <w:t>contrapărții</w:t>
            </w:r>
            <w:proofErr w:type="spellEnd"/>
            <w:r w:rsidRPr="002C32BA">
              <w:rPr>
                <w:rFonts w:ascii="Times New Roman" w:hAnsi="Times New Roman"/>
                <w:sz w:val="20"/>
                <w:szCs w:val="20"/>
                <w:lang w:val="ro-RO" w:eastAsia="ru-RU"/>
              </w:rPr>
              <w:t xml:space="preserve">; </w:t>
            </w:r>
          </w:p>
          <w:p w14:paraId="6EFB784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3) acordurile prevăd compensarea câștigurilor și a pierderilor aferente tranzacțiilor </w:t>
            </w:r>
            <w:proofErr w:type="spellStart"/>
            <w:r w:rsidRPr="002C32BA">
              <w:rPr>
                <w:rFonts w:ascii="Times New Roman" w:hAnsi="Times New Roman"/>
                <w:sz w:val="20"/>
                <w:szCs w:val="20"/>
                <w:lang w:val="ro-RO" w:eastAsia="ru-RU"/>
              </w:rPr>
              <w:t>inchise</w:t>
            </w:r>
            <w:proofErr w:type="spellEnd"/>
            <w:r w:rsidRPr="002C32BA">
              <w:rPr>
                <w:rFonts w:ascii="Times New Roman" w:hAnsi="Times New Roman"/>
                <w:sz w:val="20"/>
                <w:szCs w:val="20"/>
                <w:lang w:val="ro-RO" w:eastAsia="ru-RU"/>
              </w:rPr>
              <w:t xml:space="preserve"> în baza unui acord, astfel încât o singură sumă netă să fie datorată de o parte celeilalte.</w:t>
            </w:r>
          </w:p>
        </w:tc>
        <w:tc>
          <w:tcPr>
            <w:tcW w:w="562" w:type="pct"/>
            <w:tcBorders>
              <w:top w:val="single" w:sz="4" w:space="0" w:color="auto"/>
              <w:left w:val="single" w:sz="4" w:space="0" w:color="auto"/>
              <w:bottom w:val="single" w:sz="4" w:space="0" w:color="auto"/>
              <w:right w:val="single" w:sz="4" w:space="0" w:color="auto"/>
            </w:tcBorders>
          </w:tcPr>
          <w:p w14:paraId="404369A8"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Borders>
              <w:top w:val="single" w:sz="4" w:space="0" w:color="auto"/>
              <w:left w:val="single" w:sz="4" w:space="0" w:color="auto"/>
              <w:bottom w:val="single" w:sz="4" w:space="0" w:color="auto"/>
              <w:right w:val="single" w:sz="4" w:space="0" w:color="auto"/>
            </w:tcBorders>
          </w:tcPr>
          <w:p w14:paraId="75392EB7" w14:textId="6995B02A"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DC216C5"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7CC22C8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4B236A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207</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privind garanțiile financiare</w:t>
            </w:r>
          </w:p>
          <w:p w14:paraId="23E7D0C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În cadrul tuturor abordărilor și metodelor, garanțiile financiare și aurul se califică drept garanții reale eligibile, dacă sunt îndeplinite toate cerințele prevăzute la alineatele (2)-(4).</w:t>
            </w:r>
          </w:p>
        </w:tc>
        <w:tc>
          <w:tcPr>
            <w:tcW w:w="1636" w:type="pct"/>
            <w:shd w:val="clear" w:color="auto" w:fill="auto"/>
          </w:tcPr>
          <w:p w14:paraId="0F4144E7"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a 2-a. Cerințe pentru garanțiile financiare</w:t>
            </w:r>
          </w:p>
          <w:p w14:paraId="55FD06E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652AEF">
              <w:rPr>
                <w:rFonts w:ascii="Times New Roman" w:hAnsi="Times New Roman"/>
                <w:b/>
                <w:bCs/>
                <w:sz w:val="20"/>
                <w:szCs w:val="20"/>
                <w:lang w:val="ro-RO" w:eastAsia="ru-RU"/>
              </w:rPr>
              <w:t>44.</w:t>
            </w:r>
            <w:r w:rsidRPr="002C32BA">
              <w:rPr>
                <w:rFonts w:ascii="Times New Roman" w:hAnsi="Times New Roman"/>
                <w:sz w:val="20"/>
                <w:szCs w:val="20"/>
                <w:lang w:val="ro-RO" w:eastAsia="ru-RU"/>
              </w:rPr>
              <w:t xml:space="preserve"> În cadrul tuturor abordărilor și metodelor, garanțiile financiare și aurul se califică drept garanții reale eligibile, dacă sunt îndeplinite toate cerințele prevăzute la punctele 45-49.</w:t>
            </w:r>
          </w:p>
        </w:tc>
        <w:tc>
          <w:tcPr>
            <w:tcW w:w="562" w:type="pct"/>
          </w:tcPr>
          <w:p w14:paraId="66FE42C6"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3549FFD" w14:textId="039DDEE0"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08A82A1"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54E1713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03359A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Între calitatea creditului debitorului și valoarea garanției reale nu trebuie să existe o corelație pozitivă semnificativă. În cazul în care valoarea garanției reale este redusă în mod semnificativ, aceasta nu presupune în sine o deteriorare semnificativă a calității creditului debitorului. În cazul în care calitatea creditului debitorului devine critică, aceasta nu presupune în sine o reducere semnificativă a valorii garanției reale.</w:t>
            </w:r>
          </w:p>
          <w:p w14:paraId="0D02A25A" w14:textId="77777777" w:rsidR="00D62F3C" w:rsidRPr="002C32BA" w:rsidRDefault="00D62F3C" w:rsidP="00D62F3C">
            <w:pPr>
              <w:rPr>
                <w:rFonts w:ascii="Times New Roman" w:hAnsi="Times New Roman" w:cs="Times New Roman"/>
                <w:sz w:val="20"/>
                <w:szCs w:val="20"/>
                <w:lang w:val="ro-RO"/>
              </w:rPr>
            </w:pPr>
          </w:p>
          <w:p w14:paraId="391B0BE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Titlurile emise de debitor sau de orice altă entitate legată din grup nu se califică drept garanții reale eligibile. Cu toate acestea, obligațiunile garantate emise de debitor, care respectă condițiile prevăzute la articolul 129, se califică drept garanții reale eligibile atunci când sunt constituite cu titlu de garanții reale pentru o tranzacție de răscumpărare, cu condiția să respecte dispozițiile prevăzute la primul paragraf.</w:t>
            </w:r>
          </w:p>
        </w:tc>
        <w:tc>
          <w:tcPr>
            <w:tcW w:w="1636" w:type="pct"/>
            <w:shd w:val="clear" w:color="auto" w:fill="auto"/>
          </w:tcPr>
          <w:p w14:paraId="5DA428AE" w14:textId="77777777" w:rsidR="00D62F3C" w:rsidRDefault="00D62F3C" w:rsidP="00D62F3C">
            <w:pPr>
              <w:pStyle w:val="CM4"/>
              <w:tabs>
                <w:tab w:val="left" w:pos="150"/>
              </w:tabs>
              <w:ind w:left="-36"/>
              <w:rPr>
                <w:rFonts w:ascii="Times New Roman" w:hAnsi="Times New Roman"/>
                <w:sz w:val="20"/>
                <w:szCs w:val="20"/>
                <w:lang w:val="ro-RO"/>
              </w:rPr>
            </w:pPr>
            <w:r w:rsidRPr="00652AEF">
              <w:rPr>
                <w:rFonts w:ascii="Times New Roman" w:hAnsi="Times New Roman"/>
                <w:b/>
                <w:bCs/>
                <w:sz w:val="20"/>
                <w:szCs w:val="20"/>
                <w:lang w:val="ro-RO" w:eastAsia="ru-RU"/>
              </w:rPr>
              <w:t>45.</w:t>
            </w:r>
            <w:r w:rsidRPr="002C32BA">
              <w:rPr>
                <w:rFonts w:ascii="Times New Roman" w:hAnsi="Times New Roman"/>
                <w:sz w:val="20"/>
                <w:szCs w:val="20"/>
                <w:lang w:val="ro-RO" w:eastAsia="ru-RU"/>
              </w:rPr>
              <w:t xml:space="preserve"> Între calitatea creditului debitorului și valoarea garanției reale nu trebuie să existe o corelație pozitivă semnificativă. În cazul în care valoarea garanției reale este redusă în mod semnificativ, aceasta nu trebuie să presupună în sine o deteriorare semnificativă a calității creditului debitorului. În cazul în care calitatea creditului debitorului devine critică, aceasta nu trebuie să presupună în sine o reducere semnificativă a valorii garanției reale.</w:t>
            </w:r>
            <w:r w:rsidRPr="002C32BA">
              <w:rPr>
                <w:rFonts w:ascii="Times New Roman" w:hAnsi="Times New Roman"/>
                <w:sz w:val="20"/>
                <w:szCs w:val="20"/>
                <w:lang w:val="ro-RO"/>
              </w:rPr>
              <w:t xml:space="preserve"> </w:t>
            </w:r>
          </w:p>
          <w:p w14:paraId="7DB988E7" w14:textId="5E1FCF68" w:rsidR="00D62F3C" w:rsidRDefault="00D62F3C" w:rsidP="00D62F3C">
            <w:pPr>
              <w:pStyle w:val="CM4"/>
              <w:tabs>
                <w:tab w:val="left" w:pos="150"/>
              </w:tabs>
              <w:ind w:left="-36"/>
              <w:rPr>
                <w:rFonts w:ascii="Times New Roman" w:hAnsi="Times New Roman"/>
                <w:sz w:val="20"/>
                <w:szCs w:val="20"/>
                <w:lang w:val="ro-RO" w:eastAsia="ru-RU"/>
              </w:rPr>
            </w:pPr>
            <w:r w:rsidRPr="00652AEF">
              <w:rPr>
                <w:rFonts w:ascii="Times New Roman" w:hAnsi="Times New Roman"/>
                <w:b/>
                <w:bCs/>
                <w:sz w:val="20"/>
                <w:szCs w:val="20"/>
                <w:lang w:val="ro-RO" w:eastAsia="ru-RU"/>
              </w:rPr>
              <w:t>46.</w:t>
            </w:r>
            <w:r w:rsidRPr="002C32BA">
              <w:rPr>
                <w:rFonts w:ascii="Times New Roman" w:hAnsi="Times New Roman"/>
                <w:sz w:val="20"/>
                <w:szCs w:val="20"/>
                <w:lang w:val="ro-RO" w:eastAsia="ru-RU"/>
              </w:rPr>
              <w:t xml:space="preserve"> </w:t>
            </w:r>
            <w:r w:rsidR="00296876" w:rsidRPr="00296876">
              <w:rPr>
                <w:rFonts w:ascii="Times New Roman" w:hAnsi="Times New Roman"/>
                <w:sz w:val="20"/>
                <w:szCs w:val="20"/>
                <w:lang w:val="ro-RO" w:eastAsia="ru-RU"/>
              </w:rPr>
              <w:t>Titlurile emise de debitor sau de orice altă entitate din grup nu se califică drept garanții reale eligibile. Cu toate acestea, obligațiunile garantate emise de debitor, care respectă condițiile prevăzute în Regulamentul nr.111/2018, se califică drept garanții reale eligibile atunci când sunt constituite cu titlu de garanții reale pentru o tranzacție de răscumpărare, cu condiția să respecte dispozițiile prevăzute la punctul 45.</w:t>
            </w:r>
          </w:p>
          <w:p w14:paraId="51C6031F" w14:textId="31D98A96" w:rsidR="00D62F3C" w:rsidRPr="00296876" w:rsidRDefault="00296876" w:rsidP="00D62F3C">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lastRenderedPageBreak/>
              <w:t>Proiectul</w:t>
            </w:r>
            <w:proofErr w:type="spellEnd"/>
            <w:r w:rsidRPr="00684853">
              <w:rPr>
                <w:rFonts w:ascii="Times New Roman" w:hAnsi="Times New Roman" w:cs="Times New Roman"/>
                <w:i/>
                <w:iCs/>
                <w:color w:val="000000" w:themeColor="text1"/>
                <w:sz w:val="20"/>
                <w:szCs w:val="20"/>
              </w:rPr>
              <w:t xml:space="preserve"> HCE al </w:t>
            </w:r>
            <w:r>
              <w:rPr>
                <w:rFonts w:ascii="Times New Roman" w:hAnsi="Times New Roman" w:cs="Times New Roman"/>
                <w:i/>
                <w:iCs/>
                <w:color w:val="000000" w:themeColor="text1"/>
                <w:sz w:val="20"/>
                <w:szCs w:val="20"/>
              </w:rPr>
              <w:t xml:space="preserve">BNM </w:t>
            </w:r>
            <w:proofErr w:type="spellStart"/>
            <w:r>
              <w:rPr>
                <w:rFonts w:ascii="Times New Roman" w:hAnsi="Times New Roman" w:cs="Times New Roman"/>
                <w:i/>
                <w:iCs/>
                <w:color w:val="000000" w:themeColor="text1"/>
                <w:sz w:val="20"/>
                <w:szCs w:val="20"/>
              </w:rPr>
              <w:t>pentru</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Regulamentului</w:t>
            </w:r>
            <w:proofErr w:type="spellEnd"/>
            <w:r>
              <w:rPr>
                <w:rFonts w:ascii="Times New Roman" w:hAnsi="Times New Roman" w:cs="Times New Roman"/>
                <w:i/>
                <w:iCs/>
                <w:color w:val="000000" w:themeColor="text1"/>
                <w:sz w:val="20"/>
                <w:szCs w:val="20"/>
              </w:rPr>
              <w:t xml:space="preserve"> nr.112/2018 cu </w:t>
            </w:r>
            <w:proofErr w:type="spellStart"/>
            <w:r>
              <w:rPr>
                <w:rFonts w:ascii="Times New Roman" w:hAnsi="Times New Roman" w:cs="Times New Roman"/>
                <w:i/>
                <w:iCs/>
                <w:color w:val="000000" w:themeColor="text1"/>
                <w:sz w:val="20"/>
                <w:szCs w:val="20"/>
              </w:rPr>
              <w:t>privire</w:t>
            </w:r>
            <w:proofErr w:type="spellEnd"/>
            <w:r>
              <w:rPr>
                <w:rFonts w:ascii="Times New Roman" w:hAnsi="Times New Roman" w:cs="Times New Roman"/>
                <w:i/>
                <w:iCs/>
                <w:color w:val="000000" w:themeColor="text1"/>
                <w:sz w:val="20"/>
                <w:szCs w:val="20"/>
              </w:rPr>
              <w:t xml:space="preserve"> la </w:t>
            </w:r>
            <w:proofErr w:type="spellStart"/>
            <w:r>
              <w:rPr>
                <w:rFonts w:ascii="Times New Roman" w:hAnsi="Times New Roman" w:cs="Times New Roman"/>
                <w:i/>
                <w:iCs/>
                <w:color w:val="000000" w:themeColor="text1"/>
                <w:sz w:val="20"/>
                <w:szCs w:val="20"/>
              </w:rPr>
              <w:t>tehnicile</w:t>
            </w:r>
            <w:proofErr w:type="spellEnd"/>
            <w:r>
              <w:rPr>
                <w:rFonts w:ascii="Times New Roman" w:hAnsi="Times New Roman" w:cs="Times New Roman"/>
                <w:i/>
                <w:iCs/>
                <w:color w:val="000000" w:themeColor="text1"/>
                <w:sz w:val="20"/>
                <w:szCs w:val="20"/>
              </w:rPr>
              <w:t xml:space="preserve"> de </w:t>
            </w:r>
            <w:proofErr w:type="spellStart"/>
            <w:r>
              <w:rPr>
                <w:rFonts w:ascii="Times New Roman" w:hAnsi="Times New Roman" w:cs="Times New Roman"/>
                <w:i/>
                <w:iCs/>
                <w:color w:val="000000" w:themeColor="text1"/>
                <w:sz w:val="20"/>
                <w:szCs w:val="20"/>
              </w:rPr>
              <w:t>diminuare</w:t>
            </w:r>
            <w:proofErr w:type="spellEnd"/>
            <w:r>
              <w:rPr>
                <w:rFonts w:ascii="Times New Roman" w:hAnsi="Times New Roman" w:cs="Times New Roman"/>
                <w:i/>
                <w:iCs/>
                <w:color w:val="000000" w:themeColor="text1"/>
                <w:sz w:val="20"/>
                <w:szCs w:val="20"/>
              </w:rPr>
              <w:t xml:space="preserve"> a </w:t>
            </w:r>
            <w:proofErr w:type="spellStart"/>
            <w:r>
              <w:rPr>
                <w:rFonts w:ascii="Times New Roman" w:hAnsi="Times New Roman" w:cs="Times New Roman"/>
                <w:i/>
                <w:iCs/>
                <w:color w:val="000000" w:themeColor="text1"/>
                <w:sz w:val="20"/>
                <w:szCs w:val="20"/>
              </w:rPr>
              <w:t>riscului</w:t>
            </w:r>
            <w:proofErr w:type="spellEnd"/>
            <w:r>
              <w:rPr>
                <w:rFonts w:ascii="Times New Roman" w:hAnsi="Times New Roman" w:cs="Times New Roman"/>
                <w:i/>
                <w:iCs/>
                <w:color w:val="000000" w:themeColor="text1"/>
                <w:sz w:val="20"/>
                <w:szCs w:val="20"/>
              </w:rPr>
              <w:t xml:space="preserve"> de credit </w:t>
            </w:r>
            <w:proofErr w:type="spellStart"/>
            <w:r>
              <w:rPr>
                <w:rFonts w:ascii="Times New Roman" w:hAnsi="Times New Roman" w:cs="Times New Roman"/>
                <w:i/>
                <w:iCs/>
                <w:color w:val="000000" w:themeColor="text1"/>
                <w:sz w:val="20"/>
                <w:szCs w:val="20"/>
              </w:rPr>
              <w:t>utilizate</w:t>
            </w:r>
            <w:proofErr w:type="spellEnd"/>
            <w:r>
              <w:rPr>
                <w:rFonts w:ascii="Times New Roman" w:hAnsi="Times New Roman" w:cs="Times New Roman"/>
                <w:i/>
                <w:iCs/>
                <w:color w:val="000000" w:themeColor="text1"/>
                <w:sz w:val="20"/>
                <w:szCs w:val="20"/>
              </w:rPr>
              <w:t xml:space="preserve"> de </w:t>
            </w:r>
            <w:proofErr w:type="spellStart"/>
            <w:r>
              <w:rPr>
                <w:rFonts w:ascii="Times New Roman" w:hAnsi="Times New Roman" w:cs="Times New Roman"/>
                <w:i/>
                <w:iCs/>
                <w:color w:val="000000" w:themeColor="text1"/>
                <w:sz w:val="20"/>
                <w:szCs w:val="20"/>
              </w:rPr>
              <w:t>bănci</w:t>
            </w:r>
            <w:proofErr w:type="spellEnd"/>
          </w:p>
        </w:tc>
        <w:tc>
          <w:tcPr>
            <w:tcW w:w="562" w:type="pct"/>
          </w:tcPr>
          <w:p w14:paraId="3472AA2F"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p w14:paraId="2DF79276" w14:textId="77777777" w:rsidR="00D62F3C" w:rsidRPr="002C32BA" w:rsidRDefault="00D62F3C" w:rsidP="00D62F3C">
            <w:pPr>
              <w:rPr>
                <w:rFonts w:ascii="Times New Roman" w:hAnsi="Times New Roman" w:cs="Times New Roman"/>
                <w:sz w:val="20"/>
                <w:szCs w:val="20"/>
                <w:lang w:val="ro-RO"/>
              </w:rPr>
            </w:pPr>
          </w:p>
          <w:p w14:paraId="0DBA73FD" w14:textId="77777777" w:rsidR="00D62F3C" w:rsidRPr="002C32BA" w:rsidRDefault="00D62F3C" w:rsidP="00D62F3C">
            <w:pPr>
              <w:rPr>
                <w:rFonts w:ascii="Times New Roman" w:hAnsi="Times New Roman" w:cs="Times New Roman"/>
                <w:sz w:val="20"/>
                <w:szCs w:val="20"/>
                <w:lang w:val="ro-RO"/>
              </w:rPr>
            </w:pPr>
          </w:p>
          <w:p w14:paraId="45007073" w14:textId="77777777" w:rsidR="00D62F3C" w:rsidRPr="002C32BA" w:rsidRDefault="00D62F3C" w:rsidP="00D62F3C">
            <w:pPr>
              <w:rPr>
                <w:rFonts w:ascii="Times New Roman" w:hAnsi="Times New Roman" w:cs="Times New Roman"/>
                <w:sz w:val="20"/>
                <w:szCs w:val="20"/>
                <w:lang w:val="ro-RO"/>
              </w:rPr>
            </w:pPr>
          </w:p>
          <w:p w14:paraId="3CE6C6D1" w14:textId="77777777" w:rsidR="00D62F3C" w:rsidRPr="002C32BA" w:rsidRDefault="00D62F3C" w:rsidP="00D62F3C">
            <w:pPr>
              <w:rPr>
                <w:rFonts w:ascii="Times New Roman" w:hAnsi="Times New Roman" w:cs="Times New Roman"/>
                <w:sz w:val="20"/>
                <w:szCs w:val="20"/>
                <w:lang w:val="ro-RO"/>
              </w:rPr>
            </w:pPr>
          </w:p>
          <w:p w14:paraId="7C660DFF" w14:textId="77777777" w:rsidR="00D62F3C" w:rsidRPr="002C32BA" w:rsidRDefault="00D62F3C" w:rsidP="00D62F3C">
            <w:pPr>
              <w:rPr>
                <w:rFonts w:ascii="Times New Roman" w:hAnsi="Times New Roman" w:cs="Times New Roman"/>
                <w:sz w:val="20"/>
                <w:szCs w:val="20"/>
                <w:lang w:val="ro-RO"/>
              </w:rPr>
            </w:pPr>
          </w:p>
          <w:p w14:paraId="7233FA2D" w14:textId="6B7D085F" w:rsidR="00D62F3C" w:rsidRPr="002C32BA" w:rsidRDefault="00D62F3C" w:rsidP="00D62F3C">
            <w:pPr>
              <w:rPr>
                <w:rFonts w:ascii="Times New Roman" w:hAnsi="Times New Roman" w:cs="Times New Roman"/>
                <w:sz w:val="20"/>
                <w:szCs w:val="20"/>
                <w:lang w:val="ro-RO"/>
              </w:rPr>
            </w:pPr>
          </w:p>
        </w:tc>
        <w:tc>
          <w:tcPr>
            <w:tcW w:w="885" w:type="pct"/>
          </w:tcPr>
          <w:p w14:paraId="1C32688C" w14:textId="2931830B"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03DCD1B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7C21BB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(3) Instituțiile trebuie să îndeplinească toate cerințele contractuale și legale privind caracterul executoriu al contractelor de garanție reală în temeiul legii aplicabile dreptului lor asupra garanției reale și să ia toate măsurile necesare pentru a asigura acest caracter executoriu.</w:t>
            </w:r>
          </w:p>
          <w:p w14:paraId="1CADD3D6" w14:textId="77777777" w:rsidR="00D62F3C" w:rsidRPr="002C32BA" w:rsidRDefault="00D62F3C" w:rsidP="00D62F3C">
            <w:pPr>
              <w:rPr>
                <w:rFonts w:ascii="Times New Roman" w:hAnsi="Times New Roman" w:cs="Times New Roman"/>
                <w:sz w:val="20"/>
                <w:szCs w:val="20"/>
                <w:lang w:val="ro-RO"/>
              </w:rPr>
            </w:pPr>
          </w:p>
          <w:p w14:paraId="53A46D7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Instituțiile trebuie să efectueze o analiză juridică, considerată suficientă pentru a confirma caracterul executoriu al contractelor de garanție reală în toate jurisdicțiile relevante. Această analiză trebuie </w:t>
            </w:r>
            <w:proofErr w:type="spellStart"/>
            <w:r w:rsidRPr="002C32BA">
              <w:rPr>
                <w:rFonts w:ascii="Times New Roman" w:hAnsi="Times New Roman"/>
                <w:iCs/>
                <w:sz w:val="20"/>
                <w:szCs w:val="20"/>
                <w:lang w:val="ro-RO" w:eastAsia="ru-RU"/>
              </w:rPr>
              <w:t>reefectuată</w:t>
            </w:r>
            <w:proofErr w:type="spellEnd"/>
            <w:r w:rsidRPr="002C32BA">
              <w:rPr>
                <w:rFonts w:ascii="Times New Roman" w:hAnsi="Times New Roman"/>
                <w:iCs/>
                <w:sz w:val="20"/>
                <w:szCs w:val="20"/>
                <w:lang w:val="ro-RO" w:eastAsia="ru-RU"/>
              </w:rPr>
              <w:t>, dacă este necesar, pentru a asigura caracterul executoriu permanent.</w:t>
            </w:r>
          </w:p>
        </w:tc>
        <w:tc>
          <w:tcPr>
            <w:tcW w:w="1636" w:type="pct"/>
            <w:shd w:val="clear" w:color="auto" w:fill="auto"/>
          </w:tcPr>
          <w:p w14:paraId="66094FD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473278">
              <w:rPr>
                <w:rFonts w:ascii="Times New Roman" w:hAnsi="Times New Roman"/>
                <w:b/>
                <w:bCs/>
                <w:sz w:val="20"/>
                <w:szCs w:val="20"/>
                <w:lang w:val="ro-RO" w:eastAsia="ru-RU"/>
              </w:rPr>
              <w:t>47.</w:t>
            </w:r>
            <w:r w:rsidRPr="002C32BA">
              <w:rPr>
                <w:rFonts w:ascii="Times New Roman" w:hAnsi="Times New Roman"/>
                <w:sz w:val="20"/>
                <w:szCs w:val="20"/>
                <w:lang w:val="ro-RO" w:eastAsia="ru-RU"/>
              </w:rPr>
              <w:t xml:space="preserve"> Băncile trebuie să îndeplinească toate cerințele contractuale și legale privind punerea în aplicare/executare a contractelor de garanție reală potrivit legislației care guvernează drepturile lor asupra garanției reale și să ia toate măsurile necesare pentru a asigura punerea în aplicare/executare.</w:t>
            </w:r>
          </w:p>
          <w:p w14:paraId="0E47E4FD"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77286C2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473278">
              <w:rPr>
                <w:rFonts w:ascii="Times New Roman" w:hAnsi="Times New Roman"/>
                <w:b/>
                <w:bCs/>
                <w:sz w:val="20"/>
                <w:szCs w:val="20"/>
                <w:lang w:val="ro-RO" w:eastAsia="ru-RU"/>
              </w:rPr>
              <w:t>48.</w:t>
            </w:r>
            <w:r w:rsidRPr="002C32BA">
              <w:rPr>
                <w:rFonts w:ascii="Times New Roman" w:hAnsi="Times New Roman"/>
                <w:sz w:val="20"/>
                <w:szCs w:val="20"/>
                <w:lang w:val="ro-RO" w:eastAsia="ru-RU"/>
              </w:rPr>
              <w:t xml:space="preserve"> Băncile trebuie să efectueze o analiză juridică, considerată suficientă pentru a confirma că contractele de garanție reală pot fi puse în aplicare/executare în toate jurisdicțiile relevante. Băncile trebuie să </w:t>
            </w:r>
            <w:proofErr w:type="spellStart"/>
            <w:r w:rsidRPr="002C32BA">
              <w:rPr>
                <w:rFonts w:ascii="Times New Roman" w:hAnsi="Times New Roman"/>
                <w:sz w:val="20"/>
                <w:szCs w:val="20"/>
                <w:lang w:val="ro-RO" w:eastAsia="ru-RU"/>
              </w:rPr>
              <w:t>reefectueze</w:t>
            </w:r>
            <w:proofErr w:type="spellEnd"/>
            <w:r w:rsidRPr="002C32BA">
              <w:rPr>
                <w:rFonts w:ascii="Times New Roman" w:hAnsi="Times New Roman"/>
                <w:sz w:val="20"/>
                <w:szCs w:val="20"/>
                <w:lang w:val="ro-RO" w:eastAsia="ru-RU"/>
              </w:rPr>
              <w:t xml:space="preserve"> astfel de analiză, dacă este necesar, pentru a asigura în permanență punerea în aplicare/executare a contractelor menționate.</w:t>
            </w:r>
          </w:p>
        </w:tc>
        <w:tc>
          <w:tcPr>
            <w:tcW w:w="562" w:type="pct"/>
          </w:tcPr>
          <w:p w14:paraId="64C97DB0"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0E7B643" w14:textId="3642017E"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7447DC56"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1D367EF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965564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(4) Instituțiile trebuie să îndeplinească toate cerințele operaționale următoare:</w:t>
            </w:r>
          </w:p>
          <w:p w14:paraId="4FABDFF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să formalizeze în mod corespunzător contractele de garanție reală și să dispună de proceduri clare și solide pentru executarea în timp util a garanției reale;</w:t>
            </w:r>
          </w:p>
          <w:p w14:paraId="0FBC28C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să aplice proceduri și procese solide de control al riscurilor decurgând din utilizarea garanției reale, inclusiv al riscurilor de nerealizare sau de realizare incompletă a protecției creditului, al riscurilor de evaluare, al riscurilor asociate rezilierii protecției creditului, al riscului de concentrare decurgând din utilizarea garanției reale, precum și al interacțiunii acestora cu profilul general de risc al instituției;</w:t>
            </w:r>
          </w:p>
          <w:p w14:paraId="4076160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să dispună de politici și practici formalizate privind tipurile de garanții reale acceptate și cuantumurile acestora;</w:t>
            </w:r>
          </w:p>
          <w:p w14:paraId="1324465A" w14:textId="77777777" w:rsidR="00E75E38" w:rsidRDefault="00E75E38" w:rsidP="00E75E38">
            <w:pPr>
              <w:pStyle w:val="CM4"/>
              <w:tabs>
                <w:tab w:val="left" w:pos="150"/>
              </w:tabs>
              <w:ind w:left="-43"/>
              <w:jc w:val="both"/>
              <w:rPr>
                <w:rFonts w:ascii="Times New Roman" w:hAnsi="Times New Roman"/>
                <w:iCs/>
                <w:sz w:val="20"/>
                <w:szCs w:val="20"/>
                <w:lang w:val="ro-RO" w:eastAsia="ru-RU"/>
              </w:rPr>
            </w:pPr>
          </w:p>
          <w:p w14:paraId="07A5A657" w14:textId="78342BFB" w:rsidR="00D62F3C" w:rsidRPr="002C32BA" w:rsidRDefault="00D62F3C" w:rsidP="00D62F3C">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78EB068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473278">
              <w:rPr>
                <w:rFonts w:ascii="Times New Roman" w:hAnsi="Times New Roman"/>
                <w:b/>
                <w:bCs/>
                <w:sz w:val="20"/>
                <w:szCs w:val="20"/>
                <w:lang w:val="ro-RO" w:eastAsia="ru-RU"/>
              </w:rPr>
              <w:t>49.</w:t>
            </w:r>
            <w:r w:rsidRPr="002C32BA">
              <w:rPr>
                <w:rFonts w:ascii="Times New Roman" w:hAnsi="Times New Roman"/>
                <w:sz w:val="20"/>
                <w:szCs w:val="20"/>
                <w:lang w:val="ro-RO" w:eastAsia="ru-RU"/>
              </w:rPr>
              <w:t xml:space="preserve"> Băncile trebuie să îndeplinească cumulativ următoarele cerințe operaționale: </w:t>
            </w:r>
          </w:p>
          <w:p w14:paraId="6B659E3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să documenteze în mod corespunzător contractele de garanție reală și să dispună de proceduri clare și solide pentru executarea în timp util a garanției reale; </w:t>
            </w:r>
          </w:p>
          <w:p w14:paraId="3472861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să aplice proceduri și procese solide de control al riscurilor care decurg din utilizarea garanției reale, inclusiv al riscurilor de protecție nereușită sau redusă a creditului, al riscurilor de evaluare, al riscurilor asociate rezilierii protecției creditului, al riscului de concentrare care rezultă din utilizarea garanției reale, precum și al interacțiunii acestora cu profilul general de risc al băncii; </w:t>
            </w:r>
          </w:p>
          <w:p w14:paraId="75DD6D0A" w14:textId="240B1CCD" w:rsidR="00D62F3C" w:rsidRPr="002C32BA" w:rsidRDefault="00D62F3C" w:rsidP="00F32E65">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3) să dispună de politici și practici documentate privind tipurile de garanții reale acceptate și valorile acestora; </w:t>
            </w:r>
          </w:p>
        </w:tc>
        <w:tc>
          <w:tcPr>
            <w:tcW w:w="562" w:type="pct"/>
          </w:tcPr>
          <w:p w14:paraId="4AAD1FF4"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EAFAF47" w14:textId="3B093E3B"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4E41640" w14:textId="77777777" w:rsidR="00D62F3C" w:rsidRPr="002C32BA" w:rsidRDefault="00D62F3C" w:rsidP="00D62F3C">
            <w:pPr>
              <w:jc w:val="both"/>
              <w:rPr>
                <w:rFonts w:ascii="Times New Roman" w:hAnsi="Times New Roman" w:cs="Times New Roman"/>
                <w:sz w:val="20"/>
                <w:szCs w:val="20"/>
                <w:lang w:val="ro-RO"/>
              </w:rPr>
            </w:pPr>
          </w:p>
        </w:tc>
      </w:tr>
      <w:tr w:rsidR="00352469" w:rsidRPr="002C32BA" w14:paraId="0750F43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7EFDFECA" w14:textId="77777777" w:rsidR="00352469" w:rsidRPr="00E75E38" w:rsidRDefault="00352469" w:rsidP="00352469">
            <w:pPr>
              <w:pStyle w:val="CM4"/>
              <w:tabs>
                <w:tab w:val="left" w:pos="150"/>
              </w:tabs>
              <w:ind w:left="-43"/>
              <w:jc w:val="both"/>
              <w:rPr>
                <w:rFonts w:ascii="Times New Roman" w:hAnsi="Times New Roman"/>
                <w:iCs/>
                <w:sz w:val="20"/>
                <w:szCs w:val="20"/>
                <w:lang w:val="ro-RO" w:eastAsia="ru-RU"/>
              </w:rPr>
            </w:pPr>
            <w:r w:rsidRPr="00E75E38">
              <w:rPr>
                <w:rFonts w:ascii="Times New Roman" w:hAnsi="Times New Roman"/>
                <w:iCs/>
                <w:sz w:val="20"/>
                <w:szCs w:val="20"/>
                <w:lang w:val="ro-RO" w:eastAsia="ru-RU"/>
              </w:rPr>
              <w:lastRenderedPageBreak/>
              <w:t>▼M17</w:t>
            </w:r>
          </w:p>
          <w:p w14:paraId="7124873D" w14:textId="77777777" w:rsidR="00352469" w:rsidRPr="00E75E38" w:rsidRDefault="00352469" w:rsidP="00352469">
            <w:pPr>
              <w:pStyle w:val="CM4"/>
              <w:tabs>
                <w:tab w:val="left" w:pos="150"/>
              </w:tabs>
              <w:ind w:left="-43"/>
              <w:jc w:val="both"/>
              <w:rPr>
                <w:rFonts w:ascii="Times New Roman" w:hAnsi="Times New Roman"/>
                <w:iCs/>
                <w:sz w:val="20"/>
                <w:szCs w:val="20"/>
                <w:lang w:val="ro-RO" w:eastAsia="ru-RU"/>
              </w:rPr>
            </w:pPr>
          </w:p>
          <w:p w14:paraId="216512BE" w14:textId="77777777" w:rsidR="00352469" w:rsidRDefault="00352469" w:rsidP="00352469">
            <w:pPr>
              <w:pStyle w:val="CM4"/>
              <w:tabs>
                <w:tab w:val="left" w:pos="150"/>
              </w:tabs>
              <w:ind w:left="-43"/>
              <w:jc w:val="both"/>
              <w:rPr>
                <w:rFonts w:ascii="Times New Roman" w:hAnsi="Times New Roman"/>
                <w:iCs/>
                <w:sz w:val="20"/>
                <w:szCs w:val="20"/>
                <w:lang w:val="ro-RO" w:eastAsia="ru-RU"/>
              </w:rPr>
            </w:pPr>
            <w:r w:rsidRPr="00E75E38">
              <w:rPr>
                <w:rFonts w:ascii="Times New Roman" w:hAnsi="Times New Roman"/>
                <w:iCs/>
                <w:sz w:val="20"/>
                <w:szCs w:val="20"/>
                <w:lang w:val="ro-RO" w:eastAsia="ru-RU"/>
              </w:rPr>
              <w:t xml:space="preserve">(d) să calculeze valoarea de piață a garanției reale și să o revizuiască în mod corespunzător, cel puțin o dată la șase luni și ori de câte ori au motive să considere că a avut loc o scădere semnificativă a valorii de piață a garanției reale; considerații legate de ESG determină efectuarea unei evaluări pentru a se stabili dacă a avut loc o scădere semnificativă a valorii de piață a garanției reale; </w:t>
            </w:r>
          </w:p>
          <w:p w14:paraId="2454EC3D" w14:textId="77777777" w:rsidR="00352469" w:rsidRPr="002C32BA" w:rsidRDefault="00352469" w:rsidP="00352469">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549D3225" w14:textId="77777777" w:rsidR="00352469" w:rsidRDefault="00352469" w:rsidP="00352469">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4) să calculeze valoarea de piață a garanției reale și să o revizuiască în mod corespunzător, cel puțin o dată la șase luni și ori de câte ori au motive să considere că a avut loc o scădere semnificativă a valorii de piață a garanției reale;</w:t>
            </w:r>
            <w:r w:rsidRPr="00E8164A">
              <w:rPr>
                <w:color w:val="000000" w:themeColor="text1"/>
                <w:sz w:val="20"/>
                <w:szCs w:val="20"/>
              </w:rPr>
              <w:t xml:space="preserve"> </w:t>
            </w:r>
            <w:r w:rsidRPr="00E8164A">
              <w:rPr>
                <w:rFonts w:ascii="Times New Roman" w:hAnsi="Times New Roman"/>
                <w:color w:val="000000" w:themeColor="text1"/>
                <w:sz w:val="20"/>
                <w:szCs w:val="20"/>
                <w:lang w:val="ro-RO" w:eastAsia="ro-MD"/>
              </w:rPr>
              <w:t>considerații legate de riscurile de mediu, social și guvernanță determină efectuarea unei evaluări pentru a se stabili dacă a avut loc o scădere semnificativă a valorii de piață a garanției reale;</w:t>
            </w:r>
          </w:p>
          <w:p w14:paraId="68F79309" w14:textId="4B5FD80D" w:rsidR="00352469" w:rsidRPr="00352469" w:rsidRDefault="00352469" w:rsidP="00352469">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7CD0A6EB" w14:textId="59B5C6CC" w:rsidR="00352469" w:rsidRPr="002C32BA" w:rsidRDefault="00352469" w:rsidP="00352469">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D985ED2" w14:textId="77777777" w:rsidR="00352469" w:rsidRDefault="00352469" w:rsidP="00352469">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BA07FBA" w14:textId="77777777" w:rsidR="00352469" w:rsidRDefault="00352469" w:rsidP="00352469">
            <w:pPr>
              <w:jc w:val="both"/>
              <w:rPr>
                <w:rFonts w:ascii="Times New Roman" w:hAnsi="Times New Roman" w:cs="Times New Roman"/>
                <w:sz w:val="20"/>
                <w:szCs w:val="20"/>
                <w:lang w:val="ro-RO"/>
              </w:rPr>
            </w:pPr>
          </w:p>
        </w:tc>
      </w:tr>
      <w:tr w:rsidR="00473278" w:rsidRPr="002C32BA" w14:paraId="25C61CD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4883BB7" w14:textId="77777777" w:rsidR="00473278" w:rsidRDefault="00473278" w:rsidP="00473278">
            <w:pPr>
              <w:pStyle w:val="CM4"/>
              <w:tabs>
                <w:tab w:val="left" w:pos="150"/>
              </w:tabs>
              <w:ind w:left="-43"/>
              <w:jc w:val="both"/>
              <w:rPr>
                <w:rFonts w:ascii="Times New Roman" w:hAnsi="Times New Roman"/>
                <w:sz w:val="20"/>
                <w:szCs w:val="20"/>
                <w:lang w:val="ro-RO"/>
              </w:rPr>
            </w:pPr>
            <w:r w:rsidRPr="002C32BA">
              <w:rPr>
                <w:rFonts w:ascii="Times New Roman" w:hAnsi="Times New Roman"/>
                <w:iCs/>
                <w:sz w:val="20"/>
                <w:szCs w:val="20"/>
                <w:lang w:val="ro-RO" w:eastAsia="ru-RU"/>
              </w:rPr>
              <w:t>(e) în cazul în care garanția reală este păstrată de o parte terță, instituțiile trebuie să facă demersurile necesare pentru a se asigura că partea terță separă garanția reală de activele proprii;</w:t>
            </w:r>
            <w:r w:rsidRPr="002C32BA">
              <w:rPr>
                <w:rFonts w:ascii="Times New Roman" w:hAnsi="Times New Roman"/>
                <w:sz w:val="20"/>
                <w:szCs w:val="20"/>
                <w:lang w:val="ro-RO"/>
              </w:rPr>
              <w:t xml:space="preserve"> </w:t>
            </w:r>
          </w:p>
          <w:p w14:paraId="15CA1455" w14:textId="77777777" w:rsidR="00473278" w:rsidRDefault="00473278" w:rsidP="0047327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(f) să se asigure că alocă suficiente resurse pentru buna funcționare a contractelor în marjă cu </w:t>
            </w:r>
            <w:proofErr w:type="spellStart"/>
            <w:r w:rsidRPr="002C32BA">
              <w:rPr>
                <w:rFonts w:ascii="Times New Roman" w:hAnsi="Times New Roman"/>
                <w:iCs/>
                <w:sz w:val="20"/>
                <w:szCs w:val="20"/>
                <w:lang w:val="ro-RO" w:eastAsia="ru-RU"/>
              </w:rPr>
              <w:t>contrapărțile</w:t>
            </w:r>
            <w:proofErr w:type="spellEnd"/>
            <w:r w:rsidRPr="002C32BA">
              <w:rPr>
                <w:rFonts w:ascii="Times New Roman" w:hAnsi="Times New Roman"/>
                <w:iCs/>
                <w:sz w:val="20"/>
                <w:szCs w:val="20"/>
                <w:lang w:val="ro-RO" w:eastAsia="ru-RU"/>
              </w:rPr>
              <w:t xml:space="preserve"> pentru instrumente financiare derivate </w:t>
            </w:r>
            <w:proofErr w:type="spellStart"/>
            <w:r w:rsidRPr="002C32BA">
              <w:rPr>
                <w:rFonts w:ascii="Times New Roman" w:hAnsi="Times New Roman"/>
                <w:iCs/>
                <w:sz w:val="20"/>
                <w:szCs w:val="20"/>
                <w:lang w:val="ro-RO" w:eastAsia="ru-RU"/>
              </w:rPr>
              <w:t>extrabursiere</w:t>
            </w:r>
            <w:proofErr w:type="spellEnd"/>
            <w:r w:rsidRPr="002C32BA">
              <w:rPr>
                <w:rFonts w:ascii="Times New Roman" w:hAnsi="Times New Roman"/>
                <w:iCs/>
                <w:sz w:val="20"/>
                <w:szCs w:val="20"/>
                <w:lang w:val="ro-RO" w:eastAsia="ru-RU"/>
              </w:rPr>
              <w:t xml:space="preserve"> și pentru finanțarea pe bază de titluri, măsurată prin punctualitatea și acuratețea apelurilor în marjă lansate și prin timpul de răspuns la apelurile în marjă primite;</w:t>
            </w:r>
          </w:p>
          <w:p w14:paraId="5F3FF409" w14:textId="77777777" w:rsidR="00473278" w:rsidRPr="00473278" w:rsidRDefault="00473278" w:rsidP="00473278">
            <w:pPr>
              <w:rPr>
                <w:lang w:val="ro-RO" w:eastAsia="ru-RU"/>
              </w:rPr>
            </w:pPr>
          </w:p>
          <w:p w14:paraId="047AC3A5" w14:textId="77777777" w:rsidR="00473278" w:rsidRPr="002C32BA" w:rsidRDefault="00473278" w:rsidP="0047327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(g) să dispună de politici de administrare a garanțiilor reale, pentru a controla, monitoriza și raporta următoarele:</w:t>
            </w:r>
          </w:p>
          <w:p w14:paraId="74B03E58" w14:textId="77777777" w:rsidR="00473278" w:rsidRPr="002C32BA" w:rsidRDefault="00473278" w:rsidP="0047327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riscurile la care se expun prin contractele în marjă;</w:t>
            </w:r>
          </w:p>
          <w:p w14:paraId="2854B905" w14:textId="77777777" w:rsidR="00473278" w:rsidRPr="002C32BA" w:rsidRDefault="00473278" w:rsidP="0047327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riscul de concentrare referitor la anumite tipuri de active afectate garanției reale;</w:t>
            </w:r>
          </w:p>
          <w:p w14:paraId="554AC2D1" w14:textId="77777777" w:rsidR="00473278" w:rsidRPr="002C32BA" w:rsidRDefault="00473278" w:rsidP="0047327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(iii) reutilizarea garanțiilor reale, inclusiv lipsa potențială de lichidități rezultând din reutilizarea garanțiilor reale primite de la </w:t>
            </w:r>
            <w:proofErr w:type="spellStart"/>
            <w:r w:rsidRPr="002C32BA">
              <w:rPr>
                <w:rFonts w:ascii="Times New Roman" w:hAnsi="Times New Roman"/>
                <w:iCs/>
                <w:sz w:val="20"/>
                <w:szCs w:val="20"/>
                <w:lang w:val="ro-RO" w:eastAsia="ru-RU"/>
              </w:rPr>
              <w:t>contrapărți</w:t>
            </w:r>
            <w:proofErr w:type="spellEnd"/>
            <w:r w:rsidRPr="002C32BA">
              <w:rPr>
                <w:rFonts w:ascii="Times New Roman" w:hAnsi="Times New Roman"/>
                <w:iCs/>
                <w:sz w:val="20"/>
                <w:szCs w:val="20"/>
                <w:lang w:val="ro-RO" w:eastAsia="ru-RU"/>
              </w:rPr>
              <w:t>;</w:t>
            </w:r>
          </w:p>
          <w:p w14:paraId="74E465D5" w14:textId="3020A923" w:rsidR="00473278" w:rsidRPr="002C32BA" w:rsidRDefault="00473278" w:rsidP="0047327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(iv) renunțarea la drepturile asupra garanțiilor reale constituite în favoarea </w:t>
            </w:r>
            <w:proofErr w:type="spellStart"/>
            <w:r w:rsidRPr="002C32BA">
              <w:rPr>
                <w:rFonts w:ascii="Times New Roman" w:hAnsi="Times New Roman"/>
                <w:iCs/>
                <w:sz w:val="20"/>
                <w:szCs w:val="20"/>
                <w:lang w:val="ro-RO" w:eastAsia="ru-RU"/>
              </w:rPr>
              <w:t>contrapărților</w:t>
            </w:r>
            <w:proofErr w:type="spellEnd"/>
            <w:r w:rsidRPr="002C32BA">
              <w:rPr>
                <w:rFonts w:ascii="Times New Roman" w:hAnsi="Times New Roman"/>
                <w:iCs/>
                <w:sz w:val="20"/>
                <w:szCs w:val="20"/>
                <w:lang w:val="ro-RO" w:eastAsia="ru-RU"/>
              </w:rPr>
              <w:t>.</w:t>
            </w:r>
          </w:p>
        </w:tc>
        <w:tc>
          <w:tcPr>
            <w:tcW w:w="1636" w:type="pct"/>
            <w:shd w:val="clear" w:color="auto" w:fill="auto"/>
          </w:tcPr>
          <w:p w14:paraId="0CC3B83A" w14:textId="729D8E24" w:rsidR="00473278" w:rsidRPr="00E8164A" w:rsidRDefault="00473278" w:rsidP="0047327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5) în cazul în care garanția reală este deținută de o parte terță - să întreprindă măsurile rezonabile pentru a se asigura că partea terță separă garanția reală de activele proprii;</w:t>
            </w:r>
          </w:p>
          <w:p w14:paraId="4B7F4527" w14:textId="26F8BB23" w:rsidR="00473278" w:rsidRPr="00E8164A" w:rsidRDefault="00473278" w:rsidP="0047327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6) să se asigure că alocă resurse suficiente pentru buna funcționare a contractelor în marjă cu </w:t>
            </w:r>
            <w:proofErr w:type="spellStart"/>
            <w:r w:rsidRPr="00E8164A">
              <w:rPr>
                <w:rFonts w:ascii="Times New Roman" w:eastAsia="Times New Roman" w:hAnsi="Times New Roman" w:cs="Times New Roman"/>
                <w:color w:val="000000" w:themeColor="text1"/>
                <w:sz w:val="20"/>
                <w:szCs w:val="20"/>
                <w:lang w:val="ro-RO" w:eastAsia="ro-MD"/>
              </w:rPr>
              <w:t>contrapărțile</w:t>
            </w:r>
            <w:proofErr w:type="spellEnd"/>
            <w:r w:rsidRPr="00E8164A">
              <w:rPr>
                <w:rFonts w:ascii="Times New Roman" w:eastAsia="Times New Roman" w:hAnsi="Times New Roman" w:cs="Times New Roman"/>
                <w:color w:val="000000" w:themeColor="text1"/>
                <w:sz w:val="20"/>
                <w:szCs w:val="20"/>
                <w:lang w:val="ro-RO" w:eastAsia="ro-MD"/>
              </w:rPr>
              <w:t xml:space="preserve"> pentru instrumente financiare derivate </w:t>
            </w:r>
            <w:proofErr w:type="spellStart"/>
            <w:r w:rsidRPr="00E8164A">
              <w:rPr>
                <w:rFonts w:ascii="Times New Roman" w:eastAsia="Times New Roman" w:hAnsi="Times New Roman" w:cs="Times New Roman"/>
                <w:color w:val="000000" w:themeColor="text1"/>
                <w:sz w:val="20"/>
                <w:szCs w:val="20"/>
                <w:lang w:val="ro-RO" w:eastAsia="ro-MD"/>
              </w:rPr>
              <w:t>extrabursiere</w:t>
            </w:r>
            <w:proofErr w:type="spellEnd"/>
            <w:r w:rsidRPr="00E8164A">
              <w:rPr>
                <w:rFonts w:ascii="Times New Roman" w:eastAsia="Times New Roman" w:hAnsi="Times New Roman" w:cs="Times New Roman"/>
                <w:color w:val="000000" w:themeColor="text1"/>
                <w:sz w:val="20"/>
                <w:szCs w:val="20"/>
                <w:lang w:val="ro-RO" w:eastAsia="ro-MD"/>
              </w:rPr>
              <w:t xml:space="preserve"> și pentru finanțarea pe bază de valori mobiliare, măsurată prin promptitudinea și acuratețea apelurilor lor în marjă lansate și prin timpul de răspuns la apelurile în marjă primite;</w:t>
            </w:r>
          </w:p>
          <w:p w14:paraId="6C8CCDAC" w14:textId="77777777" w:rsidR="00473278" w:rsidRPr="00E8164A" w:rsidRDefault="00473278" w:rsidP="0047327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7) să dispună de politici de gestionare a garanțiilor reale pentru a controla, monitoriza și raporta următoarele:</w:t>
            </w:r>
          </w:p>
          <w:p w14:paraId="70BB36FE" w14:textId="77777777" w:rsidR="00473278" w:rsidRPr="00E8164A" w:rsidRDefault="00473278" w:rsidP="0047327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a) riscurile la care se expun prin contractele în marjă;</w:t>
            </w:r>
          </w:p>
          <w:p w14:paraId="5939A3AF" w14:textId="77777777" w:rsidR="00473278" w:rsidRPr="00E8164A" w:rsidRDefault="00473278" w:rsidP="0047327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b) riscul de concentrare a anumitor tipuri de active utilizate ca garanția reală;</w:t>
            </w:r>
          </w:p>
          <w:p w14:paraId="134962B1" w14:textId="77777777" w:rsidR="00473278" w:rsidRPr="00E8164A" w:rsidRDefault="00473278" w:rsidP="00473278">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c) reutilizarea garanțiilor reale, inclusiv lipsa potențială de lichidități care rezultă din reutilizarea garanțiilor reale primite de la </w:t>
            </w:r>
            <w:proofErr w:type="spellStart"/>
            <w:r w:rsidRPr="00E8164A">
              <w:rPr>
                <w:rFonts w:ascii="Times New Roman" w:eastAsia="Times New Roman" w:hAnsi="Times New Roman" w:cs="Times New Roman"/>
                <w:color w:val="000000" w:themeColor="text1"/>
                <w:sz w:val="20"/>
                <w:szCs w:val="20"/>
                <w:lang w:val="ro-RO" w:eastAsia="ro-MD"/>
              </w:rPr>
              <w:t>contrapărți</w:t>
            </w:r>
            <w:proofErr w:type="spellEnd"/>
            <w:r w:rsidRPr="00E8164A">
              <w:rPr>
                <w:rFonts w:ascii="Times New Roman" w:eastAsia="Times New Roman" w:hAnsi="Times New Roman" w:cs="Times New Roman"/>
                <w:color w:val="000000" w:themeColor="text1"/>
                <w:sz w:val="20"/>
                <w:szCs w:val="20"/>
                <w:lang w:val="ro-RO" w:eastAsia="ro-MD"/>
              </w:rPr>
              <w:t>;</w:t>
            </w:r>
          </w:p>
          <w:p w14:paraId="792382E1" w14:textId="015BEC48" w:rsidR="00473278" w:rsidRPr="002C32BA" w:rsidRDefault="00473278" w:rsidP="00473278">
            <w:pPr>
              <w:pStyle w:val="CM4"/>
              <w:tabs>
                <w:tab w:val="left" w:pos="150"/>
              </w:tabs>
              <w:ind w:left="-36"/>
              <w:rPr>
                <w:rFonts w:ascii="Times New Roman" w:hAnsi="Times New Roman"/>
                <w:sz w:val="20"/>
                <w:szCs w:val="20"/>
                <w:lang w:val="ro-RO" w:eastAsia="ru-RU"/>
              </w:rPr>
            </w:pPr>
            <w:r w:rsidRPr="00E8164A">
              <w:rPr>
                <w:rFonts w:ascii="Times New Roman" w:hAnsi="Times New Roman"/>
                <w:color w:val="000000" w:themeColor="text1"/>
                <w:sz w:val="20"/>
                <w:szCs w:val="20"/>
                <w:lang w:val="ro-RO" w:eastAsia="ro-MD"/>
              </w:rPr>
              <w:t xml:space="preserve">d) renunțarea la drepturile asupra garanțiilor reale furnizate </w:t>
            </w:r>
            <w:proofErr w:type="spellStart"/>
            <w:r w:rsidRPr="00E8164A">
              <w:rPr>
                <w:rFonts w:ascii="Times New Roman" w:hAnsi="Times New Roman"/>
                <w:color w:val="000000" w:themeColor="text1"/>
                <w:sz w:val="20"/>
                <w:szCs w:val="20"/>
                <w:lang w:val="ro-RO" w:eastAsia="ro-MD"/>
              </w:rPr>
              <w:t>contrapărților</w:t>
            </w:r>
            <w:proofErr w:type="spellEnd"/>
            <w:r w:rsidRPr="00E8164A">
              <w:rPr>
                <w:rFonts w:ascii="Times New Roman" w:hAnsi="Times New Roman"/>
                <w:color w:val="000000" w:themeColor="text1"/>
                <w:sz w:val="20"/>
                <w:szCs w:val="20"/>
                <w:lang w:val="ro-RO" w:eastAsia="ro-MD"/>
              </w:rPr>
              <w:t>.</w:t>
            </w:r>
          </w:p>
        </w:tc>
        <w:tc>
          <w:tcPr>
            <w:tcW w:w="562" w:type="pct"/>
          </w:tcPr>
          <w:p w14:paraId="6260DE28" w14:textId="45370FE6" w:rsidR="00473278" w:rsidRPr="002C32BA" w:rsidRDefault="00473278" w:rsidP="00473278">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C69B9E7" w14:textId="77777777" w:rsidR="00473278" w:rsidRDefault="00473278" w:rsidP="00473278">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9379E71" w14:textId="77777777" w:rsidR="00473278" w:rsidRDefault="00473278" w:rsidP="00473278">
            <w:pPr>
              <w:jc w:val="both"/>
              <w:rPr>
                <w:rFonts w:ascii="Times New Roman" w:hAnsi="Times New Roman" w:cs="Times New Roman"/>
                <w:sz w:val="20"/>
                <w:szCs w:val="20"/>
                <w:lang w:val="ro-RO"/>
              </w:rPr>
            </w:pPr>
          </w:p>
        </w:tc>
      </w:tr>
      <w:tr w:rsidR="00D62F3C" w:rsidRPr="002C32BA" w14:paraId="3888B26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7"/>
        </w:trPr>
        <w:tc>
          <w:tcPr>
            <w:tcW w:w="1916" w:type="pct"/>
          </w:tcPr>
          <w:p w14:paraId="4EB1FB9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(5) În plus față de îndeplinirea tuturor cerințelor prevăzute la alineatele (2)-(4), pentru ca garanțiile financiare să se califice drept garanții reale eligibile în cadrul metodei simple a garanțiilor </w:t>
            </w:r>
            <w:r w:rsidRPr="002C32BA">
              <w:rPr>
                <w:rFonts w:ascii="Times New Roman" w:hAnsi="Times New Roman"/>
                <w:iCs/>
                <w:sz w:val="20"/>
                <w:szCs w:val="20"/>
                <w:lang w:val="ro-RO" w:eastAsia="ru-RU"/>
              </w:rPr>
              <w:lastRenderedPageBreak/>
              <w:t>financiare, scadența reziduală a protecției trebuie să fie cel puțin egală cu scadența reziduală a expunerii.</w:t>
            </w:r>
          </w:p>
        </w:tc>
        <w:tc>
          <w:tcPr>
            <w:tcW w:w="1636" w:type="pct"/>
            <w:shd w:val="clear" w:color="auto" w:fill="auto"/>
          </w:tcPr>
          <w:p w14:paraId="1D0E71C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F32E65">
              <w:rPr>
                <w:rFonts w:ascii="Times New Roman" w:hAnsi="Times New Roman"/>
                <w:b/>
                <w:bCs/>
                <w:sz w:val="20"/>
                <w:szCs w:val="20"/>
                <w:lang w:val="ro-RO" w:eastAsia="ru-RU"/>
              </w:rPr>
              <w:lastRenderedPageBreak/>
              <w:t>50.</w:t>
            </w:r>
            <w:r w:rsidRPr="002C32BA">
              <w:rPr>
                <w:rFonts w:ascii="Times New Roman" w:hAnsi="Times New Roman"/>
                <w:sz w:val="20"/>
                <w:szCs w:val="20"/>
                <w:lang w:val="ro-RO" w:eastAsia="ru-RU"/>
              </w:rPr>
              <w:t xml:space="preserve"> În plus față de îndeplinirea tuturor cerințelor prevăzute la punctele 45-49, pentru ca garanțiile financiare să fie calificate drept garanții reale eligibile în cadrul metodei </w:t>
            </w:r>
            <w:r w:rsidRPr="002C32BA">
              <w:rPr>
                <w:rFonts w:ascii="Times New Roman" w:hAnsi="Times New Roman"/>
                <w:sz w:val="20"/>
                <w:szCs w:val="20"/>
                <w:lang w:val="ro-RO" w:eastAsia="ru-RU"/>
              </w:rPr>
              <w:lastRenderedPageBreak/>
              <w:t>simple a garanțiilor financiare, scadența reziduală a protecției trebuie să fie cel puțin egală cu scadența reziduală a expunerii.</w:t>
            </w:r>
          </w:p>
        </w:tc>
        <w:tc>
          <w:tcPr>
            <w:tcW w:w="562" w:type="pct"/>
          </w:tcPr>
          <w:p w14:paraId="4E2ECA09"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74099BB3" w14:textId="1821174C"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FA71977" w14:textId="77777777" w:rsidR="00D62F3C" w:rsidRPr="002C32BA" w:rsidRDefault="00D62F3C" w:rsidP="00D62F3C">
            <w:pPr>
              <w:jc w:val="both"/>
              <w:rPr>
                <w:rFonts w:ascii="Times New Roman" w:hAnsi="Times New Roman" w:cs="Times New Roman"/>
                <w:sz w:val="20"/>
                <w:szCs w:val="20"/>
                <w:lang w:val="ro-RO"/>
              </w:rPr>
            </w:pPr>
          </w:p>
        </w:tc>
      </w:tr>
      <w:tr w:rsidR="00F32E65" w:rsidRPr="002C32BA" w14:paraId="0EBF717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7"/>
        </w:trPr>
        <w:tc>
          <w:tcPr>
            <w:tcW w:w="1916" w:type="pct"/>
          </w:tcPr>
          <w:p w14:paraId="28F62867" w14:textId="77777777" w:rsidR="00F32E65" w:rsidRPr="002C32BA" w:rsidRDefault="00F32E65"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lastRenderedPageBreak/>
              <w:t>Articolul 208</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privind garanțiile sub forma bunurilor imobile</w:t>
            </w:r>
          </w:p>
          <w:p w14:paraId="2D511D7C" w14:textId="0F97D216" w:rsidR="00F32E65" w:rsidRPr="002C32BA" w:rsidRDefault="00F32E65" w:rsidP="00D62F3C">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6FB3922F" w14:textId="77777777" w:rsidR="00F32E65" w:rsidRDefault="00F32E65" w:rsidP="00F32E65">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b/>
                <w:bCs/>
                <w:color w:val="000000" w:themeColor="text1"/>
                <w:sz w:val="20"/>
                <w:szCs w:val="20"/>
                <w:lang w:val="ro-RO" w:eastAsia="ro-MD"/>
              </w:rPr>
              <w:t>50</w:t>
            </w:r>
            <w:r w:rsidRPr="00E8164A">
              <w:rPr>
                <w:rFonts w:ascii="Times New Roman" w:hAnsi="Times New Roman"/>
                <w:b/>
                <w:bCs/>
                <w:color w:val="000000" w:themeColor="text1"/>
                <w:sz w:val="20"/>
                <w:szCs w:val="20"/>
                <w:vertAlign w:val="superscript"/>
                <w:lang w:val="ro-RO" w:eastAsia="ro-MD"/>
              </w:rPr>
              <w:t>1</w:t>
            </w:r>
            <w:r w:rsidRPr="00E8164A">
              <w:rPr>
                <w:rFonts w:ascii="Times New Roman" w:hAnsi="Times New Roman"/>
                <w:b/>
                <w:bCs/>
                <w:color w:val="000000" w:themeColor="text1"/>
                <w:sz w:val="20"/>
                <w:szCs w:val="20"/>
                <w:lang w:val="ro-RO" w:eastAsia="ro-MD"/>
              </w:rPr>
              <w:t>.</w:t>
            </w:r>
            <w:r w:rsidRPr="00E8164A">
              <w:rPr>
                <w:rFonts w:ascii="Times New Roman" w:hAnsi="Times New Roman"/>
                <w:color w:val="000000" w:themeColor="text1"/>
                <w:sz w:val="20"/>
                <w:szCs w:val="20"/>
                <w:lang w:val="ro-RO" w:eastAsia="ro-MD"/>
              </w:rPr>
              <w:t xml:space="preserve"> Bunurile imobile se califică drept garanții reale eligibile numai dacă sunt îndeplinite toate cerințele prevăzute în anexa nr.2 la Regulamentul nr.111/2018.</w:t>
            </w:r>
          </w:p>
          <w:p w14:paraId="057ED217" w14:textId="77777777" w:rsidR="00FD66FA" w:rsidRPr="00FD66FA" w:rsidRDefault="00FD66FA" w:rsidP="00FD66FA">
            <w:pPr>
              <w:rPr>
                <w:lang w:val="ro-RO" w:eastAsia="ro-MD"/>
              </w:rPr>
            </w:pPr>
          </w:p>
          <w:p w14:paraId="1BE4E29C" w14:textId="063855F4" w:rsidR="00F32E65" w:rsidRPr="00F32E65" w:rsidRDefault="00F32E65" w:rsidP="00F32E65">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6D635DE" w14:textId="1AB9AEBC" w:rsidR="00F32E65" w:rsidRPr="002C32BA" w:rsidRDefault="00F32E65" w:rsidP="00F32E65">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0712522" w14:textId="77777777" w:rsidR="00F32E65" w:rsidRDefault="00F32E65" w:rsidP="00F32E65">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52DD4C28" w14:textId="495817C2" w:rsidR="00F32E65" w:rsidRDefault="00FD66FA" w:rsidP="00FD66FA">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Art.208 este transpus prin </w:t>
            </w:r>
            <w:r w:rsidRPr="00FD66FA">
              <w:rPr>
                <w:rFonts w:ascii="Times New Roman" w:hAnsi="Times New Roman" w:cs="Times New Roman"/>
                <w:sz w:val="20"/>
                <w:szCs w:val="20"/>
                <w:lang w:val="ro-RO"/>
              </w:rPr>
              <w:t xml:space="preserve">Anexa nr.2 la Regulamentul </w:t>
            </w:r>
            <w:r>
              <w:rPr>
                <w:rFonts w:ascii="Times New Roman" w:hAnsi="Times New Roman" w:cs="Times New Roman"/>
                <w:sz w:val="20"/>
                <w:szCs w:val="20"/>
                <w:lang w:val="ro-RO"/>
              </w:rPr>
              <w:t xml:space="preserve">nr.111/2018 </w:t>
            </w:r>
            <w:r w:rsidRPr="00FD66FA">
              <w:rPr>
                <w:rFonts w:ascii="Times New Roman" w:hAnsi="Times New Roman" w:cs="Times New Roman"/>
                <w:sz w:val="20"/>
                <w:szCs w:val="20"/>
                <w:lang w:val="ro-RO"/>
              </w:rPr>
              <w:t>cu privire la tratamentul riscului de credit pentru bănci potrivit abordării standardizate</w:t>
            </w:r>
          </w:p>
        </w:tc>
      </w:tr>
      <w:tr w:rsidR="00427AA2" w:rsidRPr="002C32BA" w14:paraId="01B131D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7E248D0" w14:textId="77777777" w:rsidR="00427AA2" w:rsidRPr="002C32BA" w:rsidRDefault="00427AA2" w:rsidP="00427AA2">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209</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privind creanțele</w:t>
            </w:r>
          </w:p>
          <w:p w14:paraId="6F104A65" w14:textId="2B50A0E3" w:rsidR="00427AA2" w:rsidRDefault="00427AA2" w:rsidP="00427AA2">
            <w:pPr>
              <w:pStyle w:val="CM4"/>
              <w:numPr>
                <w:ilvl w:val="0"/>
                <w:numId w:val="96"/>
              </w:numPr>
              <w:tabs>
                <w:tab w:val="left" w:pos="150"/>
              </w:tabs>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Creanțele se califică drept garanții reale eligibile dacă sunt îndeplinite toate cerințele prevăzute la alineatele (2) și (3). </w:t>
            </w:r>
          </w:p>
          <w:p w14:paraId="5B0D610A" w14:textId="77777777" w:rsidR="00427AA2" w:rsidRPr="00427AA2" w:rsidRDefault="00427AA2" w:rsidP="00427AA2">
            <w:pPr>
              <w:rPr>
                <w:lang w:val="ro-RO" w:eastAsia="ru-RU"/>
              </w:rPr>
            </w:pPr>
          </w:p>
          <w:p w14:paraId="5F03080A" w14:textId="77777777" w:rsidR="00427AA2" w:rsidRPr="002C32BA" w:rsidRDefault="00427AA2" w:rsidP="00427AA2">
            <w:pPr>
              <w:pStyle w:val="CM4"/>
              <w:tabs>
                <w:tab w:val="left" w:pos="150"/>
              </w:tabs>
              <w:ind w:left="-43"/>
              <w:jc w:val="both"/>
              <w:rPr>
                <w:rFonts w:ascii="Times New Roman" w:hAnsi="Times New Roman"/>
                <w:iCs/>
                <w:sz w:val="20"/>
                <w:szCs w:val="20"/>
                <w:lang w:val="ro-RO" w:eastAsia="ru-RU"/>
              </w:rPr>
            </w:pPr>
          </w:p>
          <w:p w14:paraId="12585182" w14:textId="77777777" w:rsidR="00427AA2" w:rsidRPr="002C32BA" w:rsidRDefault="00427AA2" w:rsidP="00427AA2">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Trebuie îndeplinite următoarele cerințe privind securitatea juridică:</w:t>
            </w:r>
          </w:p>
          <w:p w14:paraId="613BB4F4" w14:textId="77777777" w:rsidR="00427AA2" w:rsidRPr="002C32BA" w:rsidRDefault="00427AA2" w:rsidP="00427AA2">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mecanismul juridic prin intermediul căruia garanția reală este furnizată unei instituții creditoare trebuie să fie robust și eficace și să asigure existența unor drepturi clare ale instituției respective asupra garanției reale, inclusiv dreptul asupra încasărilor din vânzarea garanției reale;</w:t>
            </w:r>
          </w:p>
          <w:p w14:paraId="4A99CE7B" w14:textId="77777777" w:rsidR="00427AA2" w:rsidRDefault="00427AA2" w:rsidP="00427AA2">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instituțiile trebuie să ia toate măsurile necesare pentru a îndeplini cerințele locale privind caracterul executoriu al garanției reale. Instituțiile creditoare trebuie să dețină un drept prioritar de prim rang asupra garanției reale, deși astfel de drepturi pot fi subordonate drepturilor creditorilor privilegiați prevăzuți în dispozițiile legislative;</w:t>
            </w:r>
          </w:p>
          <w:p w14:paraId="69FF2C94" w14:textId="77777777" w:rsidR="00427AA2" w:rsidRPr="00427AA2" w:rsidRDefault="00427AA2" w:rsidP="00427AA2">
            <w:pPr>
              <w:rPr>
                <w:lang w:val="ro-RO" w:eastAsia="ru-RU"/>
              </w:rPr>
            </w:pPr>
          </w:p>
          <w:p w14:paraId="0993165C" w14:textId="77777777" w:rsidR="00427AA2" w:rsidRPr="002C32BA" w:rsidRDefault="00427AA2" w:rsidP="00427AA2">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instituțiile trebuie să efectueze o analiză juridică, considerată suficientă pentru a confirma caracterul executoriu al contractelor de garanție reală în toate jurisdicțiile relevante;</w:t>
            </w:r>
          </w:p>
          <w:p w14:paraId="6ACD7A72" w14:textId="77777777" w:rsidR="00427AA2" w:rsidRDefault="00427AA2" w:rsidP="00427AA2">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(d) instituțiile trebuie să formalizeze în mod corespunzător contractele de garanție reală și să dispună de proceduri clare și solide pentru încasarea în timp util a garanției reale;</w:t>
            </w:r>
          </w:p>
          <w:p w14:paraId="5A68C235" w14:textId="77777777" w:rsidR="00427AA2" w:rsidRPr="00427AA2" w:rsidRDefault="00427AA2" w:rsidP="00427AA2">
            <w:pPr>
              <w:spacing w:after="0"/>
              <w:rPr>
                <w:lang w:val="ro-RO" w:eastAsia="ru-RU"/>
              </w:rPr>
            </w:pPr>
          </w:p>
          <w:p w14:paraId="67DF5C00" w14:textId="77777777" w:rsidR="00427AA2" w:rsidRPr="002C32BA" w:rsidRDefault="00427AA2" w:rsidP="00427AA2">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(e) instituțiile trebuie să dispună de proceduri care să asigure respectarea tuturor condițiilor juridice cerute pentru declararea stării de nerambursare a unui împrumutat și încasarea în timp util a garanției reale; </w:t>
            </w:r>
          </w:p>
          <w:p w14:paraId="7ED95E1D" w14:textId="77777777" w:rsidR="00427AA2" w:rsidRPr="002C32BA" w:rsidRDefault="00427AA2" w:rsidP="00427AA2">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(f) în cazul în care un împrumutat are dificultăți financiare sau se află în stare de nerambursare, instituțiile trebuie să aibă autoritatea legală de a vinde sau de a ceda creanțele altor părți, fără consimțământul debitorilor cedați.</w:t>
            </w:r>
          </w:p>
          <w:p w14:paraId="0B4DBB3B" w14:textId="2C04FCDB" w:rsidR="00427AA2" w:rsidRPr="002C32BA" w:rsidRDefault="00427AA2" w:rsidP="00427AA2">
            <w:pPr>
              <w:rPr>
                <w:rFonts w:ascii="Times New Roman" w:hAnsi="Times New Roman" w:cs="Times New Roman"/>
                <w:sz w:val="20"/>
                <w:szCs w:val="20"/>
                <w:lang w:val="ro-RO"/>
              </w:rPr>
            </w:pPr>
          </w:p>
        </w:tc>
        <w:tc>
          <w:tcPr>
            <w:tcW w:w="1636" w:type="pct"/>
            <w:shd w:val="clear" w:color="auto" w:fill="auto"/>
          </w:tcPr>
          <w:p w14:paraId="41824D8E" w14:textId="77777777" w:rsidR="00427AA2" w:rsidRPr="00E8164A" w:rsidRDefault="00427AA2" w:rsidP="00427AA2">
            <w:pPr>
              <w:spacing w:after="0" w:line="240" w:lineRule="auto"/>
              <w:jc w:val="center"/>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i/>
                <w:iCs/>
                <w:color w:val="000000" w:themeColor="text1"/>
                <w:sz w:val="20"/>
                <w:szCs w:val="20"/>
                <w:lang w:val="ro-RO" w:eastAsia="ro-MD"/>
              </w:rPr>
              <w:lastRenderedPageBreak/>
              <w:t>Secțiunea a 2</w:t>
            </w:r>
            <w:r w:rsidRPr="00E8164A">
              <w:rPr>
                <w:rFonts w:ascii="Times New Roman" w:eastAsia="Times New Roman" w:hAnsi="Times New Roman" w:cs="Times New Roman"/>
                <w:b/>
                <w:bCs/>
                <w:i/>
                <w:iCs/>
                <w:color w:val="000000" w:themeColor="text1"/>
                <w:sz w:val="20"/>
                <w:szCs w:val="20"/>
                <w:vertAlign w:val="superscript"/>
                <w:lang w:val="ro-RO" w:eastAsia="ro-MD"/>
              </w:rPr>
              <w:t>1</w:t>
            </w:r>
            <w:r w:rsidRPr="00E8164A">
              <w:rPr>
                <w:rFonts w:ascii="Times New Roman" w:eastAsia="Times New Roman" w:hAnsi="Times New Roman" w:cs="Times New Roman"/>
                <w:b/>
                <w:bCs/>
                <w:i/>
                <w:iCs/>
                <w:color w:val="000000" w:themeColor="text1"/>
                <w:sz w:val="20"/>
                <w:szCs w:val="20"/>
                <w:lang w:val="ro-RO" w:eastAsia="ro-MD"/>
              </w:rPr>
              <w:t>-a</w:t>
            </w:r>
          </w:p>
          <w:p w14:paraId="3EE610FC" w14:textId="77777777" w:rsidR="00427AA2" w:rsidRPr="00E8164A" w:rsidRDefault="00427AA2" w:rsidP="00427AA2">
            <w:pPr>
              <w:spacing w:after="0" w:line="240" w:lineRule="auto"/>
              <w:jc w:val="center"/>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i/>
                <w:iCs/>
                <w:color w:val="000000" w:themeColor="text1"/>
                <w:sz w:val="20"/>
                <w:szCs w:val="20"/>
                <w:lang w:val="ro-RO" w:eastAsia="ro-MD"/>
              </w:rPr>
              <w:t> Cerințe privind creanțele</w:t>
            </w:r>
          </w:p>
          <w:p w14:paraId="1B266991" w14:textId="6CE184B4" w:rsidR="00427AA2" w:rsidRPr="00E8164A" w:rsidRDefault="00427AA2" w:rsidP="00D214E9">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50</w:t>
            </w:r>
            <w:r w:rsidRPr="00E8164A">
              <w:rPr>
                <w:rFonts w:ascii="Times New Roman" w:eastAsia="Times New Roman" w:hAnsi="Times New Roman" w:cs="Times New Roman"/>
                <w:b/>
                <w:bCs/>
                <w:color w:val="000000" w:themeColor="text1"/>
                <w:sz w:val="20"/>
                <w:szCs w:val="20"/>
                <w:vertAlign w:val="superscript"/>
                <w:lang w:val="ro-RO" w:eastAsia="ro-MD"/>
              </w:rPr>
              <w:t>2</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Creanțele se califică drept garanții reale eligibile dacă sunt îndeplinite cumulativ cerințele prevăzute la punctele 50</w:t>
            </w:r>
            <w:r w:rsidRPr="00E8164A">
              <w:rPr>
                <w:rFonts w:ascii="Times New Roman" w:eastAsia="Times New Roman" w:hAnsi="Times New Roman" w:cs="Times New Roman"/>
                <w:color w:val="000000" w:themeColor="text1"/>
                <w:sz w:val="20"/>
                <w:szCs w:val="20"/>
                <w:vertAlign w:val="superscript"/>
                <w:lang w:val="ro-RO" w:eastAsia="ro-MD"/>
              </w:rPr>
              <w:t>3</w:t>
            </w:r>
            <w:r w:rsidRPr="00E8164A">
              <w:rPr>
                <w:rFonts w:ascii="Times New Roman" w:eastAsia="Times New Roman" w:hAnsi="Times New Roman" w:cs="Times New Roman"/>
                <w:color w:val="000000" w:themeColor="text1"/>
                <w:sz w:val="20"/>
                <w:szCs w:val="20"/>
                <w:lang w:val="ro-RO" w:eastAsia="ro-MD"/>
              </w:rPr>
              <w:t xml:space="preserve"> și 50</w:t>
            </w:r>
            <w:r w:rsidRPr="00E8164A">
              <w:rPr>
                <w:rFonts w:ascii="Times New Roman" w:eastAsia="Times New Roman" w:hAnsi="Times New Roman" w:cs="Times New Roman"/>
                <w:color w:val="000000" w:themeColor="text1"/>
                <w:sz w:val="20"/>
                <w:szCs w:val="20"/>
                <w:vertAlign w:val="superscript"/>
                <w:lang w:val="ro-RO" w:eastAsia="ro-MD"/>
              </w:rPr>
              <w:t>4</w:t>
            </w:r>
            <w:r w:rsidRPr="00E8164A">
              <w:rPr>
                <w:rFonts w:ascii="Times New Roman" w:eastAsia="Times New Roman" w:hAnsi="Times New Roman" w:cs="Times New Roman"/>
                <w:color w:val="000000" w:themeColor="text1"/>
                <w:sz w:val="20"/>
                <w:szCs w:val="20"/>
                <w:lang w:val="ro-RO" w:eastAsia="ro-MD"/>
              </w:rPr>
              <w:t>.</w:t>
            </w:r>
          </w:p>
          <w:p w14:paraId="2BACA73C" w14:textId="77777777" w:rsidR="00427AA2" w:rsidRPr="00E8164A" w:rsidRDefault="00427AA2" w:rsidP="00D214E9">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50</w:t>
            </w:r>
            <w:r w:rsidRPr="00E8164A">
              <w:rPr>
                <w:rFonts w:ascii="Times New Roman" w:eastAsia="Times New Roman" w:hAnsi="Times New Roman" w:cs="Times New Roman"/>
                <w:b/>
                <w:bCs/>
                <w:color w:val="000000" w:themeColor="text1"/>
                <w:sz w:val="20"/>
                <w:szCs w:val="20"/>
                <w:vertAlign w:val="superscript"/>
                <w:lang w:val="ro-RO" w:eastAsia="ro-MD"/>
              </w:rPr>
              <w:t>3</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Trebuie îndeplinite următoarele cerințe privind securitatea juridică:</w:t>
            </w:r>
          </w:p>
          <w:p w14:paraId="19986E2F" w14:textId="12E3A7F1" w:rsidR="00427AA2" w:rsidRPr="00E8164A" w:rsidRDefault="00427AA2" w:rsidP="00427AA2">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mecanismul juridic prin intermediul căruia garanția reală este furnizată unei bănci creditoare trebuie să fie robust și eficace și să asigure existența unor drepturi clare ale băncii respective asupra garanției reale, inclusiv dreptul asupra încasărilor din vânzarea garanției reale;</w:t>
            </w:r>
          </w:p>
          <w:p w14:paraId="3E3183AD" w14:textId="77777777" w:rsidR="00427AA2" w:rsidRDefault="00427AA2" w:rsidP="00427AA2">
            <w:pPr>
              <w:spacing w:after="0" w:line="240" w:lineRule="auto"/>
              <w:jc w:val="both"/>
              <w:rPr>
                <w:rFonts w:ascii="Times New Roman" w:eastAsia="Times New Roman" w:hAnsi="Times New Roman" w:cs="Times New Roman"/>
                <w:color w:val="000000" w:themeColor="text1"/>
                <w:sz w:val="20"/>
                <w:szCs w:val="20"/>
                <w:lang w:val="ro-RO" w:eastAsia="ro-MD"/>
              </w:rPr>
            </w:pPr>
          </w:p>
          <w:p w14:paraId="07C7BC32" w14:textId="3D6D82F5" w:rsidR="00427AA2" w:rsidRPr="00E8164A" w:rsidRDefault="00427AA2" w:rsidP="00427AA2">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băncile trebuie să ia toate măsurile necesare pentru a îndeplini cerințele locale privind caracterul executoriu al garanției reale. Băncile creditoare trebuie să dețină un drept prioritar de prim rang asupra garanției reale, deși astfel de drepturi pot fi subordonate drepturilor creditorilor privilegiați prevăzuți în dispozițiile legislative;</w:t>
            </w:r>
          </w:p>
          <w:p w14:paraId="148B89B5" w14:textId="696E07DF" w:rsidR="00427AA2" w:rsidRPr="00E8164A" w:rsidRDefault="00427AA2" w:rsidP="00427AA2">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 băncile trebuie să efectueze o analiză juridică, considerată suficientă pentru a confirma caracterul executoriu al contractelor de garanție reală în toate jurisdicțiile relevante;</w:t>
            </w:r>
          </w:p>
          <w:p w14:paraId="482E996E" w14:textId="793C3B7E" w:rsidR="00427AA2" w:rsidRPr="00E8164A" w:rsidRDefault="00427AA2" w:rsidP="00427AA2">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lastRenderedPageBreak/>
              <w:t>4) băncile trebuie să formalizeze în mod corespunzător contractele de garanție reală și să dispună de proceduri clare și solide pentru încasarea în timp util a garanției reale;</w:t>
            </w:r>
          </w:p>
          <w:p w14:paraId="3EC0DF09" w14:textId="53D6AF29" w:rsidR="00427AA2" w:rsidRPr="00E8164A" w:rsidRDefault="00427AA2" w:rsidP="00427AA2">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5) băncile trebuie să dispună de proceduri care să asigure respectarea tuturor condițiilor juridice cerute pentru declararea stării de nerambursare a unui credit și încasarea în timp util a garanției reale;</w:t>
            </w:r>
          </w:p>
          <w:p w14:paraId="08394074" w14:textId="203AFAC6" w:rsidR="00427AA2" w:rsidRPr="00E8164A" w:rsidRDefault="00427AA2" w:rsidP="00427AA2">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6) în cazul în care un credit are dificultăți financiare sau se află în stare de nerambursare, băncile trebuie să aibă autoritatea legală de a vinde sau de a ceda creanțele altor părți, fără consimțământul debitorilor cedați.</w:t>
            </w:r>
          </w:p>
          <w:p w14:paraId="40147950" w14:textId="65BBE679" w:rsidR="00427AA2" w:rsidRPr="00427AA2" w:rsidRDefault="00D214E9" w:rsidP="00427AA2">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6C7EBDDA" w14:textId="420D8237" w:rsidR="00427AA2" w:rsidRPr="002C32BA" w:rsidRDefault="00427AA2" w:rsidP="00427AA2">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667B9AF8" w14:textId="77777777" w:rsidR="00427AA2" w:rsidRDefault="00427AA2" w:rsidP="00427AA2">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554636CD" w14:textId="1B494F80" w:rsidR="00427AA2" w:rsidRPr="002C32BA" w:rsidRDefault="00427AA2" w:rsidP="00427AA2">
            <w:pPr>
              <w:jc w:val="both"/>
              <w:rPr>
                <w:rFonts w:ascii="Times New Roman" w:hAnsi="Times New Roman" w:cs="Times New Roman"/>
                <w:sz w:val="20"/>
                <w:szCs w:val="20"/>
                <w:lang w:val="ro-RO"/>
              </w:rPr>
            </w:pPr>
          </w:p>
        </w:tc>
      </w:tr>
      <w:tr w:rsidR="00D214E9" w:rsidRPr="002C32BA" w14:paraId="561C99F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6651FDE" w14:textId="77777777" w:rsidR="00D214E9" w:rsidRPr="002C32BA" w:rsidRDefault="00D214E9" w:rsidP="00D214E9">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(3) Trebuie îndeplinite următoarele cerințe privind gestionarea riscurilor:</w:t>
            </w:r>
          </w:p>
          <w:p w14:paraId="00847E57" w14:textId="77777777" w:rsidR="00D214E9" w:rsidRDefault="00D214E9" w:rsidP="00D214E9">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o instituție trebuie să dispună de un proces riguros pentru determinarea riscului de credit asociat creanțelor. Un astfel de proces trebuie să includă analiza activității împrumutatului și a sectorului în care acesta își desfășoară activitatea, precum și a tipurilor de clienți cu care împrumutatul intră în relații de afaceri. Atunci când instituția recurge la debitori pentru a stabili riscul de credit al clienților, instituția trebuie să reexamineze practicile de credit ale debitorilor pentru a se asigura de confirma fiabilitatea și credibilitatea acestora;</w:t>
            </w:r>
          </w:p>
          <w:p w14:paraId="75EF784A" w14:textId="77777777" w:rsidR="00D214E9" w:rsidRDefault="00D214E9" w:rsidP="00D214E9">
            <w:pPr>
              <w:spacing w:after="0"/>
              <w:rPr>
                <w:lang w:val="ro-RO" w:eastAsia="ru-RU"/>
              </w:rPr>
            </w:pPr>
          </w:p>
          <w:p w14:paraId="4267A754" w14:textId="77777777" w:rsidR="00E92DBF" w:rsidRPr="00427AA2" w:rsidRDefault="00E92DBF" w:rsidP="00D214E9">
            <w:pPr>
              <w:spacing w:after="0"/>
              <w:rPr>
                <w:lang w:val="ro-RO" w:eastAsia="ru-RU"/>
              </w:rPr>
            </w:pPr>
          </w:p>
          <w:p w14:paraId="7EE6A0EC" w14:textId="77777777" w:rsidR="00D214E9" w:rsidRDefault="00D214E9" w:rsidP="00D214E9">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(b) diferența dintre cuantumul expunerii și valoarea creanțelor trebuie să reflecte toți factorii corespunzători, inclusiv costul colectării, gradul de concentrare din cadrul portofoliului de creanțe aduse în garanție de același împrumutat și riscul potențial de concentrare la nivelul expunerilor totale ale instituției, dincolo de nivelul riscului de concentrare controlat prin metodologia generală a instituției. Instituțiile trebuie să dispună de un proces permanent de monitorizare </w:t>
            </w:r>
            <w:r w:rsidRPr="002C32BA">
              <w:rPr>
                <w:rFonts w:ascii="Times New Roman" w:hAnsi="Times New Roman"/>
                <w:iCs/>
                <w:sz w:val="20"/>
                <w:szCs w:val="20"/>
                <w:lang w:val="ro-RO" w:eastAsia="ru-RU"/>
              </w:rPr>
              <w:lastRenderedPageBreak/>
              <w:t xml:space="preserve">a creanțelor, adecvat acestora. Instituțiile trebuie, de asemenea, să verifice cu regularitate respectarea clauzelor contractelor de credit, a restricțiilor de mediu și a altor cerințe legale; </w:t>
            </w:r>
          </w:p>
          <w:p w14:paraId="70B874A5" w14:textId="77777777" w:rsidR="00D214E9" w:rsidRPr="00427AA2" w:rsidRDefault="00D214E9" w:rsidP="00D214E9">
            <w:pPr>
              <w:rPr>
                <w:lang w:val="ro-RO" w:eastAsia="ru-RU"/>
              </w:rPr>
            </w:pPr>
          </w:p>
          <w:p w14:paraId="6F5FC1F8" w14:textId="77777777" w:rsidR="00D214E9" w:rsidRDefault="00D214E9" w:rsidP="00D214E9">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creanțele aduse în garanție de un împrumutat trebuie să fie diversificate și nu trebuie să fie corelate în mod nejustificat cu situația împrumutatului. În cazul în care există o corelație pozitivă semnificativă, instituțiile trebuie să țină seama de riscurile asociate atunci când stabilesc marjele pentru portofoliul de garanții reale, în ansamblul său;</w:t>
            </w:r>
          </w:p>
          <w:p w14:paraId="0E4DA1FC" w14:textId="77777777" w:rsidR="00D214E9" w:rsidRPr="002C32BA" w:rsidRDefault="00D214E9" w:rsidP="00D214E9">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instituțiile nu trebuie să utilizeze ca protecție eligibilă a creditului creanțe provenind de la afiliații unui împrumutat, inclusiv de la filialele și angajații acestuia;</w:t>
            </w:r>
          </w:p>
          <w:p w14:paraId="3092D4BA" w14:textId="534BF7D8" w:rsidR="00D214E9" w:rsidRPr="002C32BA" w:rsidRDefault="00D214E9" w:rsidP="00D214E9">
            <w:pPr>
              <w:pStyle w:val="CM4"/>
              <w:tabs>
                <w:tab w:val="left" w:pos="150"/>
              </w:tabs>
              <w:ind w:left="-43"/>
              <w:jc w:val="both"/>
              <w:rPr>
                <w:rFonts w:ascii="Times New Roman" w:hAnsi="Times New Roman"/>
                <w:i/>
                <w:iCs/>
                <w:sz w:val="20"/>
                <w:szCs w:val="20"/>
                <w:lang w:val="ro-RO" w:eastAsia="ru-RU"/>
              </w:rPr>
            </w:pPr>
            <w:r w:rsidRPr="002C32BA">
              <w:rPr>
                <w:rFonts w:ascii="Times New Roman" w:hAnsi="Times New Roman"/>
                <w:iCs/>
                <w:sz w:val="20"/>
                <w:szCs w:val="20"/>
                <w:lang w:val="ro-RO"/>
              </w:rPr>
              <w:t>(e) instituțiile trebuie să dispună de un proces formalizat pentru colectarea, în situații dificile, a plăților aferente creanțelor. Instituțiile trebuie să dispună de facilitățile necesare pentru colectare, chiar dacă, în mod normal, se bazează pe împrumutați pentru colectare.</w:t>
            </w:r>
          </w:p>
        </w:tc>
        <w:tc>
          <w:tcPr>
            <w:tcW w:w="1636" w:type="pct"/>
            <w:shd w:val="clear" w:color="auto" w:fill="auto"/>
          </w:tcPr>
          <w:p w14:paraId="5337E621" w14:textId="77777777" w:rsidR="00D214E9" w:rsidRPr="00E8164A" w:rsidRDefault="00D214E9" w:rsidP="00D214E9">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50</w:t>
            </w:r>
            <w:r w:rsidRPr="00E8164A">
              <w:rPr>
                <w:rFonts w:ascii="Times New Roman" w:eastAsia="Times New Roman" w:hAnsi="Times New Roman" w:cs="Times New Roman"/>
                <w:b/>
                <w:bCs/>
                <w:color w:val="000000" w:themeColor="text1"/>
                <w:sz w:val="20"/>
                <w:szCs w:val="20"/>
                <w:vertAlign w:val="superscript"/>
                <w:lang w:val="ro-RO" w:eastAsia="ro-MD"/>
              </w:rPr>
              <w:t>4</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Trebuie îndeplinite următoarele cerințe privind gestionarea riscurilor:</w:t>
            </w:r>
          </w:p>
          <w:p w14:paraId="22845123" w14:textId="77777777" w:rsidR="00D214E9" w:rsidRPr="00E8164A" w:rsidRDefault="00D214E9" w:rsidP="00D214E9">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o bancă trebuie să dispună de un proces riguros pentru determinarea riscului de credit asociat creanțelor. Un astfel de proces trebuie să includă analiza activității debitorului și a sectorului în care acesta își desfășoară activitatea, precum și a tipurilor de clienți cu care debitorul intră în relații de afaceri. Atunci când banca recurge la debitori pentru a stabili riscul de credit al clienților, banca trebuie să reexamineze practicile de credit ale debitorilor pentru a se asigura de fiabilitatea și credibilitatea acestora;</w:t>
            </w:r>
          </w:p>
          <w:p w14:paraId="49297AB0" w14:textId="77777777" w:rsidR="00D214E9" w:rsidRDefault="00D214E9" w:rsidP="00D214E9">
            <w:pPr>
              <w:spacing w:after="0" w:line="240" w:lineRule="auto"/>
              <w:jc w:val="both"/>
              <w:rPr>
                <w:rFonts w:ascii="Times New Roman" w:eastAsia="Times New Roman" w:hAnsi="Times New Roman" w:cs="Times New Roman"/>
                <w:color w:val="000000" w:themeColor="text1"/>
                <w:sz w:val="20"/>
                <w:szCs w:val="20"/>
                <w:lang w:val="ro-RO" w:eastAsia="ro-MD"/>
              </w:rPr>
            </w:pPr>
          </w:p>
          <w:p w14:paraId="57549D02" w14:textId="77777777" w:rsidR="00D214E9" w:rsidRPr="00E8164A" w:rsidRDefault="00D214E9" w:rsidP="00D214E9">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 xml:space="preserve">2) diferența dintre cuantumul expunerii și valoarea creanțelor trebuie să reflecte toți factorii corespunzători, inclusiv costul colectării, gradul de concentrare din cadrul portofoliului de creanțe aduse în garanție de același debitor și riscul potențial de concentrare la nivelul expunerilor totale ale băncii, dincolo de nivelul riscului de concentrare controlat prin metodologia generală a băncii. Băncile trebuie să dispună de un proces permanent de monitorizare </w:t>
            </w:r>
            <w:r w:rsidRPr="00E8164A">
              <w:rPr>
                <w:rFonts w:ascii="Times New Roman" w:eastAsia="Times New Roman" w:hAnsi="Times New Roman" w:cs="Times New Roman"/>
                <w:color w:val="000000" w:themeColor="text1"/>
                <w:sz w:val="20"/>
                <w:szCs w:val="20"/>
                <w:lang w:val="ro-RO" w:eastAsia="ro-MD"/>
              </w:rPr>
              <w:lastRenderedPageBreak/>
              <w:t>a creanțelor, adecvat acestora. Băncile trebuie, de asemenea, să verifice cu regularitate respectarea clauzelor contractelor de credit, a restricțiilor de mediu și a altor cerințe legale;</w:t>
            </w:r>
          </w:p>
          <w:p w14:paraId="64184538" w14:textId="77777777" w:rsidR="00D214E9" w:rsidRPr="00E8164A" w:rsidRDefault="00D214E9" w:rsidP="00D214E9">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 creanțele aduse în garanție de un debitor trebuie să fie diversificate și nu trebuie să fie corelate în mod nejustificat cu situația debitorului. În cazul în care există o corelație pozitivă semnificativă, băncile trebuie să țină seama de riscurile asociate atunci când stabilesc marjele pentru portofoliul de garanții reale, în ansamblul său;</w:t>
            </w:r>
          </w:p>
          <w:p w14:paraId="122459FA" w14:textId="77777777" w:rsidR="00D214E9" w:rsidRDefault="00D214E9" w:rsidP="00D214E9">
            <w:pPr>
              <w:spacing w:after="0" w:line="240" w:lineRule="auto"/>
              <w:jc w:val="both"/>
              <w:rPr>
                <w:rFonts w:ascii="Times New Roman" w:eastAsia="Times New Roman" w:hAnsi="Times New Roman" w:cs="Times New Roman"/>
                <w:color w:val="000000" w:themeColor="text1"/>
                <w:sz w:val="20"/>
                <w:szCs w:val="20"/>
                <w:lang w:val="ro-RO" w:eastAsia="ro-MD"/>
              </w:rPr>
            </w:pPr>
          </w:p>
          <w:p w14:paraId="179C7D20" w14:textId="77777777" w:rsidR="00D214E9" w:rsidRPr="00E8164A" w:rsidRDefault="00D214E9" w:rsidP="00D214E9">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4) băncile nu trebuie să utilizeze ca protecție eligibilă a creditului creanțe provenind de la afiliații unui debitor, inclusiv de la filialele și angajații acestuia;</w:t>
            </w:r>
          </w:p>
          <w:p w14:paraId="6978FC08" w14:textId="77777777" w:rsidR="00D214E9" w:rsidRDefault="00D214E9" w:rsidP="00D214E9">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5) băncile trebuie să dispună de un proces formalizat pentru colectarea, în situații dificile, a plăților aferente creanțelor. Băncile trebuie să dispună de facilitățile necesare pentru colectare, chiar dacă, în mod normal, se bazează pe debitori pentru colectare.</w:t>
            </w:r>
          </w:p>
          <w:p w14:paraId="0BF7BFF6" w14:textId="61699CB7" w:rsidR="00D214E9" w:rsidRPr="00E8164A" w:rsidRDefault="00D214E9" w:rsidP="00D214E9">
            <w:pPr>
              <w:spacing w:after="0" w:line="240" w:lineRule="auto"/>
              <w:ind w:firstLine="466"/>
              <w:rPr>
                <w:rFonts w:ascii="Times New Roman" w:eastAsia="Times New Roman" w:hAnsi="Times New Roman" w:cs="Times New Roman"/>
                <w:b/>
                <w:bCs/>
                <w:i/>
                <w:iCs/>
                <w:color w:val="000000" w:themeColor="text1"/>
                <w:sz w:val="20"/>
                <w:szCs w:val="20"/>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A8C096C" w14:textId="45CE8850" w:rsidR="00D214E9" w:rsidRPr="002C32BA" w:rsidRDefault="00D214E9" w:rsidP="00D214E9">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1F5039CF" w14:textId="77777777" w:rsidR="00D214E9" w:rsidRDefault="00D214E9" w:rsidP="00D214E9">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95251E5" w14:textId="77777777" w:rsidR="00D214E9" w:rsidRDefault="00D214E9" w:rsidP="00D214E9">
            <w:pPr>
              <w:jc w:val="both"/>
              <w:rPr>
                <w:rFonts w:ascii="Times New Roman" w:hAnsi="Times New Roman" w:cs="Times New Roman"/>
                <w:sz w:val="20"/>
                <w:szCs w:val="20"/>
                <w:lang w:val="ro-RO"/>
              </w:rPr>
            </w:pPr>
          </w:p>
        </w:tc>
      </w:tr>
      <w:tr w:rsidR="007F5D2B" w:rsidRPr="002C32BA" w14:paraId="76D1275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5D0BC27" w14:textId="77777777" w:rsidR="007F5D2B" w:rsidRDefault="007F5D2B" w:rsidP="007F5D2B">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 xml:space="preserve">Articolul 210 </w:t>
            </w:r>
            <w:r w:rsidRPr="002C32BA">
              <w:rPr>
                <w:rFonts w:ascii="Times New Roman" w:hAnsi="Times New Roman"/>
                <w:b/>
                <w:iCs/>
                <w:sz w:val="20"/>
                <w:szCs w:val="20"/>
                <w:lang w:val="ro-RO" w:eastAsia="ru-RU"/>
              </w:rPr>
              <w:t>Cerințe privind alte garanții reale corporale</w:t>
            </w:r>
          </w:p>
          <w:p w14:paraId="7D6D5C18" w14:textId="77777777" w:rsidR="007F5D2B" w:rsidRDefault="007F5D2B" w:rsidP="007F5D2B">
            <w:pPr>
              <w:rPr>
                <w:lang w:val="ro-RO" w:eastAsia="ru-RU"/>
              </w:rPr>
            </w:pPr>
          </w:p>
          <w:p w14:paraId="430F1DCA" w14:textId="77777777" w:rsidR="007F5D2B" w:rsidRPr="007F5D2B" w:rsidRDefault="007F5D2B" w:rsidP="007F5D2B">
            <w:pPr>
              <w:rPr>
                <w:lang w:val="ro-RO" w:eastAsia="ru-RU"/>
              </w:rPr>
            </w:pPr>
          </w:p>
          <w:p w14:paraId="33CED181"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Garanțiile reale corporale, altele decât garanțiile sub forma bunurilor imobile, se califică drept garanții reale eligibile în cadrul abordării IRB, dacă sunt îndeplinite toate condițiile următoare:</w:t>
            </w:r>
          </w:p>
          <w:p w14:paraId="20480837"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(a) contractul de garanție reală în temeiul căruia garanțiile reale corporale sunt furnizate unei instituții este eficace și executoriu din punct de vedere juridic în toate jurisdicțiile relevante și permite instituției respective să valorifice garanția reală într-un interval de timp rezonabil; </w:t>
            </w:r>
          </w:p>
          <w:p w14:paraId="066FDFB7"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(b) cu singura excepție a drepturilor de prim rang care pot fi permise, menționate la articolul 209 alineatul (2) litera (b), numai drepturile de prim rang sau privilegiile asupra garanției reale se califică drept garanții reale eligibile, iar o instituție are prioritate față de toți ceilalți împrumutători asupra sumelor obținute în urma executării garanției reale;</w:t>
            </w:r>
          </w:p>
          <w:p w14:paraId="0CE63461"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instituțiile monitorizează valoarea garanției reale în mod frecvent, respectiv cel puțin anual. Frecvența de monitorizare crește în cazul în care condițiile de piață suferă modificări semnificative;</w:t>
            </w:r>
          </w:p>
          <w:p w14:paraId="7674349B"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contractul de credit include descrieri detaliate ale garanțiilor reale și specifică în detaliu modalitatea și frecvența reevaluării;</w:t>
            </w:r>
          </w:p>
          <w:p w14:paraId="15132D3D" w14:textId="168171F6" w:rsidR="007F5D2B" w:rsidRPr="002C32BA" w:rsidRDefault="007F5D2B" w:rsidP="007F5D2B">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7D3DF806" w14:textId="77777777" w:rsidR="007F5D2B" w:rsidRPr="00E8164A" w:rsidRDefault="007F5D2B" w:rsidP="007F5D2B">
            <w:pPr>
              <w:spacing w:after="0" w:line="240" w:lineRule="auto"/>
              <w:jc w:val="center"/>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i/>
                <w:iCs/>
                <w:color w:val="000000" w:themeColor="text1"/>
                <w:sz w:val="20"/>
                <w:szCs w:val="20"/>
                <w:lang w:val="ro-RO" w:eastAsia="ro-MD"/>
              </w:rPr>
              <w:lastRenderedPageBreak/>
              <w:t>Secțiunea a 2</w:t>
            </w:r>
            <w:r w:rsidRPr="00E8164A">
              <w:rPr>
                <w:rFonts w:ascii="Times New Roman" w:eastAsia="Times New Roman" w:hAnsi="Times New Roman" w:cs="Times New Roman"/>
                <w:b/>
                <w:bCs/>
                <w:i/>
                <w:iCs/>
                <w:color w:val="000000" w:themeColor="text1"/>
                <w:sz w:val="20"/>
                <w:szCs w:val="20"/>
                <w:vertAlign w:val="superscript"/>
                <w:lang w:val="ro-RO" w:eastAsia="ro-MD"/>
              </w:rPr>
              <w:t>2</w:t>
            </w:r>
            <w:r w:rsidRPr="00E8164A">
              <w:rPr>
                <w:rFonts w:ascii="Times New Roman" w:eastAsia="Times New Roman" w:hAnsi="Times New Roman" w:cs="Times New Roman"/>
                <w:b/>
                <w:bCs/>
                <w:i/>
                <w:iCs/>
                <w:color w:val="000000" w:themeColor="text1"/>
                <w:sz w:val="20"/>
                <w:szCs w:val="20"/>
                <w:lang w:val="ro-RO" w:eastAsia="ro-MD"/>
              </w:rPr>
              <w:t>-a</w:t>
            </w:r>
          </w:p>
          <w:p w14:paraId="4D60EBF3" w14:textId="77777777" w:rsidR="007F5D2B" w:rsidRPr="00E8164A" w:rsidRDefault="007F5D2B" w:rsidP="007F5D2B">
            <w:pPr>
              <w:spacing w:after="0" w:line="240" w:lineRule="auto"/>
              <w:jc w:val="center"/>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i/>
                <w:iCs/>
                <w:color w:val="000000" w:themeColor="text1"/>
                <w:sz w:val="20"/>
                <w:szCs w:val="20"/>
                <w:lang w:val="ro-RO" w:eastAsia="ro-MD"/>
              </w:rPr>
              <w:t> Cerințe privind alte garanții reale corporale și</w:t>
            </w:r>
            <w:r w:rsidRPr="00E8164A">
              <w:rPr>
                <w:color w:val="000000" w:themeColor="text1"/>
                <w:sz w:val="20"/>
                <w:szCs w:val="20"/>
              </w:rPr>
              <w:t xml:space="preserve"> </w:t>
            </w:r>
            <w:r w:rsidRPr="00E8164A">
              <w:rPr>
                <w:rFonts w:ascii="Times New Roman" w:eastAsia="Times New Roman" w:hAnsi="Times New Roman" w:cs="Times New Roman"/>
                <w:b/>
                <w:bCs/>
                <w:i/>
                <w:iCs/>
                <w:color w:val="000000" w:themeColor="text1"/>
                <w:sz w:val="20"/>
                <w:szCs w:val="20"/>
                <w:lang w:val="ro-RO" w:eastAsia="ro-MD"/>
              </w:rPr>
              <w:t>privind tratarea expunerilor decurgând din operațiuni de leasing ca expuneri acoperite cu garanții reale</w:t>
            </w:r>
          </w:p>
          <w:p w14:paraId="1A48A72A" w14:textId="77777777" w:rsidR="007F5D2B" w:rsidRPr="00E8164A" w:rsidRDefault="007F5D2B" w:rsidP="007F5D2B">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t>50</w:t>
            </w:r>
            <w:r w:rsidRPr="00E8164A">
              <w:rPr>
                <w:rFonts w:ascii="Times New Roman" w:eastAsia="Times New Roman" w:hAnsi="Times New Roman" w:cs="Times New Roman"/>
                <w:b/>
                <w:bCs/>
                <w:color w:val="000000" w:themeColor="text1"/>
                <w:sz w:val="20"/>
                <w:szCs w:val="20"/>
                <w:vertAlign w:val="superscript"/>
                <w:lang w:val="ro-RO" w:eastAsia="ro-MD"/>
              </w:rPr>
              <w:t>5</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Garanțiile reale corporale, altele decât garanțiile sub forma bunurilor imobile, se califică drept garanții reale eligibile în cadrul abordării IRB, dacă sunt îndeplinite cumulativ următoarele condiții:</w:t>
            </w:r>
          </w:p>
          <w:p w14:paraId="7041C096" w14:textId="666F74D9" w:rsidR="007F5D2B" w:rsidRPr="00E8164A"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contractul de garanție reală în temeiul căruia garanțiile reale corporale sunt furnizate unei bănci este eficace și executoriu din punct de vedere juridic în toate jurisdicțiile relevante și permite băncii respective să valorifice garanția reală într-un interval de timp rezonabil;</w:t>
            </w:r>
          </w:p>
          <w:p w14:paraId="25861B87" w14:textId="04048770" w:rsidR="007F5D2B" w:rsidRPr="00E8164A"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lastRenderedPageBreak/>
              <w:t>2) cu singura excepție a drepturilor de prim rang care pot fi permise, menționate la punctul 50</w:t>
            </w:r>
            <w:r w:rsidRPr="00E8164A">
              <w:rPr>
                <w:rFonts w:ascii="Times New Roman" w:eastAsia="Times New Roman" w:hAnsi="Times New Roman" w:cs="Times New Roman"/>
                <w:color w:val="000000" w:themeColor="text1"/>
                <w:sz w:val="20"/>
                <w:szCs w:val="20"/>
                <w:vertAlign w:val="superscript"/>
                <w:lang w:val="ro-RO" w:eastAsia="ro-MD"/>
              </w:rPr>
              <w:t>3</w:t>
            </w:r>
            <w:r w:rsidRPr="00E8164A">
              <w:rPr>
                <w:rFonts w:ascii="Times New Roman" w:eastAsia="Times New Roman" w:hAnsi="Times New Roman" w:cs="Times New Roman"/>
                <w:color w:val="000000" w:themeColor="text1"/>
                <w:sz w:val="20"/>
                <w:szCs w:val="20"/>
                <w:lang w:val="ro-RO" w:eastAsia="ro-MD"/>
              </w:rPr>
              <w:t xml:space="preserve"> subpunctul 2), numai drepturile de prim rang sau privilegiile asupra garanției reale se califică drept garanții reale eligibile, iar o bancă are prioritate față de toți ceilalți creditori asupra sumelor obținute în urma executării garanției reale;</w:t>
            </w:r>
          </w:p>
          <w:p w14:paraId="24DAC636" w14:textId="00381EDC" w:rsidR="007F5D2B" w:rsidRPr="00E8164A"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 băncile monitorizează valoarea garanției reale în mod frecvent, respectiv cel puțin anual. Frecvența de monitorizare crește în cazul în care condițiile de piață suferă modificări semnificative;</w:t>
            </w:r>
          </w:p>
          <w:p w14:paraId="39F848D3" w14:textId="77777777" w:rsidR="007F5D2B" w:rsidRDefault="007F5D2B" w:rsidP="007F5D2B">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4) contractul de credit include descrieri detaliate ale garanțiilor reale și specifică în detaliu modalitatea și frecvența reevaluării;</w:t>
            </w:r>
          </w:p>
          <w:p w14:paraId="1BBB341F" w14:textId="034948F5" w:rsidR="007F5D2B" w:rsidRPr="007F5D2B" w:rsidRDefault="007F5D2B" w:rsidP="007F5D2B">
            <w:pPr>
              <w:rPr>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4F1D4FC5" w14:textId="24DFF3D7" w:rsidR="007F5D2B" w:rsidRPr="002C32BA" w:rsidRDefault="007F5D2B" w:rsidP="007F5D2B">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3F6D6EF4" w14:textId="77777777" w:rsidR="007F5D2B" w:rsidRDefault="007F5D2B" w:rsidP="007F5D2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28A1840" w14:textId="3E9A459D" w:rsidR="007F5D2B" w:rsidRPr="002C32BA" w:rsidRDefault="007F5D2B" w:rsidP="007F5D2B">
            <w:pPr>
              <w:jc w:val="both"/>
              <w:rPr>
                <w:rFonts w:ascii="Times New Roman" w:hAnsi="Times New Roman" w:cs="Times New Roman"/>
                <w:sz w:val="20"/>
                <w:szCs w:val="20"/>
                <w:lang w:val="ro-RO"/>
              </w:rPr>
            </w:pPr>
          </w:p>
        </w:tc>
      </w:tr>
      <w:tr w:rsidR="007F5D2B" w:rsidRPr="002C32BA" w14:paraId="5FCDE2A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73F9B29"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(e) instituțiile formalizează clar în cadrul politicilor și al procedurilor interne de creditare, disponibile pentru examinare, tipurile de garanții reale corporale pe care le acceptă și politicile și practicile pe care le aplică cu privire la cuantumul corespunzător fiecărui tip de garanție reală în raport cu cuantumul expunerii;</w:t>
            </w:r>
          </w:p>
          <w:p w14:paraId="148F43F1" w14:textId="77777777" w:rsidR="007F5D2B" w:rsidRPr="002C32BA" w:rsidRDefault="007F5D2B" w:rsidP="007F5D2B">
            <w:pPr>
              <w:pStyle w:val="CM4"/>
              <w:tabs>
                <w:tab w:val="left" w:pos="150"/>
              </w:tabs>
              <w:ind w:left="-43"/>
              <w:jc w:val="both"/>
              <w:rPr>
                <w:rFonts w:ascii="Times New Roman" w:hAnsi="Times New Roman"/>
                <w:i/>
                <w:iCs/>
                <w:sz w:val="20"/>
                <w:szCs w:val="20"/>
                <w:lang w:val="ro-RO" w:eastAsia="ru-RU"/>
              </w:rPr>
            </w:pPr>
          </w:p>
        </w:tc>
        <w:tc>
          <w:tcPr>
            <w:tcW w:w="1636" w:type="pct"/>
            <w:shd w:val="clear" w:color="auto" w:fill="auto"/>
          </w:tcPr>
          <w:p w14:paraId="5241DB9F" w14:textId="77777777" w:rsidR="007F5D2B"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5) băncile formalizează clar în cadrul politicilor și al procedurilor interne de creditare, disponibile pentru examinare, tipurile de garanții reale corporale pe care le acceptă și politicile și practicile pe care le aplică cu privire la cuantumul corespunzător fiecărui tip de garanție reală în raport cu cuantumul expunerii;</w:t>
            </w:r>
          </w:p>
          <w:p w14:paraId="572E307E" w14:textId="4393419F" w:rsidR="007F5D2B" w:rsidRPr="00E8164A" w:rsidRDefault="007F5D2B" w:rsidP="007F5D2B">
            <w:pPr>
              <w:spacing w:after="0" w:line="240" w:lineRule="auto"/>
              <w:jc w:val="both"/>
              <w:rPr>
                <w:rFonts w:ascii="Times New Roman" w:eastAsia="Times New Roman" w:hAnsi="Times New Roman" w:cs="Times New Roman"/>
                <w:b/>
                <w:bCs/>
                <w:i/>
                <w:iCs/>
                <w:color w:val="000000" w:themeColor="text1"/>
                <w:sz w:val="20"/>
                <w:szCs w:val="20"/>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207379A" w14:textId="03DC51B0" w:rsidR="007F5D2B" w:rsidRPr="002C32BA" w:rsidRDefault="007F5D2B" w:rsidP="007F5D2B">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3636897B" w14:textId="77777777" w:rsidR="007F5D2B" w:rsidRDefault="007F5D2B" w:rsidP="007F5D2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09ECE305" w14:textId="77777777" w:rsidR="007F5D2B" w:rsidRDefault="007F5D2B" w:rsidP="007F5D2B">
            <w:pPr>
              <w:jc w:val="both"/>
              <w:rPr>
                <w:rFonts w:ascii="Times New Roman" w:hAnsi="Times New Roman" w:cs="Times New Roman"/>
                <w:sz w:val="20"/>
                <w:szCs w:val="20"/>
                <w:lang w:val="ro-RO"/>
              </w:rPr>
            </w:pPr>
          </w:p>
        </w:tc>
      </w:tr>
      <w:tr w:rsidR="007F5D2B" w:rsidRPr="002C32BA" w14:paraId="286AAF9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89DD2E4"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(f) politicile de creditare ale instituției cu privire la structura tranzacției stabilesc următoarele:</w:t>
            </w:r>
          </w:p>
          <w:p w14:paraId="19B04D19"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cerințe corespunzătoare privind garanțiile reale în raport cu cuantumul expunerii;</w:t>
            </w:r>
          </w:p>
          <w:p w14:paraId="1B8A6A83"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capacitatea de executare rapidă a garanției reale;</w:t>
            </w:r>
          </w:p>
          <w:p w14:paraId="2824E06F"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(iii) capacitatea de a stabili un preț sau o valoare de piață în mod obiectiv;</w:t>
            </w:r>
          </w:p>
          <w:p w14:paraId="29C2C8AF"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(iv) frecvența cu care valoarea poate fi obținută imediat, inclusiv o apreciere sau o evaluare profesională;</w:t>
            </w:r>
          </w:p>
          <w:p w14:paraId="59338725" w14:textId="1230E048" w:rsidR="007F5D2B" w:rsidRPr="007F5D2B"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(v) volatilitatea sau un indicator de aproximare a volatilității valorii garanției reale.</w:t>
            </w:r>
          </w:p>
        </w:tc>
        <w:tc>
          <w:tcPr>
            <w:tcW w:w="1636" w:type="pct"/>
            <w:shd w:val="clear" w:color="auto" w:fill="auto"/>
          </w:tcPr>
          <w:p w14:paraId="6253EB7F" w14:textId="77777777" w:rsidR="007F5D2B" w:rsidRPr="00E8164A"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lastRenderedPageBreak/>
              <w:t>6) politicile de creditare ale băncii cu privire la structura tranzacției stabilesc următoarele:</w:t>
            </w:r>
          </w:p>
          <w:p w14:paraId="487E5A00" w14:textId="77777777" w:rsidR="007F5D2B" w:rsidRPr="00E8164A"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a) cerințe corespunzătoare privind garanțiile reale în raport cu cuantumul expunerii;</w:t>
            </w:r>
          </w:p>
          <w:p w14:paraId="324F9D4C" w14:textId="77777777" w:rsidR="007F5D2B" w:rsidRPr="00E8164A"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b) capacitatea de executare rapidă a garanției reale;</w:t>
            </w:r>
          </w:p>
          <w:p w14:paraId="33524AA5" w14:textId="77777777" w:rsidR="007F5D2B" w:rsidRPr="00E8164A"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c) capacitatea de a stabili un preț sau o valoare de piață în mod obiectiv;</w:t>
            </w:r>
          </w:p>
          <w:p w14:paraId="77067434" w14:textId="77777777" w:rsidR="007F5D2B" w:rsidRPr="00E8164A" w:rsidRDefault="007F5D2B" w:rsidP="007F5D2B">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d) frecvența cu care valoarea poate fi obținută imediat, inclusiv o apreciere sau o evaluare profesională;</w:t>
            </w:r>
          </w:p>
          <w:p w14:paraId="047FB986" w14:textId="77777777" w:rsidR="007F5D2B" w:rsidRDefault="007F5D2B" w:rsidP="007F5D2B">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lastRenderedPageBreak/>
              <w:t>e) volatilitatea sau un indicator de aproximare a volatilității valorii garanției reale.</w:t>
            </w:r>
          </w:p>
          <w:p w14:paraId="28D46B43" w14:textId="32FCF8D0" w:rsidR="007F5D2B" w:rsidRPr="007F5D2B" w:rsidRDefault="007F5D2B" w:rsidP="007F5D2B">
            <w:pPr>
              <w:rPr>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7823B47D" w14:textId="65450487" w:rsidR="007F5D2B" w:rsidRPr="002C32BA" w:rsidRDefault="007F5D2B" w:rsidP="007F5D2B">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23CBAEDF" w14:textId="77777777" w:rsidR="007F5D2B" w:rsidRDefault="007F5D2B" w:rsidP="007F5D2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0CD026BC" w14:textId="77777777" w:rsidR="007F5D2B" w:rsidRDefault="007F5D2B" w:rsidP="007F5D2B">
            <w:pPr>
              <w:jc w:val="both"/>
              <w:rPr>
                <w:rFonts w:ascii="Times New Roman" w:hAnsi="Times New Roman" w:cs="Times New Roman"/>
                <w:sz w:val="20"/>
                <w:szCs w:val="20"/>
                <w:lang w:val="ro-RO"/>
              </w:rPr>
            </w:pPr>
          </w:p>
        </w:tc>
      </w:tr>
      <w:tr w:rsidR="007F5D2B" w:rsidRPr="007F5D2B" w14:paraId="2756E2C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4"/>
        </w:trPr>
        <w:tc>
          <w:tcPr>
            <w:tcW w:w="1916" w:type="pct"/>
          </w:tcPr>
          <w:p w14:paraId="3224CEB2" w14:textId="77777777" w:rsidR="007F5D2B" w:rsidRPr="007F5D2B" w:rsidRDefault="007F5D2B" w:rsidP="007F5D2B">
            <w:pPr>
              <w:pStyle w:val="CM4"/>
              <w:tabs>
                <w:tab w:val="left" w:pos="150"/>
              </w:tabs>
              <w:ind w:left="-43"/>
              <w:jc w:val="both"/>
              <w:rPr>
                <w:rFonts w:ascii="Times New Roman" w:hAnsi="Times New Roman"/>
                <w:sz w:val="20"/>
                <w:szCs w:val="20"/>
                <w:lang w:val="ro-RO" w:eastAsia="ru-RU"/>
              </w:rPr>
            </w:pPr>
            <w:r w:rsidRPr="007F5D2B">
              <w:rPr>
                <w:rFonts w:ascii="Times New Roman" w:hAnsi="Times New Roman"/>
                <w:sz w:val="20"/>
                <w:szCs w:val="20"/>
                <w:lang w:val="ro-RO" w:eastAsia="ru-RU"/>
              </w:rPr>
              <w:t>▼M17</w:t>
            </w:r>
          </w:p>
          <w:p w14:paraId="33FD8FFA" w14:textId="0DF230E3" w:rsidR="007F5D2B" w:rsidRPr="007F5D2B" w:rsidRDefault="007F5D2B" w:rsidP="007F5D2B">
            <w:pPr>
              <w:pStyle w:val="CM4"/>
              <w:tabs>
                <w:tab w:val="left" w:pos="150"/>
              </w:tabs>
              <w:ind w:left="-43"/>
              <w:jc w:val="both"/>
              <w:rPr>
                <w:rFonts w:ascii="Times New Roman" w:hAnsi="Times New Roman"/>
                <w:sz w:val="20"/>
                <w:szCs w:val="20"/>
                <w:lang w:val="ro-RO" w:eastAsia="ru-RU"/>
              </w:rPr>
            </w:pPr>
            <w:r w:rsidRPr="007F5D2B">
              <w:rPr>
                <w:rFonts w:ascii="Times New Roman" w:hAnsi="Times New Roman"/>
                <w:sz w:val="20"/>
                <w:szCs w:val="20"/>
                <w:lang w:val="ro-RO" w:eastAsia="ru-RU"/>
              </w:rPr>
              <w:t>(g) atunci când efectuează o evaluare sau o reevaluare, instituțiile țin seama pe deplin de orice deteriorare sau uzură morală a garanției reale, acordând o atenție deosebită efectelor trecerii timpului asupra garanțiilor reale sensibile la uzura morală; în cazul garanțiilor reale corporale, uzura morală a garanției reale include, de asemenea, considerații de evaluare legate de ESG referitoare la interdicții sau limitări impuse de obiectivele de reglementare și actele juridice relevante ale Uniunii și ale statelor membre, precum și, dacă este relevant pentru instituțiile active la nivel internațional, de obiectivele juridice și de reglementare ale țărilor terțe;</w:t>
            </w:r>
          </w:p>
        </w:tc>
        <w:tc>
          <w:tcPr>
            <w:tcW w:w="1636" w:type="pct"/>
            <w:shd w:val="clear" w:color="auto" w:fill="auto"/>
          </w:tcPr>
          <w:p w14:paraId="2D1E3999" w14:textId="77777777" w:rsidR="007F5D2B" w:rsidRDefault="007F5D2B" w:rsidP="007F5D2B">
            <w:pPr>
              <w:pStyle w:val="CM4"/>
              <w:tabs>
                <w:tab w:val="left" w:pos="150"/>
              </w:tabs>
              <w:ind w:left="-36"/>
              <w:jc w:val="both"/>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7) atunci când efectuează o evaluare sau o reevaluare, băncile țin seama pe deplin de orice deteriorare sau uzură morală a garanției reale, acordând o atenție deosebită efectelor trecerii timpului asupra garanțiilor reale sensibile la uzura morală; în cazul garanțiilor reale corporale, uzura morală a garanției reale include, de asemenea, considerații de evaluare legate de riscuri de mediu, sociale și de guvernanță referitoare la interdicții sau limitări impuse de obiectivele de reglementare și actele juridice relevante, precum și, dacă este relevant pentru băncile active la nivel internațional, de obiectivele juridice și de reglementare ale țărilor terțe;</w:t>
            </w:r>
          </w:p>
          <w:p w14:paraId="21892ADC" w14:textId="7B9461F8" w:rsidR="007F5D2B" w:rsidRPr="007F5D2B" w:rsidRDefault="007F5D2B" w:rsidP="007F5D2B">
            <w:pPr>
              <w:rPr>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63E06E0" w14:textId="58007634" w:rsidR="007F5D2B" w:rsidRPr="002C32BA" w:rsidRDefault="007F5D2B" w:rsidP="007F5D2B">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4C396E3" w14:textId="77777777" w:rsidR="007F5D2B" w:rsidRDefault="007F5D2B" w:rsidP="007F5D2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49A87C2" w14:textId="77777777" w:rsidR="007F5D2B" w:rsidRDefault="007F5D2B" w:rsidP="007F5D2B">
            <w:pPr>
              <w:jc w:val="both"/>
              <w:rPr>
                <w:rFonts w:ascii="Times New Roman" w:hAnsi="Times New Roman" w:cs="Times New Roman"/>
                <w:sz w:val="20"/>
                <w:szCs w:val="20"/>
                <w:lang w:val="ro-RO"/>
              </w:rPr>
            </w:pPr>
          </w:p>
        </w:tc>
      </w:tr>
      <w:tr w:rsidR="007F5D2B" w:rsidRPr="007F5D2B" w14:paraId="7EAF086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6AC7CBD" w14:textId="44642D82" w:rsidR="007F5D2B" w:rsidRPr="007F5D2B" w:rsidRDefault="007F5D2B" w:rsidP="007F5D2B">
            <w:pPr>
              <w:pStyle w:val="CM4"/>
              <w:tabs>
                <w:tab w:val="left" w:pos="150"/>
              </w:tabs>
              <w:ind w:left="-43"/>
              <w:jc w:val="both"/>
              <w:rPr>
                <w:rFonts w:ascii="Times New Roman" w:hAnsi="Times New Roman"/>
                <w:sz w:val="20"/>
                <w:szCs w:val="20"/>
                <w:lang w:val="ro-RO" w:eastAsia="ru-RU"/>
              </w:rPr>
            </w:pPr>
            <w:r w:rsidRPr="007F5D2B">
              <w:rPr>
                <w:rFonts w:ascii="Times New Roman" w:hAnsi="Times New Roman"/>
                <w:sz w:val="20"/>
                <w:szCs w:val="20"/>
                <w:lang w:val="ro-RO" w:eastAsia="ru-RU"/>
              </w:rPr>
              <w:t>(h) instituțiile au dreptul de a efectua o inspecție fizică a garanției reale. Acestea dispun, de asemenea, de politici și proceduri care stabilesc modul de exercitare a dreptului de inspecție fizică;</w:t>
            </w:r>
          </w:p>
        </w:tc>
        <w:tc>
          <w:tcPr>
            <w:tcW w:w="1636" w:type="pct"/>
            <w:shd w:val="clear" w:color="auto" w:fill="auto"/>
          </w:tcPr>
          <w:p w14:paraId="29D7C5FE" w14:textId="77777777" w:rsidR="007F5D2B" w:rsidRDefault="007F5D2B" w:rsidP="007F5D2B">
            <w:pPr>
              <w:rPr>
                <w:rFonts w:ascii="Times New Roman" w:hAnsi="Times New Roman" w:cs="Times New Roman"/>
                <w:i/>
                <w:iCs/>
                <w:color w:val="000000" w:themeColor="text1"/>
                <w:sz w:val="20"/>
                <w:szCs w:val="20"/>
              </w:rPr>
            </w:pPr>
            <w:r w:rsidRPr="00E8164A">
              <w:rPr>
                <w:rFonts w:ascii="Times New Roman" w:eastAsia="Times New Roman" w:hAnsi="Times New Roman" w:cs="Times New Roman"/>
                <w:color w:val="000000" w:themeColor="text1"/>
                <w:sz w:val="20"/>
                <w:szCs w:val="20"/>
                <w:lang w:val="ro-RO" w:eastAsia="ro-MD"/>
              </w:rPr>
              <w:t>8) băncile au dreptul de a efectua o inspecție fizică a garanției reale. Acestea dispun, de asemenea, de politici și proceduri care stabilesc modul de exercitare a dreptului de inspecție fizică;</w:t>
            </w:r>
            <w:r w:rsidRPr="00684853">
              <w:rPr>
                <w:rFonts w:ascii="Times New Roman" w:hAnsi="Times New Roman" w:cs="Times New Roman"/>
                <w:i/>
                <w:iCs/>
                <w:color w:val="000000" w:themeColor="text1"/>
                <w:sz w:val="20"/>
                <w:szCs w:val="20"/>
              </w:rPr>
              <w:t xml:space="preserve"> </w:t>
            </w:r>
          </w:p>
          <w:p w14:paraId="323A3368" w14:textId="18B66F47" w:rsidR="007F5D2B" w:rsidRPr="007F5D2B" w:rsidRDefault="007F5D2B" w:rsidP="007F5D2B">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7DD2E0F6" w14:textId="7E804ED0" w:rsidR="007F5D2B" w:rsidRPr="002C32BA" w:rsidRDefault="007F5D2B" w:rsidP="007F5D2B">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1B5C854A" w14:textId="77777777" w:rsidR="007F5D2B" w:rsidRDefault="007F5D2B" w:rsidP="007F5D2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1E0D48D0" w14:textId="77777777" w:rsidR="007F5D2B" w:rsidRDefault="007F5D2B" w:rsidP="007F5D2B">
            <w:pPr>
              <w:jc w:val="both"/>
              <w:rPr>
                <w:rFonts w:ascii="Times New Roman" w:hAnsi="Times New Roman" w:cs="Times New Roman"/>
                <w:sz w:val="20"/>
                <w:szCs w:val="20"/>
                <w:lang w:val="ro-RO"/>
              </w:rPr>
            </w:pPr>
          </w:p>
        </w:tc>
      </w:tr>
      <w:tr w:rsidR="007F5D2B" w:rsidRPr="007F5D2B" w14:paraId="658EDD8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4B2C38E" w14:textId="041E7000" w:rsidR="007F5D2B" w:rsidRPr="007F5D2B" w:rsidRDefault="007F5D2B" w:rsidP="007F5D2B">
            <w:pPr>
              <w:pStyle w:val="CM4"/>
              <w:tabs>
                <w:tab w:val="left" w:pos="150"/>
              </w:tabs>
              <w:ind w:left="-43"/>
              <w:jc w:val="both"/>
              <w:rPr>
                <w:rFonts w:ascii="Times New Roman" w:hAnsi="Times New Roman"/>
                <w:sz w:val="20"/>
                <w:szCs w:val="20"/>
                <w:lang w:val="ro-RO" w:eastAsia="ru-RU"/>
              </w:rPr>
            </w:pPr>
            <w:r w:rsidRPr="007F5D2B">
              <w:rPr>
                <w:rFonts w:ascii="Times New Roman" w:hAnsi="Times New Roman"/>
                <w:sz w:val="20"/>
                <w:szCs w:val="20"/>
                <w:lang w:val="ro-RO" w:eastAsia="ru-RU"/>
              </w:rPr>
              <w:t>(i) garanția reală acceptată ca protecție este asigurată în mod adecvat împotriva riscului de daune, iar instituțiile dispun de proceduri de monitorizare a acestui fapt.</w:t>
            </w:r>
          </w:p>
        </w:tc>
        <w:tc>
          <w:tcPr>
            <w:tcW w:w="1636" w:type="pct"/>
            <w:shd w:val="clear" w:color="auto" w:fill="auto"/>
          </w:tcPr>
          <w:p w14:paraId="7904E6AA" w14:textId="425A40A1" w:rsidR="007F5D2B" w:rsidRPr="007F5D2B" w:rsidRDefault="007F5D2B" w:rsidP="007F5D2B">
            <w:pPr>
              <w:rPr>
                <w:rFonts w:ascii="Times New Roman" w:hAnsi="Times New Roman" w:cs="Times New Roman"/>
                <w:i/>
                <w:iCs/>
                <w:color w:val="000000" w:themeColor="text1"/>
                <w:sz w:val="20"/>
                <w:szCs w:val="20"/>
              </w:rPr>
            </w:pPr>
            <w:r w:rsidRPr="00E8164A">
              <w:rPr>
                <w:rFonts w:ascii="Times New Roman" w:eastAsia="Times New Roman" w:hAnsi="Times New Roman" w:cs="Times New Roman"/>
                <w:color w:val="000000" w:themeColor="text1"/>
                <w:sz w:val="20"/>
                <w:szCs w:val="20"/>
                <w:lang w:val="ro-RO" w:eastAsia="ro-MD"/>
              </w:rPr>
              <w:t>9) garanția reală acceptată ca protecție este asigurată în mod adecvat împotriva riscului de daune, iar băncile dispun de proceduri de monitorizare a acestui fapt.</w:t>
            </w:r>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lastRenderedPageBreak/>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4C11FDEB" w14:textId="477227F2" w:rsidR="007F5D2B" w:rsidRPr="002C32BA" w:rsidRDefault="007F5D2B" w:rsidP="007F5D2B">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0173545F" w14:textId="77777777" w:rsidR="007F5D2B" w:rsidRDefault="007F5D2B" w:rsidP="007F5D2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9470B71" w14:textId="77777777" w:rsidR="007F5D2B" w:rsidRDefault="007F5D2B" w:rsidP="007F5D2B">
            <w:pPr>
              <w:jc w:val="both"/>
              <w:rPr>
                <w:rFonts w:ascii="Times New Roman" w:hAnsi="Times New Roman" w:cs="Times New Roman"/>
                <w:sz w:val="20"/>
                <w:szCs w:val="20"/>
                <w:lang w:val="ro-RO"/>
              </w:rPr>
            </w:pPr>
          </w:p>
        </w:tc>
      </w:tr>
      <w:tr w:rsidR="007F5D2B" w:rsidRPr="007F5D2B" w14:paraId="373A65D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BB1EE1B" w14:textId="77777777" w:rsidR="007F5D2B" w:rsidRPr="007F5D2B" w:rsidRDefault="007F5D2B" w:rsidP="007F5D2B">
            <w:pPr>
              <w:pStyle w:val="CM4"/>
              <w:tabs>
                <w:tab w:val="left" w:pos="150"/>
              </w:tabs>
              <w:ind w:left="-43"/>
              <w:jc w:val="both"/>
              <w:rPr>
                <w:rFonts w:ascii="Times New Roman" w:hAnsi="Times New Roman"/>
                <w:sz w:val="20"/>
                <w:szCs w:val="20"/>
                <w:lang w:val="ro-RO" w:eastAsia="ru-RU"/>
              </w:rPr>
            </w:pPr>
            <w:r w:rsidRPr="007F5D2B">
              <w:rPr>
                <w:rFonts w:ascii="Times New Roman" w:hAnsi="Times New Roman"/>
                <w:sz w:val="20"/>
                <w:szCs w:val="20"/>
                <w:lang w:val="ro-RO" w:eastAsia="ru-RU"/>
              </w:rPr>
              <w:t>▼M17</w:t>
            </w:r>
          </w:p>
          <w:p w14:paraId="5E9879E8" w14:textId="3F82C30C" w:rsidR="007F5D2B" w:rsidRPr="007F5D2B" w:rsidRDefault="007F5D2B" w:rsidP="007F5D2B">
            <w:pPr>
              <w:pStyle w:val="CM4"/>
              <w:tabs>
                <w:tab w:val="left" w:pos="150"/>
              </w:tabs>
              <w:ind w:left="-43"/>
              <w:jc w:val="both"/>
              <w:rPr>
                <w:rFonts w:ascii="Times New Roman" w:hAnsi="Times New Roman"/>
                <w:sz w:val="20"/>
                <w:szCs w:val="20"/>
                <w:lang w:val="ro-RO" w:eastAsia="ru-RU"/>
              </w:rPr>
            </w:pPr>
            <w:r w:rsidRPr="007F5D2B">
              <w:rPr>
                <w:rFonts w:ascii="Times New Roman" w:hAnsi="Times New Roman"/>
                <w:sz w:val="20"/>
                <w:szCs w:val="20"/>
                <w:lang w:val="ro-RO" w:eastAsia="ru-RU"/>
              </w:rPr>
              <w:t>În cazul în care contractele de garanție generală sau alte forme de garanții constituite asupra unei universalități de bunuri oferă instituției creditoare o creanță înregistrată asupra activelor unei societăți și în cazul în care creanța respectivă conține atât active care nu sunt eligibile drept garanții reale în cadrul abordării IRB, cât și active care sunt eligibile drept garanții reale în cadrul abordării IRB, instituția le poate recunoaște pe acestea din urmă drept protecție finanțată a creditului eligibilă. În acest caz, recunoașterea este condiționată de îndeplinirea de către activele respective a cerințelor de eligibilitate a garanțiilor reale în cadrul abordării IRB, astfel cum se prevede în prezentul capitol.</w:t>
            </w:r>
          </w:p>
        </w:tc>
        <w:tc>
          <w:tcPr>
            <w:tcW w:w="1636" w:type="pct"/>
            <w:shd w:val="clear" w:color="auto" w:fill="auto"/>
          </w:tcPr>
          <w:p w14:paraId="4CC2EF9A" w14:textId="77777777" w:rsidR="007F5D2B" w:rsidRDefault="007F5D2B" w:rsidP="007F5D2B">
            <w:pPr>
              <w:pStyle w:val="CM4"/>
              <w:tabs>
                <w:tab w:val="left" w:pos="150"/>
              </w:tabs>
              <w:ind w:left="-36"/>
              <w:jc w:val="both"/>
              <w:rPr>
                <w:rFonts w:ascii="Times New Roman" w:hAnsi="Times New Roman"/>
                <w:color w:val="000000" w:themeColor="text1"/>
                <w:sz w:val="20"/>
                <w:szCs w:val="20"/>
                <w:lang w:val="ro-RO" w:eastAsia="ro-MD"/>
              </w:rPr>
            </w:pPr>
            <w:r w:rsidRPr="00E8164A">
              <w:rPr>
                <w:rFonts w:ascii="Times New Roman" w:hAnsi="Times New Roman"/>
                <w:b/>
                <w:bCs/>
                <w:color w:val="000000" w:themeColor="text1"/>
                <w:sz w:val="20"/>
                <w:szCs w:val="20"/>
                <w:lang w:val="ro-RO" w:eastAsia="ro-MD"/>
              </w:rPr>
              <w:t>50</w:t>
            </w:r>
            <w:r w:rsidRPr="00E8164A">
              <w:rPr>
                <w:rFonts w:ascii="Times New Roman" w:hAnsi="Times New Roman"/>
                <w:b/>
                <w:bCs/>
                <w:color w:val="000000" w:themeColor="text1"/>
                <w:sz w:val="20"/>
                <w:szCs w:val="20"/>
                <w:vertAlign w:val="superscript"/>
                <w:lang w:val="ro-RO" w:eastAsia="ro-MD"/>
              </w:rPr>
              <w:t>6</w:t>
            </w:r>
            <w:r w:rsidRPr="00E8164A">
              <w:rPr>
                <w:rFonts w:ascii="Times New Roman" w:hAnsi="Times New Roman"/>
                <w:b/>
                <w:bCs/>
                <w:color w:val="000000" w:themeColor="text1"/>
                <w:sz w:val="20"/>
                <w:szCs w:val="20"/>
                <w:lang w:val="ro-RO" w:eastAsia="ro-MD"/>
              </w:rPr>
              <w:t>.</w:t>
            </w:r>
            <w:r w:rsidRPr="00E8164A">
              <w:rPr>
                <w:rFonts w:ascii="Times New Roman" w:hAnsi="Times New Roman"/>
                <w:color w:val="000000" w:themeColor="text1"/>
                <w:sz w:val="20"/>
                <w:szCs w:val="20"/>
                <w:lang w:val="ro-RO" w:eastAsia="ro-MD"/>
              </w:rPr>
              <w:t xml:space="preserve"> În cazul în care contractele de garanție generală sau alte forme de garanții constituite asupra unei universalități de bunuri oferă băncii creditoare o creanță înregistrată asupra activelor unei societăți și în cazul în care creanța respectivă conține atât active care nu sunt eligibile drept garanții reale în cadrul abordării IRB, cât și active care sunt eligibile drept garanții reale în cadrul abordării IRB, banca le poate recunoaște pe acestea din urmă drept protecție finanțată a creditului eligibilă. În acest caz, recunoașterea este condiționată de îndeplinirea de către activele respective a cerințelor de eligibilitate a garanțiilor reale în cadrul abordării IRB, astfel cum se prevede în prezentul regulament.</w:t>
            </w:r>
          </w:p>
          <w:p w14:paraId="1A899419" w14:textId="0E70B9DC" w:rsidR="007F5D2B" w:rsidRPr="007F5D2B" w:rsidRDefault="007F5D2B" w:rsidP="007F5D2B">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B033C41" w14:textId="407871BD" w:rsidR="007F5D2B" w:rsidRPr="002C32BA" w:rsidRDefault="007F5D2B" w:rsidP="007F5D2B">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7B04676" w14:textId="77777777" w:rsidR="007F5D2B" w:rsidRDefault="007F5D2B" w:rsidP="007F5D2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62B53CB" w14:textId="77777777" w:rsidR="007F5D2B" w:rsidRDefault="007F5D2B" w:rsidP="007F5D2B">
            <w:pPr>
              <w:jc w:val="both"/>
              <w:rPr>
                <w:rFonts w:ascii="Times New Roman" w:hAnsi="Times New Roman" w:cs="Times New Roman"/>
                <w:sz w:val="20"/>
                <w:szCs w:val="20"/>
                <w:lang w:val="ro-RO"/>
              </w:rPr>
            </w:pPr>
          </w:p>
        </w:tc>
      </w:tr>
      <w:tr w:rsidR="007F5D2B" w:rsidRPr="002C32BA" w14:paraId="0BD5E0E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0E00C00" w14:textId="77777777" w:rsidR="007F5D2B" w:rsidRPr="002C32BA" w:rsidRDefault="007F5D2B" w:rsidP="007F5D2B">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 xml:space="preserve">Articolul 211 </w:t>
            </w:r>
            <w:r w:rsidRPr="002C32BA">
              <w:rPr>
                <w:rFonts w:ascii="Times New Roman" w:hAnsi="Times New Roman"/>
                <w:b/>
                <w:iCs/>
                <w:sz w:val="20"/>
                <w:szCs w:val="20"/>
                <w:lang w:val="ro-RO" w:eastAsia="ru-RU"/>
              </w:rPr>
              <w:t>Cerințe privind tratarea expunerilor decurgând din operațiuni de leasing ca expuneri acoperite cu garanții reale</w:t>
            </w:r>
          </w:p>
          <w:p w14:paraId="3E394786"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Instituțiile trebuie să trateze expunerile care decurg din operațiuni de leasing ca fiind garantate cu tipul de bun dat în leasing, dacă sunt îndeplinite toate condițiile următoare: </w:t>
            </w:r>
          </w:p>
          <w:p w14:paraId="3679AC42"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condițiile stabilite la articolul 208 sau 210, după caz, pentru ca tipul de bun dat în leasing să se califice drept garanție reală eligibilă sunt îndeplinite;</w:t>
            </w:r>
          </w:p>
          <w:p w14:paraId="74D22BE0"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locatorul efectuează o gestionare riguroasă a riscurilor, care ține seama de modul de utilizare a activului dat în leasing, de locul în care este amplasat acesta, de vechimea sa, precum și de durata planificată de utilizare, inclusiv o monitorizare adecvată a valorii activului;</w:t>
            </w:r>
          </w:p>
          <w:p w14:paraId="3DEA30A7"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locatorul are drept de proprietate asupra activului și poate să-și exercite drepturile de proprietar în timp util;</w:t>
            </w:r>
          </w:p>
          <w:p w14:paraId="5C594F4F" w14:textId="77777777" w:rsidR="007F5D2B" w:rsidRPr="002C32BA" w:rsidRDefault="007F5D2B" w:rsidP="007F5D2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(d) dacă acest fapt nu a fost deja avut în vedere la calculul nivelului pierderii în caz de nerambursare, diferența dintre cuantumul neamortizat și valoarea de piață a activului nu este atât de mare încât să supraestimeze efectul de diminuare a riscului de credit atribuit activelor date în leasing.</w:t>
            </w:r>
          </w:p>
        </w:tc>
        <w:tc>
          <w:tcPr>
            <w:tcW w:w="1636" w:type="pct"/>
            <w:shd w:val="clear" w:color="auto" w:fill="auto"/>
          </w:tcPr>
          <w:p w14:paraId="7C5269AB" w14:textId="77777777" w:rsidR="00434E0D" w:rsidRPr="00E8164A" w:rsidRDefault="00434E0D" w:rsidP="00434E0D">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50</w:t>
            </w:r>
            <w:r w:rsidRPr="00E8164A">
              <w:rPr>
                <w:rFonts w:ascii="Times New Roman" w:eastAsia="Times New Roman" w:hAnsi="Times New Roman" w:cs="Times New Roman"/>
                <w:b/>
                <w:bCs/>
                <w:color w:val="000000" w:themeColor="text1"/>
                <w:sz w:val="20"/>
                <w:szCs w:val="20"/>
                <w:vertAlign w:val="superscript"/>
                <w:lang w:val="ro-RO" w:eastAsia="ro-MD"/>
              </w:rPr>
              <w:t>7</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Băncile trebuie să trateze expunerile care decurg din operațiuni de leasing ca fiind garantate cu tipul de bun dat în leasing, dacă sunt îndeplinite cumulativ următoarele condiții:</w:t>
            </w:r>
          </w:p>
          <w:p w14:paraId="00ACBAC3" w14:textId="7C830BCF" w:rsidR="00434E0D" w:rsidRPr="00E8164A" w:rsidRDefault="00434E0D" w:rsidP="00434E0D">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condițiile stabilite la punctul 50</w:t>
            </w:r>
            <w:r w:rsidRPr="00E8164A">
              <w:rPr>
                <w:rFonts w:ascii="Times New Roman" w:eastAsia="Times New Roman" w:hAnsi="Times New Roman" w:cs="Times New Roman"/>
                <w:color w:val="000000" w:themeColor="text1"/>
                <w:sz w:val="20"/>
                <w:szCs w:val="20"/>
                <w:vertAlign w:val="superscript"/>
                <w:lang w:val="ro-RO" w:eastAsia="ro-MD"/>
              </w:rPr>
              <w:t>1</w:t>
            </w:r>
            <w:r w:rsidRPr="00E8164A">
              <w:rPr>
                <w:rFonts w:ascii="Times New Roman" w:eastAsia="Times New Roman" w:hAnsi="Times New Roman" w:cs="Times New Roman"/>
                <w:color w:val="000000" w:themeColor="text1"/>
                <w:sz w:val="20"/>
                <w:szCs w:val="20"/>
                <w:lang w:val="ro-RO" w:eastAsia="ro-MD"/>
              </w:rPr>
              <w:t xml:space="preserve"> sau punctele 50</w:t>
            </w:r>
            <w:r w:rsidRPr="00E8164A">
              <w:rPr>
                <w:rFonts w:ascii="Times New Roman" w:eastAsia="Times New Roman" w:hAnsi="Times New Roman" w:cs="Times New Roman"/>
                <w:color w:val="000000" w:themeColor="text1"/>
                <w:sz w:val="20"/>
                <w:szCs w:val="20"/>
                <w:vertAlign w:val="superscript"/>
                <w:lang w:val="ro-RO" w:eastAsia="ro-MD"/>
              </w:rPr>
              <w:t>5</w:t>
            </w:r>
            <w:r w:rsidRPr="00E8164A">
              <w:rPr>
                <w:rFonts w:ascii="Times New Roman" w:eastAsia="Times New Roman" w:hAnsi="Times New Roman" w:cs="Times New Roman"/>
                <w:color w:val="000000" w:themeColor="text1"/>
                <w:sz w:val="20"/>
                <w:szCs w:val="20"/>
                <w:lang w:val="ro-RO" w:eastAsia="ro-MD"/>
              </w:rPr>
              <w:t>-50</w:t>
            </w:r>
            <w:r w:rsidRPr="00E8164A">
              <w:rPr>
                <w:rFonts w:ascii="Times New Roman" w:eastAsia="Times New Roman" w:hAnsi="Times New Roman" w:cs="Times New Roman"/>
                <w:color w:val="000000" w:themeColor="text1"/>
                <w:sz w:val="20"/>
                <w:szCs w:val="20"/>
                <w:vertAlign w:val="superscript"/>
                <w:lang w:val="ro-RO" w:eastAsia="ro-MD"/>
              </w:rPr>
              <w:t>6</w:t>
            </w:r>
            <w:r w:rsidRPr="00E8164A">
              <w:rPr>
                <w:rFonts w:ascii="Times New Roman" w:eastAsia="Times New Roman" w:hAnsi="Times New Roman" w:cs="Times New Roman"/>
                <w:color w:val="000000" w:themeColor="text1"/>
                <w:sz w:val="20"/>
                <w:szCs w:val="20"/>
                <w:lang w:val="ro-RO" w:eastAsia="ro-MD"/>
              </w:rPr>
              <w:t>, după caz, pentru ca tipul de bun dat în leasing să se califice drept garanție reală eligibilă sunt îndeplinite;</w:t>
            </w:r>
          </w:p>
          <w:p w14:paraId="7D858535" w14:textId="26B6F2F6" w:rsidR="00434E0D" w:rsidRPr="00E8164A" w:rsidRDefault="00434E0D" w:rsidP="00434E0D">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2) locatorul efectuează o gestionare riguroasă a riscurilor, care ține seama de modul de utilizare a activului dat în leasing, de locul în care este amplasat acesta, de vechimea sa, precum și de durata planificată de utilizare, inclusiv o monitorizare adecvată a valorii activului;</w:t>
            </w:r>
          </w:p>
          <w:p w14:paraId="06542F34" w14:textId="1370BBE3" w:rsidR="00434E0D" w:rsidRPr="00E8164A" w:rsidRDefault="00434E0D" w:rsidP="00434E0D">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 locatorul are drept de proprietate asupra activului și poate să-și exercite drepturile de proprietar în timp util;</w:t>
            </w:r>
          </w:p>
          <w:p w14:paraId="6169355E" w14:textId="77777777" w:rsidR="007F5D2B" w:rsidRDefault="00434E0D" w:rsidP="00434E0D">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lastRenderedPageBreak/>
              <w:t>4) dacă acest fapt nu a fost deja avut în vedere la calculul nivelului pierderii în caz de nerambursare, diferența dintre cuantumul neamortizat și valoarea de piață a activului nu este atât de mare încât să supraestimeze efectul de diminuare a riscului de credit atribuit activelor date în leasing.</w:t>
            </w:r>
          </w:p>
          <w:p w14:paraId="69445EF7" w14:textId="2D518688" w:rsidR="00434E0D" w:rsidRPr="00434E0D" w:rsidRDefault="00434E0D" w:rsidP="00434E0D">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7EFC1EB1" w14:textId="47728DAC" w:rsidR="007F5D2B" w:rsidRPr="002C32BA" w:rsidRDefault="007F5D2B" w:rsidP="007F5D2B">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11A619EE" w14:textId="77777777" w:rsidR="007F5D2B" w:rsidRDefault="007F5D2B" w:rsidP="007F5D2B">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9325AE6" w14:textId="10B1D787" w:rsidR="007F5D2B" w:rsidRPr="002C32BA" w:rsidRDefault="007F5D2B" w:rsidP="007F5D2B">
            <w:pPr>
              <w:jc w:val="both"/>
              <w:rPr>
                <w:rFonts w:ascii="Times New Roman" w:hAnsi="Times New Roman" w:cs="Times New Roman"/>
                <w:sz w:val="20"/>
                <w:szCs w:val="20"/>
                <w:lang w:val="ro-RO"/>
              </w:rPr>
            </w:pPr>
          </w:p>
        </w:tc>
      </w:tr>
      <w:tr w:rsidR="00D62F3C" w:rsidRPr="002C32BA" w14:paraId="45EE425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722C6D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212</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privind alte tipuri de protecție finanțată a creditului</w:t>
            </w:r>
          </w:p>
          <w:p w14:paraId="7C33827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Numerarul sub formă de depozit constituit la o instituție terță sau instrumentele asimilate numerarului păstrate de aceasta sunt eligibile pentru tratamentul prevăzut la articolul 232 alineatul (1), dacă sunt îndeplinite cumulativ condițiile următoare:</w:t>
            </w:r>
          </w:p>
          <w:p w14:paraId="5F21174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creanța împrumutatului față de instituția terță trebuie să fie, în mod transparent, gajată în favoarea instituției creditoare sau cesionată acesteia, iar acest gaj sau această cesiune trebuie să fie validă din punct de vedere legal și să aibă caracter executoriu din punct de vedere juridic în toate jurisdicțiile relevante și trebuie să fie necondiționată și irevocabilă;</w:t>
            </w:r>
          </w:p>
          <w:p w14:paraId="1387B96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gajul sau cesiunea sunt notificate instituției terțe;</w:t>
            </w:r>
          </w:p>
          <w:p w14:paraId="58E10C8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în urma notificării, instituția terță trebuie să poată efectua plăți numai către instituția creditoare, sau către alte părți numai cu acordul prealabil al instituției creditoare;</w:t>
            </w:r>
          </w:p>
        </w:tc>
        <w:tc>
          <w:tcPr>
            <w:tcW w:w="1636" w:type="pct"/>
            <w:shd w:val="clear" w:color="auto" w:fill="auto"/>
          </w:tcPr>
          <w:p w14:paraId="4CAB260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a 3-a. Cerințe pentru alte tipuri de protecție finanțată a creditului</w:t>
            </w:r>
          </w:p>
          <w:p w14:paraId="5CDFE710"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14B033F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457266">
              <w:rPr>
                <w:rFonts w:ascii="Times New Roman" w:hAnsi="Times New Roman"/>
                <w:b/>
                <w:bCs/>
                <w:sz w:val="20"/>
                <w:szCs w:val="20"/>
                <w:lang w:val="ro-RO" w:eastAsia="ru-RU"/>
              </w:rPr>
              <w:t>51.</w:t>
            </w:r>
            <w:r w:rsidRPr="002C32BA">
              <w:rPr>
                <w:rFonts w:ascii="Times New Roman" w:hAnsi="Times New Roman"/>
                <w:sz w:val="20"/>
                <w:szCs w:val="20"/>
                <w:lang w:val="ro-RO" w:eastAsia="ru-RU"/>
              </w:rPr>
              <w:t xml:space="preserve"> Mijloacele bănești sub formă de depozit constituit la o bancă terță sau instrumentele asimilate mijloacelor bănești deținute de banca terță, prevăzute la punctul 35 subpunctul 1) sunt eligibile pentru tratamentul prevăzut la punctul 108, dacă sunt îndeplinite cumulativ următoarele condiții: </w:t>
            </w:r>
          </w:p>
          <w:p w14:paraId="46C58A4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creanța debitorului față de banca terță este, în mod transparent, gajată în favoarea băncii creditoare sau cesionată acesteia, iar acest gaj sau această cesiune este validă din punct de vedere legal și poate fi pusă în aplicare/executare în toate jurisdicțiile relevante și este necondiționată și irevocabilă; </w:t>
            </w:r>
          </w:p>
          <w:p w14:paraId="23579F7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gajul sau cesiunea sunt notificate băncii terțe; </w:t>
            </w:r>
          </w:p>
          <w:p w14:paraId="738C620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3) în urma notificării, banca terță poate efectua plăți numai către banca creditoare, sau către alte părți numai cu acordul prealabil al băncii creditoare.</w:t>
            </w:r>
          </w:p>
        </w:tc>
        <w:tc>
          <w:tcPr>
            <w:tcW w:w="562" w:type="pct"/>
          </w:tcPr>
          <w:p w14:paraId="6B98A3CA"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9D07E15" w14:textId="7F879D59"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E81D5A7" w14:textId="77777777" w:rsidR="00D62F3C" w:rsidRPr="002C32BA" w:rsidRDefault="00D62F3C" w:rsidP="00D62F3C">
            <w:pPr>
              <w:jc w:val="both"/>
              <w:rPr>
                <w:rFonts w:ascii="Times New Roman" w:hAnsi="Times New Roman" w:cs="Times New Roman"/>
                <w:sz w:val="20"/>
                <w:szCs w:val="20"/>
                <w:lang w:val="ro-RO"/>
              </w:rPr>
            </w:pPr>
          </w:p>
        </w:tc>
      </w:tr>
      <w:tr w:rsidR="00457266" w:rsidRPr="002C32BA" w14:paraId="423D956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0738879"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Polițele de asigurare de viață gajate în favoarea instituției creditoare se califică drept garanții reale eligibile, dacă sunt îndeplinite toate condițiile următoare:</w:t>
            </w:r>
          </w:p>
          <w:p w14:paraId="4B4782BE"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polița de asigurare de viață este, în mod transparent, gajată în favoarea instituției creditoare sau cesionată acesteia;</w:t>
            </w:r>
          </w:p>
          <w:p w14:paraId="116F855F"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(b) societatea care furnizează asigurarea de viață este notificată în legătură cu gajul sau cesiunea și, în urma notificării, nu poate plăti sumele exigibile în baza contractului fără acordul prealabil al instituției creditoare;</w:t>
            </w:r>
          </w:p>
          <w:p w14:paraId="7E5C58E3"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instituția creditoare are dreptul de a anula polița și de a primi valoarea de răscumpărare în cazul în care împrumutatul se află în stare de nerambursare;</w:t>
            </w:r>
          </w:p>
          <w:p w14:paraId="37CAF254"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(d) instituția creditoare este informată în legătură cu orice plăți neefectuate de deținătorul poliței și care sunt corespunzătoare acesteia; </w:t>
            </w:r>
          </w:p>
          <w:p w14:paraId="7FBF4FB6" w14:textId="77777777" w:rsidR="00457266"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(e) protecția creditului este furnizată până la scadența împrumutului. Dacă acest lucru nu este posibil deoarece asigurarea încetează înainte de expirarea duratei creditului, instituția se asigură că suma care decurge din contractul de asigurare îi servește drept garanție până la sfârșitul duratei contractului de credit;</w:t>
            </w:r>
          </w:p>
          <w:p w14:paraId="3E997619" w14:textId="77777777" w:rsidR="00457266" w:rsidRPr="00457266" w:rsidRDefault="00457266" w:rsidP="00457266">
            <w:pPr>
              <w:spacing w:after="0"/>
              <w:rPr>
                <w:lang w:val="ro-RO" w:eastAsia="ru-RU"/>
              </w:rPr>
            </w:pPr>
          </w:p>
          <w:p w14:paraId="6961F918"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(f) gajul sau cesiunea sunt valide din punct de vedere legal și au caracter executoriu din punct de vedere juridic în toate jurisdicțiile relevante la momentul încheierii contractului de credit;</w:t>
            </w:r>
          </w:p>
          <w:p w14:paraId="6E9DF0D9"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(g) valoarea de răscumpărare este declarată de societatea care furnizează asigurarea de viață și nu este reductibilă;</w:t>
            </w:r>
          </w:p>
          <w:p w14:paraId="3C2D9A96" w14:textId="77777777" w:rsidR="00457266"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(h) valoarea de răscumpărare trebuie plătită în timp util, la cerere, de către societatea care furnizează asigurarea de viață;</w:t>
            </w:r>
          </w:p>
          <w:p w14:paraId="7DAE5776" w14:textId="77777777" w:rsidR="00457266" w:rsidRPr="00457266" w:rsidRDefault="00457266" w:rsidP="00457266">
            <w:pPr>
              <w:rPr>
                <w:lang w:val="ro-RO" w:eastAsia="ru-RU"/>
              </w:rPr>
            </w:pPr>
          </w:p>
          <w:p w14:paraId="3C9039BE"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valoarea de răscumpărare nu poate fi solicitată fără acordul prealabil al instituției;</w:t>
            </w:r>
          </w:p>
          <w:p w14:paraId="04041248" w14:textId="77777777" w:rsidR="00457266" w:rsidRPr="002C32BA" w:rsidRDefault="00457266" w:rsidP="00457266">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(j) societatea care furnizează asigurarea de viață intră sub incidența Directivei 2009/138/CE sau este supusă supravegherii efectuate de o autoritate competentă a unei țări terțe care aplică norme de supraveghere și reglementare cel puțin echivalente cu cele aplicate în Uniune.</w:t>
            </w:r>
          </w:p>
        </w:tc>
        <w:tc>
          <w:tcPr>
            <w:tcW w:w="1636" w:type="pct"/>
            <w:shd w:val="clear" w:color="auto" w:fill="auto"/>
          </w:tcPr>
          <w:p w14:paraId="612EB783" w14:textId="77777777"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b/>
                <w:bCs/>
                <w:color w:val="000000" w:themeColor="text1"/>
                <w:sz w:val="20"/>
                <w:szCs w:val="20"/>
                <w:lang w:val="ro-RO" w:eastAsia="ro-MD"/>
              </w:rPr>
              <w:lastRenderedPageBreak/>
              <w:t>51</w:t>
            </w:r>
            <w:r w:rsidRPr="00E8164A">
              <w:rPr>
                <w:rFonts w:ascii="Times New Roman" w:eastAsia="Times New Roman" w:hAnsi="Times New Roman" w:cs="Times New Roman"/>
                <w:b/>
                <w:bCs/>
                <w:color w:val="000000" w:themeColor="text1"/>
                <w:sz w:val="20"/>
                <w:szCs w:val="20"/>
                <w:vertAlign w:val="superscript"/>
                <w:lang w:val="ro-RO" w:eastAsia="ro-MD"/>
              </w:rPr>
              <w:t>1</w:t>
            </w:r>
            <w:r w:rsidRPr="00E8164A">
              <w:rPr>
                <w:rFonts w:ascii="Times New Roman" w:eastAsia="Times New Roman" w:hAnsi="Times New Roman" w:cs="Times New Roman"/>
                <w:b/>
                <w:bCs/>
                <w:color w:val="000000" w:themeColor="text1"/>
                <w:sz w:val="20"/>
                <w:szCs w:val="20"/>
                <w:lang w:val="ro-RO" w:eastAsia="ro-MD"/>
              </w:rPr>
              <w:t>.</w:t>
            </w:r>
            <w:r w:rsidRPr="00E8164A">
              <w:rPr>
                <w:rFonts w:ascii="Times New Roman" w:eastAsia="Times New Roman" w:hAnsi="Times New Roman" w:cs="Times New Roman"/>
                <w:color w:val="000000" w:themeColor="text1"/>
                <w:sz w:val="20"/>
                <w:szCs w:val="20"/>
                <w:lang w:val="ro-RO" w:eastAsia="ro-MD"/>
              </w:rPr>
              <w:t xml:space="preserve"> Polițele de asigurare de viață gajate în favoarea băncii creditoare se califică drept garanții reale eligibile, dacă sunt îndeplinite cumulativ următoarele condiții:</w:t>
            </w:r>
          </w:p>
          <w:p w14:paraId="58430783" w14:textId="21B99AEC"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1) polița de asigurare de viață este, în mod transparent, gajată în favoarea băncii creditoare sau cesionată acesteia;</w:t>
            </w:r>
          </w:p>
          <w:p w14:paraId="1E840E26" w14:textId="2D54B992"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lastRenderedPageBreak/>
              <w:t>2) societatea care furnizează asigurarea de viață este notificată în legătură cu gajul sau cesiunea și, în urma notificării, nu poate plăti sumele exigibile în baza contractului fără acordul prealabil al băncii creditoare;</w:t>
            </w:r>
          </w:p>
          <w:p w14:paraId="4B1F8E50" w14:textId="01A0D2FA"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3) banca creditoare are dreptul de a anula polița și de a primi valoarea de răscumpărare în cazul în care debitorul se află în stare de nerambursare;</w:t>
            </w:r>
          </w:p>
          <w:p w14:paraId="14A369FB" w14:textId="7C3BFE31"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4) banca creditoare este informată în legătură cu orice plăți neefectuate de deținătorul poliței și care sunt corespunzătoare acesteia;</w:t>
            </w:r>
          </w:p>
          <w:p w14:paraId="5C2590A2" w14:textId="170BBBBB"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5) protecția creditului este furnizată până la scadența creditului. Dacă acest lucru nu este posibil deoarece asigurarea încetează înainte de expirarea duratei creditului, banca se asigură că suma care decurge din contractul de asigurare îi servește drept garanție până la sfârșitul duratei contractului de credit;</w:t>
            </w:r>
          </w:p>
          <w:p w14:paraId="282A7783" w14:textId="366AABAB"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6) gajul sau cesiunea sunt valide din punct de vedere legal și au caracter executoriu din punct de vedere juridic în toate jurisdicțiile relevante la momentul încheierii contractului de credit;</w:t>
            </w:r>
          </w:p>
          <w:p w14:paraId="00379C35" w14:textId="622DB4A7"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7) valoarea de răscumpărare este declarată de societatea care furnizează asigurarea de viață și nu este reductibilă;</w:t>
            </w:r>
          </w:p>
          <w:p w14:paraId="707058E5" w14:textId="506C9A29"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8) valoarea de răscumpărare trebuie plătită în timp util, la cerere, de către societatea care furnizează asigurarea de viață;</w:t>
            </w:r>
          </w:p>
          <w:p w14:paraId="210F3983" w14:textId="17CBBE43" w:rsidR="00457266" w:rsidRPr="00E8164A" w:rsidRDefault="00457266" w:rsidP="00457266">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9) valoarea de răscumpărare nu poate fi solicitată fără acordul prealabil al băncii;</w:t>
            </w:r>
          </w:p>
          <w:p w14:paraId="05493E64" w14:textId="77777777" w:rsidR="00457266" w:rsidRDefault="00457266" w:rsidP="00457266">
            <w:pPr>
              <w:pStyle w:val="CM4"/>
              <w:tabs>
                <w:tab w:val="left" w:pos="150"/>
              </w:tabs>
              <w:ind w:left="-36"/>
              <w:rPr>
                <w:rFonts w:ascii="Times New Roman" w:hAnsi="Times New Roman"/>
                <w:color w:val="000000" w:themeColor="text1"/>
                <w:sz w:val="20"/>
                <w:szCs w:val="20"/>
                <w:lang w:val="ro-RO" w:eastAsia="ro-MD"/>
              </w:rPr>
            </w:pPr>
            <w:r w:rsidRPr="00E8164A">
              <w:rPr>
                <w:rFonts w:ascii="Times New Roman" w:hAnsi="Times New Roman"/>
                <w:color w:val="000000" w:themeColor="text1"/>
                <w:sz w:val="20"/>
                <w:szCs w:val="20"/>
                <w:lang w:val="ro-RO" w:eastAsia="ro-MD"/>
              </w:rPr>
              <w:t>10) societatea care furnizează asigurarea de viață intră sub incidența Legii nr.92/2022 privind activitatea de asigurare sau de reasigurare sau este supusă supravegherii efectuate de o autoritate competentă a unei țări terțe care aplică norme de supraveghere și reglementare cel puțin echivalente cu cele aplicate în Republica Moldova.</w:t>
            </w:r>
          </w:p>
          <w:p w14:paraId="2B3E08FB" w14:textId="7DFF7180" w:rsidR="00457266" w:rsidRPr="00457266" w:rsidRDefault="00457266" w:rsidP="00457266">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lastRenderedPageBreak/>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05EB6133" w14:textId="37BE35FB" w:rsidR="00457266" w:rsidRPr="002C32BA" w:rsidRDefault="00457266" w:rsidP="00457266">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356BDC87" w14:textId="77777777" w:rsidR="00457266" w:rsidRDefault="00457266" w:rsidP="00457266">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1FC971A" w14:textId="1729B0AF" w:rsidR="00457266" w:rsidRPr="002C32BA" w:rsidRDefault="00457266" w:rsidP="00457266">
            <w:pPr>
              <w:jc w:val="both"/>
              <w:rPr>
                <w:rFonts w:ascii="Times New Roman" w:hAnsi="Times New Roman" w:cs="Times New Roman"/>
                <w:sz w:val="20"/>
                <w:szCs w:val="20"/>
                <w:lang w:val="ro-RO"/>
              </w:rPr>
            </w:pPr>
          </w:p>
        </w:tc>
      </w:tr>
      <w:tr w:rsidR="00D62F3C" w:rsidRPr="002C32BA" w14:paraId="44DAB65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F99DC9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 xml:space="preserve">Subsecțiunea 2 </w:t>
            </w:r>
          </w:p>
          <w:p w14:paraId="5CB0B24C" w14:textId="77777777"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b/>
                <w:iCs/>
                <w:sz w:val="20"/>
                <w:szCs w:val="20"/>
                <w:lang w:val="ro-RO" w:eastAsia="ru-RU"/>
              </w:rPr>
              <w:t xml:space="preserve">Protecția nefinanțată a creditului și instrumentele de tip credit </w:t>
            </w:r>
            <w:proofErr w:type="spellStart"/>
            <w:r w:rsidRPr="002C32BA">
              <w:rPr>
                <w:rFonts w:ascii="Times New Roman" w:hAnsi="Times New Roman"/>
                <w:b/>
                <w:iCs/>
                <w:sz w:val="20"/>
                <w:szCs w:val="20"/>
                <w:lang w:val="ro-RO" w:eastAsia="ru-RU"/>
              </w:rPr>
              <w:t>linked</w:t>
            </w:r>
            <w:proofErr w:type="spellEnd"/>
            <w:r w:rsidRPr="002C32BA">
              <w:rPr>
                <w:rFonts w:ascii="Times New Roman" w:hAnsi="Times New Roman"/>
                <w:b/>
                <w:iCs/>
                <w:sz w:val="20"/>
                <w:szCs w:val="20"/>
                <w:lang w:val="ro-RO" w:eastAsia="ru-RU"/>
              </w:rPr>
              <w:t xml:space="preserve"> note</w:t>
            </w:r>
          </w:p>
        </w:tc>
        <w:tc>
          <w:tcPr>
            <w:tcW w:w="1636" w:type="pct"/>
            <w:shd w:val="clear" w:color="auto" w:fill="auto"/>
          </w:tcPr>
          <w:p w14:paraId="01B4E9DA"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147BF450" w14:textId="77777777" w:rsidR="00D62F3C" w:rsidRPr="002C32BA" w:rsidRDefault="00D62F3C" w:rsidP="00D62F3C">
            <w:pPr>
              <w:rPr>
                <w:rFonts w:ascii="Times New Roman" w:hAnsi="Times New Roman" w:cs="Times New Roman"/>
                <w:sz w:val="20"/>
                <w:szCs w:val="20"/>
                <w:lang w:val="ro-RO"/>
              </w:rPr>
            </w:pPr>
          </w:p>
        </w:tc>
        <w:tc>
          <w:tcPr>
            <w:tcW w:w="885" w:type="pct"/>
          </w:tcPr>
          <w:p w14:paraId="725869AB"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4B729DB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591ECC4" w14:textId="77777777" w:rsidR="00D62F3C"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Articolul 213</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comune pentru garanțiile personale și instrumentele financiare derivate de credit</w:t>
            </w:r>
          </w:p>
          <w:p w14:paraId="24415B03" w14:textId="77777777" w:rsidR="007B4D5E" w:rsidRDefault="007B4D5E" w:rsidP="007B4D5E">
            <w:pPr>
              <w:rPr>
                <w:lang w:val="ro-RO" w:eastAsia="ru-RU"/>
              </w:rPr>
            </w:pPr>
          </w:p>
          <w:p w14:paraId="00F2977F" w14:textId="77777777" w:rsidR="007B4D5E" w:rsidRDefault="007B4D5E" w:rsidP="007B4D5E">
            <w:pPr>
              <w:rPr>
                <w:lang w:val="ro-RO" w:eastAsia="ru-RU"/>
              </w:rPr>
            </w:pPr>
          </w:p>
          <w:p w14:paraId="2B6F6193" w14:textId="77777777" w:rsidR="007B4D5E" w:rsidRDefault="007B4D5E" w:rsidP="007B4D5E">
            <w:pPr>
              <w:rPr>
                <w:lang w:val="ro-RO" w:eastAsia="ru-RU"/>
              </w:rPr>
            </w:pPr>
          </w:p>
          <w:p w14:paraId="54442FB8" w14:textId="77777777" w:rsidR="007B4D5E" w:rsidRDefault="007B4D5E" w:rsidP="007B4D5E">
            <w:pPr>
              <w:rPr>
                <w:lang w:val="ro-RO" w:eastAsia="ru-RU"/>
              </w:rPr>
            </w:pPr>
          </w:p>
          <w:p w14:paraId="08FABB2F" w14:textId="77777777" w:rsidR="007B4D5E" w:rsidRPr="007B4D5E" w:rsidRDefault="007B4D5E" w:rsidP="007B4D5E">
            <w:pPr>
              <w:rPr>
                <w:lang w:val="ro-RO" w:eastAsia="ru-RU"/>
              </w:rPr>
            </w:pPr>
          </w:p>
          <w:p w14:paraId="1A34E7C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p>
          <w:p w14:paraId="64AE52AF"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▼M17</w:t>
            </w:r>
          </w:p>
          <w:p w14:paraId="36DE8B43" w14:textId="77777777" w:rsid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(1)   Sub rezerva articolului 214 alineatul (1), protecția creditului care decurge dintr-o garanție sau dintr-un instrument financiar derivat de credit se califică drept protecție nefinanțată a creditului eligibilă dacă sunt îndeplinite toate condițiile următoare:</w:t>
            </w:r>
          </w:p>
          <w:p w14:paraId="3D911D65" w14:textId="77777777" w:rsidR="007B4D5E" w:rsidRPr="007B4D5E" w:rsidRDefault="007B4D5E" w:rsidP="007B4D5E">
            <w:pPr>
              <w:rPr>
                <w:lang w:val="ro-RO" w:eastAsia="ru-RU"/>
              </w:rPr>
            </w:pPr>
          </w:p>
          <w:p w14:paraId="6BD94CF0" w14:textId="1A153964"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(a) protecția creditului este directă;</w:t>
            </w:r>
          </w:p>
          <w:p w14:paraId="0A6974AC"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p>
          <w:p w14:paraId="43636317" w14:textId="3269A615"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(b) nivelul de protecție a creditului este clar stabilit și incontestabil;</w:t>
            </w:r>
          </w:p>
          <w:p w14:paraId="56DD334F"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p>
          <w:p w14:paraId="2E288850" w14:textId="773E770A"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(c) contractul de protecție a creditului nu cuprinde nicio clauză a cărei îndeplinire se află în afara controlului direct al instituției creditoare și care:</w:t>
            </w:r>
          </w:p>
          <w:p w14:paraId="640230AA"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p>
          <w:p w14:paraId="1D1EE405" w14:textId="035F39F1"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lastRenderedPageBreak/>
              <w:t>(i) ar permite furnizorului de protecție să anuleze sau să modifice unilateral protecția creditului;</w:t>
            </w:r>
          </w:p>
          <w:p w14:paraId="451E6796"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p>
          <w:p w14:paraId="45BE2CA3" w14:textId="04DBE7FB"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(ii) ar crește costul efectiv al protecției creditului ca rezultat al deteriorării calității creditului expunerii protejate;</w:t>
            </w:r>
          </w:p>
          <w:p w14:paraId="2BC33F75"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p>
          <w:p w14:paraId="7AE3AE1C" w14:textId="1836AEC8"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(iii) ar putea exonera furnizorul de protecție de obligația de a plăti în timp util în cazul în care debitorul inițial nu efectuează o plată datorată sau în care contractul de leasing a expirat din punctul de vedere al recunoașterii valorii reziduale garantate în temeiul articolului 134 alineatul (7) și al articolului 166 alineatul (4);</w:t>
            </w:r>
          </w:p>
          <w:p w14:paraId="0B9B7138" w14:textId="77777777" w:rsidR="007B4D5E" w:rsidRDefault="007B4D5E" w:rsidP="007B4D5E">
            <w:pPr>
              <w:pStyle w:val="CM4"/>
              <w:tabs>
                <w:tab w:val="left" w:pos="150"/>
              </w:tabs>
              <w:ind w:left="-43"/>
              <w:jc w:val="both"/>
              <w:rPr>
                <w:rFonts w:ascii="Times New Roman" w:hAnsi="Times New Roman"/>
                <w:iCs/>
                <w:sz w:val="20"/>
                <w:szCs w:val="20"/>
                <w:lang w:val="ro-RO" w:eastAsia="ru-RU"/>
              </w:rPr>
            </w:pPr>
          </w:p>
          <w:p w14:paraId="38825EC7" w14:textId="77777777" w:rsidR="007B4D5E" w:rsidRPr="007B4D5E" w:rsidRDefault="007B4D5E" w:rsidP="007B4D5E">
            <w:pPr>
              <w:rPr>
                <w:lang w:val="ro-RO" w:eastAsia="ru-RU"/>
              </w:rPr>
            </w:pPr>
          </w:p>
          <w:p w14:paraId="43000F38" w14:textId="0C6EF842"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(iv) ar putea permite reducerea duratei protecției creditului de către furnizorul de protecție;</w:t>
            </w:r>
          </w:p>
          <w:p w14:paraId="7454A74A"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p>
          <w:p w14:paraId="73E5C45B" w14:textId="0CB4BACD"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(d) contractul de protecție a creditului este valid din punct de vedere legal și are caracter executoriu din punct de vedere juridic în toate jurisdicțiile relevante la momentul încheierii contractului de credit.</w:t>
            </w:r>
          </w:p>
          <w:p w14:paraId="50AACE92"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p>
          <w:p w14:paraId="43C38617"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În sensul literei (c) de la primul paragraf, o clauză a contractului de protecție a creditului, care prevede că o îndeplinire deficitară a obligației de diligență sau o fraudă comisă de instituția creditoare anulează sau diminuează nivelul protecției creditului oferite de garant, nu împiedică considerarea respectivei protecții a creditului ca fiind eligibilă.</w:t>
            </w:r>
          </w:p>
          <w:p w14:paraId="3EFBEC09" w14:textId="77777777" w:rsidR="007B4D5E" w:rsidRPr="007B4D5E" w:rsidRDefault="007B4D5E" w:rsidP="007B4D5E">
            <w:pPr>
              <w:pStyle w:val="CM4"/>
              <w:tabs>
                <w:tab w:val="left" w:pos="150"/>
              </w:tabs>
              <w:ind w:left="-43"/>
              <w:jc w:val="both"/>
              <w:rPr>
                <w:rFonts w:ascii="Times New Roman" w:hAnsi="Times New Roman"/>
                <w:iCs/>
                <w:sz w:val="20"/>
                <w:szCs w:val="20"/>
                <w:lang w:val="ro-RO" w:eastAsia="ru-RU"/>
              </w:rPr>
            </w:pPr>
          </w:p>
          <w:p w14:paraId="73C721D6" w14:textId="619ADA47" w:rsidR="00D62F3C" w:rsidRPr="002C32BA" w:rsidRDefault="007B4D5E" w:rsidP="007B4D5E">
            <w:pPr>
              <w:pStyle w:val="CM4"/>
              <w:tabs>
                <w:tab w:val="left" w:pos="150"/>
              </w:tabs>
              <w:ind w:left="-43"/>
              <w:jc w:val="both"/>
              <w:rPr>
                <w:rFonts w:ascii="Times New Roman" w:hAnsi="Times New Roman"/>
                <w:iCs/>
                <w:sz w:val="20"/>
                <w:szCs w:val="20"/>
                <w:lang w:val="ro-RO" w:eastAsia="ru-RU"/>
              </w:rPr>
            </w:pPr>
            <w:r w:rsidRPr="007B4D5E">
              <w:rPr>
                <w:rFonts w:ascii="Times New Roman" w:hAnsi="Times New Roman"/>
                <w:iCs/>
                <w:sz w:val="20"/>
                <w:szCs w:val="20"/>
                <w:lang w:val="ro-RO" w:eastAsia="ru-RU"/>
              </w:rPr>
              <w:t>În sensul literei (c) de la primul paragraf, furnizorul de protecție poate efectua o singură plată forfetară pentru toate sumele datorate în temeiul creanței sau își poate asuma viitoarele obligații de plată ale debitorului acoperite de contractul de protecție a creditului.</w:t>
            </w:r>
          </w:p>
        </w:tc>
        <w:tc>
          <w:tcPr>
            <w:tcW w:w="1636" w:type="pct"/>
            <w:shd w:val="clear" w:color="auto" w:fill="auto"/>
          </w:tcPr>
          <w:p w14:paraId="396A107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 xml:space="preserve">Capitolul VII. Cerințe pentru protecția nefinanțată a creditului și instrumentele de tip credit </w:t>
            </w:r>
            <w:proofErr w:type="spellStart"/>
            <w:r w:rsidRPr="002C32BA">
              <w:rPr>
                <w:rFonts w:ascii="Times New Roman" w:hAnsi="Times New Roman"/>
                <w:sz w:val="20"/>
                <w:szCs w:val="20"/>
                <w:lang w:val="ro-RO" w:eastAsia="ru-RU"/>
              </w:rPr>
              <w:t>linked</w:t>
            </w:r>
            <w:proofErr w:type="spellEnd"/>
            <w:r w:rsidRPr="002C32BA">
              <w:rPr>
                <w:rFonts w:ascii="Times New Roman" w:hAnsi="Times New Roman"/>
                <w:sz w:val="20"/>
                <w:szCs w:val="20"/>
                <w:lang w:val="ro-RO" w:eastAsia="ru-RU"/>
              </w:rPr>
              <w:t xml:space="preserve"> note</w:t>
            </w:r>
          </w:p>
          <w:p w14:paraId="3505A913" w14:textId="77777777" w:rsidR="00D62F3C"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1. Cerințe comune pentru garanțiile personale și instrumentele financiare derivate de credit</w:t>
            </w:r>
          </w:p>
          <w:p w14:paraId="3EE4A542" w14:textId="77777777" w:rsidR="007B4D5E" w:rsidRPr="007B4D5E" w:rsidRDefault="007B4D5E" w:rsidP="007B4D5E">
            <w:pPr>
              <w:rPr>
                <w:lang w:val="ro-RO" w:eastAsia="ru-RU"/>
              </w:rPr>
            </w:pPr>
          </w:p>
          <w:p w14:paraId="35341891" w14:textId="7DA715FE" w:rsidR="00D62F3C" w:rsidRDefault="007B4D5E" w:rsidP="00D62F3C">
            <w:pPr>
              <w:rPr>
                <w:rFonts w:ascii="Times New Roman" w:hAnsi="Times New Roman" w:cs="Times New Roman"/>
                <w:sz w:val="20"/>
                <w:szCs w:val="20"/>
                <w:lang w:val="ro-RO"/>
              </w:rPr>
            </w:pPr>
            <w:r w:rsidRPr="007B4D5E">
              <w:rPr>
                <w:rFonts w:ascii="Times New Roman" w:hAnsi="Times New Roman" w:cs="Times New Roman"/>
                <w:b/>
                <w:bCs/>
                <w:sz w:val="20"/>
                <w:szCs w:val="20"/>
                <w:lang w:val="ro-RO"/>
              </w:rPr>
              <w:t>52.</w:t>
            </w:r>
            <w:r w:rsidRPr="007B4D5E">
              <w:rPr>
                <w:rFonts w:ascii="Times New Roman" w:hAnsi="Times New Roman" w:cs="Times New Roman"/>
                <w:sz w:val="20"/>
                <w:szCs w:val="20"/>
                <w:lang w:val="ro-RO"/>
              </w:rPr>
              <w:t xml:space="preserve"> Prezenta secțiune stabilește cerințe care sunt comune pentru garanțiile personale și instrumentele financiare derivate de credit și care trebuie să fie îndeplinite concomitent cu cerințele specifice stabilite la secțiunea 3 din prezentul capitol pentru garanțiile personale și la secțiunea 4 din prezentul capitol pentru instrumentele financiare derivate de credit.</w:t>
            </w:r>
          </w:p>
          <w:p w14:paraId="2A9F4446" w14:textId="77777777" w:rsidR="00D62F3C" w:rsidRPr="002C32BA" w:rsidRDefault="00D62F3C" w:rsidP="00D62F3C">
            <w:pPr>
              <w:rPr>
                <w:rFonts w:ascii="Times New Roman" w:hAnsi="Times New Roman" w:cs="Times New Roman"/>
                <w:sz w:val="20"/>
                <w:szCs w:val="20"/>
                <w:lang w:val="ro-RO"/>
              </w:rPr>
            </w:pPr>
            <w:r w:rsidRPr="007B4D5E">
              <w:rPr>
                <w:rFonts w:ascii="Times New Roman" w:hAnsi="Times New Roman" w:cs="Times New Roman"/>
                <w:b/>
                <w:bCs/>
                <w:sz w:val="20"/>
                <w:szCs w:val="20"/>
                <w:lang w:val="ro-RO"/>
              </w:rPr>
              <w:t>53.</w:t>
            </w:r>
            <w:r w:rsidRPr="002C32BA">
              <w:rPr>
                <w:rFonts w:ascii="Times New Roman" w:hAnsi="Times New Roman" w:cs="Times New Roman"/>
                <w:sz w:val="20"/>
                <w:szCs w:val="20"/>
                <w:lang w:val="ro-RO"/>
              </w:rPr>
              <w:t xml:space="preserve"> Sub rezerva punctului 57, protecția creditului care rezultă dintr-o garanție personală sau dintr-un instrument financiar derivat de credit se califică drept protecție nefinanțată a creditului eligibilă, dacă sunt îndeplinite cumulativ următoarele condiții:</w:t>
            </w:r>
          </w:p>
          <w:p w14:paraId="3B0B03DA"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 xml:space="preserve">1) protecția creditului este directă; </w:t>
            </w:r>
          </w:p>
          <w:p w14:paraId="309F948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2) nivelul de protecție a creditului este clar definit și incontestabil;</w:t>
            </w:r>
          </w:p>
          <w:p w14:paraId="751263DF" w14:textId="4B55E560"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3) contractul de protecție a creditului nu cuprinde nicio clauză a cărei îndeplinire se află în afara controlului direct al băncii</w:t>
            </w:r>
            <w:r w:rsidR="007B4D5E" w:rsidRPr="00E8164A">
              <w:rPr>
                <w:rFonts w:ascii="Times New Roman" w:eastAsia="Times New Roman" w:hAnsi="Times New Roman" w:cs="Times New Roman"/>
                <w:color w:val="000000" w:themeColor="text1"/>
                <w:sz w:val="20"/>
                <w:szCs w:val="20"/>
                <w:lang w:val="ro-RO" w:eastAsia="ro-MD"/>
              </w:rPr>
              <w:t xml:space="preserve"> creditoare</w:t>
            </w:r>
            <w:r w:rsidRPr="002C32BA">
              <w:rPr>
                <w:rFonts w:ascii="Times New Roman" w:hAnsi="Times New Roman" w:cs="Times New Roman"/>
                <w:sz w:val="20"/>
                <w:szCs w:val="20"/>
                <w:lang w:val="ro-RO"/>
              </w:rPr>
              <w:t xml:space="preserve"> și care:</w:t>
            </w:r>
          </w:p>
          <w:p w14:paraId="72BE483B" w14:textId="77777777" w:rsidR="007B4D5E" w:rsidRPr="00E8164A" w:rsidRDefault="00D62F3C" w:rsidP="007B4D5E">
            <w:pPr>
              <w:spacing w:after="0" w:line="240" w:lineRule="auto"/>
              <w:jc w:val="both"/>
              <w:rPr>
                <w:rFonts w:ascii="Times New Roman" w:eastAsia="Times New Roman" w:hAnsi="Times New Roman" w:cs="Times New Roman"/>
                <w:color w:val="000000" w:themeColor="text1"/>
                <w:sz w:val="20"/>
                <w:szCs w:val="20"/>
                <w:lang w:val="ro-RO" w:eastAsia="ro-MD"/>
              </w:rPr>
            </w:pPr>
            <w:r w:rsidRPr="002C32BA">
              <w:rPr>
                <w:rFonts w:ascii="Times New Roman" w:hAnsi="Times New Roman" w:cs="Times New Roman"/>
                <w:sz w:val="20"/>
                <w:szCs w:val="20"/>
                <w:lang w:val="ro-RO"/>
              </w:rPr>
              <w:t>a</w:t>
            </w:r>
            <w:r w:rsidR="007B4D5E" w:rsidRPr="00E8164A">
              <w:rPr>
                <w:rFonts w:ascii="Times New Roman" w:eastAsia="Times New Roman" w:hAnsi="Times New Roman" w:cs="Times New Roman"/>
                <w:color w:val="000000" w:themeColor="text1"/>
                <w:sz w:val="20"/>
                <w:szCs w:val="20"/>
                <w:lang w:val="ro-RO" w:eastAsia="ro-MD"/>
              </w:rPr>
              <w:t>) ar permite furnizorului de protecție să denunțe sau să modifice unilateral protecția creditului;</w:t>
            </w:r>
          </w:p>
          <w:p w14:paraId="08E5F9CC" w14:textId="77777777" w:rsidR="007B4D5E" w:rsidRDefault="007B4D5E" w:rsidP="007B4D5E">
            <w:pPr>
              <w:spacing w:after="0" w:line="240" w:lineRule="auto"/>
              <w:jc w:val="both"/>
              <w:rPr>
                <w:rFonts w:ascii="Times New Roman" w:eastAsia="Times New Roman" w:hAnsi="Times New Roman" w:cs="Times New Roman"/>
                <w:color w:val="000000" w:themeColor="text1"/>
                <w:sz w:val="20"/>
                <w:szCs w:val="20"/>
                <w:lang w:val="ro-RO" w:eastAsia="ro-MD"/>
              </w:rPr>
            </w:pPr>
            <w:r w:rsidRPr="00E8164A">
              <w:rPr>
                <w:rFonts w:ascii="Times New Roman" w:eastAsia="Times New Roman" w:hAnsi="Times New Roman" w:cs="Times New Roman"/>
                <w:color w:val="000000" w:themeColor="text1"/>
                <w:sz w:val="20"/>
                <w:szCs w:val="20"/>
                <w:lang w:val="ro-RO" w:eastAsia="ro-MD"/>
              </w:rPr>
              <w:t>b) ar crește costul efectiv al protecției creditului ca rezultat al deteriorării calității creditului expunerii protejate;</w:t>
            </w:r>
          </w:p>
          <w:p w14:paraId="353EE898" w14:textId="77777777" w:rsidR="007B4D5E" w:rsidRPr="00E8164A" w:rsidRDefault="007B4D5E" w:rsidP="007B4D5E">
            <w:pPr>
              <w:spacing w:after="0" w:line="240" w:lineRule="auto"/>
              <w:jc w:val="both"/>
              <w:rPr>
                <w:rFonts w:ascii="Times New Roman" w:eastAsia="Times New Roman" w:hAnsi="Times New Roman" w:cs="Times New Roman"/>
                <w:color w:val="000000" w:themeColor="text1"/>
                <w:sz w:val="20"/>
                <w:szCs w:val="20"/>
                <w:lang w:val="ro-RO" w:eastAsia="ro-MD"/>
              </w:rPr>
            </w:pPr>
          </w:p>
          <w:p w14:paraId="51391004" w14:textId="79ACAC0C"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 xml:space="preserve">c) </w:t>
            </w:r>
            <w:r w:rsidR="007B4D5E" w:rsidRPr="007B4D5E">
              <w:rPr>
                <w:rFonts w:ascii="Times New Roman" w:hAnsi="Times New Roman" w:cs="Times New Roman"/>
                <w:sz w:val="20"/>
                <w:szCs w:val="20"/>
                <w:lang w:val="ro-RO"/>
              </w:rPr>
              <w:t>ar putea împiedica furnizorul de protecție de obligația de a plăti în timp util în cazul în care debitorul inițial nu efectuează plățile datorate sau în cazul în care contractul de leasing a expirat din punct de vedere a recunoașterii valorii reziduale garantate în temeiul Regulamentului nr.111/2018 și actului normativ al Băncii Naționale a Moldovei aferent tratamentului riscului de credit pentru bănci potrivit abordării bazate pe modele interne de rating;</w:t>
            </w:r>
          </w:p>
          <w:p w14:paraId="15284C96"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d) ar putea permite reducerea duratei protecției creditului de către furnizorul de protecție;</w:t>
            </w:r>
          </w:p>
          <w:p w14:paraId="460ED5E2"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4) contractul de protecție a creditului este valid din punct de vedere legal și poate fi pus în aplicare/executare în toate jurisdicțiile care sunt relevante la momentul încheierii contractului de credit.</w:t>
            </w:r>
          </w:p>
        </w:tc>
        <w:tc>
          <w:tcPr>
            <w:tcW w:w="562" w:type="pct"/>
          </w:tcPr>
          <w:p w14:paraId="4850FD35"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660EBDAF" w14:textId="3E221061"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5E8FBDD6"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E94914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7199A0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(2) O instituție trebuie să demonstreze autorităților competente că dispune de sisteme de administrare a eventualelor concentrări ale riscului generate de utilizarea garanțiilor personale și a instrumentelor </w:t>
            </w:r>
            <w:r w:rsidRPr="002C32BA">
              <w:rPr>
                <w:rFonts w:ascii="Times New Roman" w:hAnsi="Times New Roman"/>
                <w:iCs/>
                <w:sz w:val="20"/>
                <w:szCs w:val="20"/>
                <w:lang w:val="ro-RO" w:eastAsia="ru-RU"/>
              </w:rPr>
              <w:lastRenderedPageBreak/>
              <w:t>financiare derivate de credit. O instituție trebuie să poată demonstra autorităților competente, într-un mod pe care acestea îl consideră satisfăcător, interacțiunea dintre strategia sa privind utilizarea instrumentelor financiare derivate de credit și a garanțiilor personale și administrarea profilului său general de risc.</w:t>
            </w:r>
          </w:p>
        </w:tc>
        <w:tc>
          <w:tcPr>
            <w:tcW w:w="1636" w:type="pct"/>
            <w:shd w:val="clear" w:color="auto" w:fill="auto"/>
          </w:tcPr>
          <w:p w14:paraId="7C36AD8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 xml:space="preserve">54. Banca trebuie să dispună de sisteme de gestionare a eventualelor concentrări ale riscului generate de utilizarea garanțiilor personale și a instrumentelor financiare </w:t>
            </w:r>
            <w:r w:rsidRPr="002C32BA">
              <w:rPr>
                <w:rFonts w:ascii="Times New Roman" w:hAnsi="Times New Roman"/>
                <w:sz w:val="20"/>
                <w:szCs w:val="20"/>
                <w:lang w:val="ro-RO" w:eastAsia="ru-RU"/>
              </w:rPr>
              <w:lastRenderedPageBreak/>
              <w:t>derivate de credit. O bancă trebuie să poată demonstra Băncii Naționale a Moldovei, într-un mod pe care aceasta îl consideră satisfăcător, cum strategia sa privind utilizarea instrumentelor financiare derivate de credit și a garanțiilor personale interacționează cu gestionarea profilului său general de risc.</w:t>
            </w:r>
          </w:p>
        </w:tc>
        <w:tc>
          <w:tcPr>
            <w:tcW w:w="562" w:type="pct"/>
          </w:tcPr>
          <w:p w14:paraId="58ABC33F"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506E3282" w14:textId="620A0608"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75A872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496016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(3) O instituție trebuie să îndeplinească toate cerințele contractuale și legale privind caracterul executoriu al protecției nefinanțate a creditului în temeiul legii aplicabile dreptului său asupra protecției creditului și să ia toate măsurile necesare pentru a asigura acest caracter executoriu.</w:t>
            </w:r>
          </w:p>
          <w:p w14:paraId="59C161A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Instituțiile trebuie să efectueze o analiză juridică, considerată suficientă pentru a confirma caracterul executoriu al protecției nefinanțate a creditului în toate jurisdicțiile relevante. Această analiză trebuie </w:t>
            </w:r>
            <w:proofErr w:type="spellStart"/>
            <w:r w:rsidRPr="002C32BA">
              <w:rPr>
                <w:rFonts w:ascii="Times New Roman" w:hAnsi="Times New Roman"/>
                <w:iCs/>
                <w:sz w:val="20"/>
                <w:szCs w:val="20"/>
                <w:lang w:val="ro-RO" w:eastAsia="ru-RU"/>
              </w:rPr>
              <w:t>reefectuată</w:t>
            </w:r>
            <w:proofErr w:type="spellEnd"/>
            <w:r w:rsidRPr="002C32BA">
              <w:rPr>
                <w:rFonts w:ascii="Times New Roman" w:hAnsi="Times New Roman"/>
                <w:iCs/>
                <w:sz w:val="20"/>
                <w:szCs w:val="20"/>
                <w:lang w:val="ro-RO" w:eastAsia="ru-RU"/>
              </w:rPr>
              <w:t>, dacă este necesar, pentru a asigura caracterul executoriu permanent.</w:t>
            </w:r>
          </w:p>
        </w:tc>
        <w:tc>
          <w:tcPr>
            <w:tcW w:w="1636" w:type="pct"/>
            <w:shd w:val="clear" w:color="auto" w:fill="auto"/>
          </w:tcPr>
          <w:p w14:paraId="6ACC203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55. Banca trebuie să îndeplinească toate cerințele contractuale și legale privind punerea în aplicare/executare a protecției nefinanțate a creditului în temeiul legii aplicabile dreptului său asupra protecției creditului și să ia toate măsurile necesare pentru a asigura punerea în aplicare/executare.</w:t>
            </w:r>
          </w:p>
          <w:p w14:paraId="33FC513E"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71C5962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56. Banca trebuie să efectueze o analiză juridică, considerată suficientă pentru a confirma că protecția nefinanțată a creditului poate fi pusă în aplicare/executare în toate jurisdicțiile relevante. Banca trebuie să repete o astfel de analiză, dacă este necesar, pentru a asigura în permanență punerea în aplicare/executare a protecției nefinanțate a creditului.</w:t>
            </w:r>
          </w:p>
        </w:tc>
        <w:tc>
          <w:tcPr>
            <w:tcW w:w="562" w:type="pct"/>
          </w:tcPr>
          <w:p w14:paraId="441E662E"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D42D10B" w14:textId="635AB4E3"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0EE67DD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9"/>
        </w:trPr>
        <w:tc>
          <w:tcPr>
            <w:tcW w:w="1916" w:type="pct"/>
          </w:tcPr>
          <w:p w14:paraId="16FF120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214</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Contragaranții furnizate de stat și de alte entități din sectorul public</w:t>
            </w:r>
          </w:p>
          <w:p w14:paraId="52632E8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Instituțiile pot trata expunerile menționate la alineatul (2) ca fiind protejate de o garanție furnizată de entitățile menționate la același alineat, cu condiția ca toate cerințele următoare să fie satisfăcute:</w:t>
            </w:r>
          </w:p>
          <w:p w14:paraId="41FC82F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(a) </w:t>
            </w:r>
            <w:proofErr w:type="spellStart"/>
            <w:r w:rsidRPr="002C32BA">
              <w:rPr>
                <w:rFonts w:ascii="Times New Roman" w:hAnsi="Times New Roman"/>
                <w:iCs/>
                <w:sz w:val="20"/>
                <w:szCs w:val="20"/>
                <w:lang w:val="ro-RO" w:eastAsia="ru-RU"/>
              </w:rPr>
              <w:t>contragaranția</w:t>
            </w:r>
            <w:proofErr w:type="spellEnd"/>
            <w:r w:rsidRPr="002C32BA">
              <w:rPr>
                <w:rFonts w:ascii="Times New Roman" w:hAnsi="Times New Roman"/>
                <w:iCs/>
                <w:sz w:val="20"/>
                <w:szCs w:val="20"/>
                <w:lang w:val="ro-RO" w:eastAsia="ru-RU"/>
              </w:rPr>
              <w:t xml:space="preserve"> să acopere toate elementele de risc de credit ale creanței;</w:t>
            </w:r>
          </w:p>
          <w:p w14:paraId="0F388DE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(b) atât garanția personală inițială, cât și </w:t>
            </w:r>
            <w:proofErr w:type="spellStart"/>
            <w:r w:rsidRPr="002C32BA">
              <w:rPr>
                <w:rFonts w:ascii="Times New Roman" w:hAnsi="Times New Roman"/>
                <w:iCs/>
                <w:sz w:val="20"/>
                <w:szCs w:val="20"/>
                <w:lang w:val="ro-RO" w:eastAsia="ru-RU"/>
              </w:rPr>
              <w:t>contragaranția</w:t>
            </w:r>
            <w:proofErr w:type="spellEnd"/>
            <w:r w:rsidRPr="002C32BA">
              <w:rPr>
                <w:rFonts w:ascii="Times New Roman" w:hAnsi="Times New Roman"/>
                <w:iCs/>
                <w:sz w:val="20"/>
                <w:szCs w:val="20"/>
                <w:lang w:val="ro-RO" w:eastAsia="ru-RU"/>
              </w:rPr>
              <w:t xml:space="preserve"> să îndeplinească cerințele privind garanțiile personale prevăzute la articolul 213 și la articolul 215 alineatul (1), sub rezerva faptului că o </w:t>
            </w:r>
            <w:proofErr w:type="spellStart"/>
            <w:r w:rsidRPr="002C32BA">
              <w:rPr>
                <w:rFonts w:ascii="Times New Roman" w:hAnsi="Times New Roman"/>
                <w:iCs/>
                <w:sz w:val="20"/>
                <w:szCs w:val="20"/>
                <w:lang w:val="ro-RO" w:eastAsia="ru-RU"/>
              </w:rPr>
              <w:t>contragaranție</w:t>
            </w:r>
            <w:proofErr w:type="spellEnd"/>
            <w:r w:rsidRPr="002C32BA">
              <w:rPr>
                <w:rFonts w:ascii="Times New Roman" w:hAnsi="Times New Roman"/>
                <w:iCs/>
                <w:sz w:val="20"/>
                <w:szCs w:val="20"/>
                <w:lang w:val="ro-RO" w:eastAsia="ru-RU"/>
              </w:rPr>
              <w:t xml:space="preserve"> nu este necesar să fie directă;</w:t>
            </w:r>
          </w:p>
          <w:p w14:paraId="07A99B4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(c) acoperirea să fie solidă și să nu existe date istorice care să indice faptul că acoperirea aferentă </w:t>
            </w:r>
            <w:proofErr w:type="spellStart"/>
            <w:r w:rsidRPr="002C32BA">
              <w:rPr>
                <w:rFonts w:ascii="Times New Roman" w:hAnsi="Times New Roman"/>
                <w:iCs/>
                <w:sz w:val="20"/>
                <w:szCs w:val="20"/>
                <w:lang w:val="ro-RO" w:eastAsia="ru-RU"/>
              </w:rPr>
              <w:t>contragaranției</w:t>
            </w:r>
            <w:proofErr w:type="spellEnd"/>
            <w:r w:rsidRPr="002C32BA">
              <w:rPr>
                <w:rFonts w:ascii="Times New Roman" w:hAnsi="Times New Roman"/>
                <w:iCs/>
                <w:sz w:val="20"/>
                <w:szCs w:val="20"/>
                <w:lang w:val="ro-RO" w:eastAsia="ru-RU"/>
              </w:rPr>
              <w:t xml:space="preserve"> este, în mod efectiv, mai puțin decât echivalentă în raport cu cea a garanției personale directe furnizate de entitatea în cauză.</w:t>
            </w:r>
          </w:p>
        </w:tc>
        <w:tc>
          <w:tcPr>
            <w:tcW w:w="1636" w:type="pct"/>
            <w:shd w:val="clear" w:color="auto" w:fill="auto"/>
          </w:tcPr>
          <w:p w14:paraId="10B6FF5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Secțiunea a 2-a. Contragaranții furnizate de stat </w:t>
            </w:r>
          </w:p>
          <w:p w14:paraId="576F3CF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și de alte entități din sectorul public</w:t>
            </w:r>
          </w:p>
          <w:p w14:paraId="6182DA0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57. Băncile pot trata expunerile menționate la punctul 58 ca fiind acoperite de o garanție personală furnizată de entitățile indicate la același punct, cu condiția că sunt satisfăcute cumulativ următoarele cerințe: </w:t>
            </w:r>
          </w:p>
          <w:p w14:paraId="73F3E40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w:t>
            </w:r>
            <w:proofErr w:type="spellStart"/>
            <w:r w:rsidRPr="002C32BA">
              <w:rPr>
                <w:rFonts w:ascii="Times New Roman" w:hAnsi="Times New Roman"/>
                <w:sz w:val="20"/>
                <w:szCs w:val="20"/>
                <w:lang w:val="ro-RO" w:eastAsia="ru-RU"/>
              </w:rPr>
              <w:t>contragaranția</w:t>
            </w:r>
            <w:proofErr w:type="spellEnd"/>
            <w:r w:rsidRPr="002C32BA">
              <w:rPr>
                <w:rFonts w:ascii="Times New Roman" w:hAnsi="Times New Roman"/>
                <w:sz w:val="20"/>
                <w:szCs w:val="20"/>
                <w:lang w:val="ro-RO" w:eastAsia="ru-RU"/>
              </w:rPr>
              <w:t xml:space="preserve"> acoperă toate elementele de risc de credit ale creanței; </w:t>
            </w:r>
          </w:p>
          <w:p w14:paraId="6E8019C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atât garanția personală inițială, cât și </w:t>
            </w:r>
            <w:proofErr w:type="spellStart"/>
            <w:r w:rsidRPr="002C32BA">
              <w:rPr>
                <w:rFonts w:ascii="Times New Roman" w:hAnsi="Times New Roman"/>
                <w:sz w:val="20"/>
                <w:szCs w:val="20"/>
                <w:lang w:val="ro-RO" w:eastAsia="ru-RU"/>
              </w:rPr>
              <w:t>contragaranția</w:t>
            </w:r>
            <w:proofErr w:type="spellEnd"/>
            <w:r w:rsidRPr="002C32BA">
              <w:rPr>
                <w:rFonts w:ascii="Times New Roman" w:hAnsi="Times New Roman"/>
                <w:sz w:val="20"/>
                <w:szCs w:val="20"/>
                <w:lang w:val="ro-RO" w:eastAsia="ru-RU"/>
              </w:rPr>
              <w:t xml:space="preserve"> îndeplinesc cerințele pentru garanțiile personale prevăzute la secțiunea 1 din prezentul capitol și la punctul 60, cu excepția faptului că o </w:t>
            </w:r>
            <w:proofErr w:type="spellStart"/>
            <w:r w:rsidRPr="002C32BA">
              <w:rPr>
                <w:rFonts w:ascii="Times New Roman" w:hAnsi="Times New Roman"/>
                <w:sz w:val="20"/>
                <w:szCs w:val="20"/>
                <w:lang w:val="ro-RO" w:eastAsia="ru-RU"/>
              </w:rPr>
              <w:t>contragaranție</w:t>
            </w:r>
            <w:proofErr w:type="spellEnd"/>
            <w:r w:rsidRPr="002C32BA">
              <w:rPr>
                <w:rFonts w:ascii="Times New Roman" w:hAnsi="Times New Roman"/>
                <w:sz w:val="20"/>
                <w:szCs w:val="20"/>
                <w:lang w:val="ro-RO" w:eastAsia="ru-RU"/>
              </w:rPr>
              <w:t xml:space="preserve"> nu este necesar să fie directă;</w:t>
            </w:r>
          </w:p>
          <w:p w14:paraId="43694EA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3) acoperirea este solidă și să nu existe date istorice care să indice faptul că acoperirea aferentă </w:t>
            </w:r>
            <w:proofErr w:type="spellStart"/>
            <w:r w:rsidRPr="002C32BA">
              <w:rPr>
                <w:rFonts w:ascii="Times New Roman" w:hAnsi="Times New Roman"/>
                <w:sz w:val="20"/>
                <w:szCs w:val="20"/>
                <w:lang w:val="ro-RO" w:eastAsia="ru-RU"/>
              </w:rPr>
              <w:t>contragaranției</w:t>
            </w:r>
            <w:proofErr w:type="spellEnd"/>
            <w:r w:rsidRPr="002C32BA">
              <w:rPr>
                <w:rFonts w:ascii="Times New Roman" w:hAnsi="Times New Roman"/>
                <w:sz w:val="20"/>
                <w:szCs w:val="20"/>
                <w:lang w:val="ro-RO" w:eastAsia="ru-RU"/>
              </w:rPr>
              <w:t xml:space="preserve"> este </w:t>
            </w:r>
            <w:r w:rsidRPr="002C32BA">
              <w:rPr>
                <w:rFonts w:ascii="Times New Roman" w:hAnsi="Times New Roman"/>
                <w:sz w:val="20"/>
                <w:szCs w:val="20"/>
                <w:lang w:val="ro-RO" w:eastAsia="ru-RU"/>
              </w:rPr>
              <w:lastRenderedPageBreak/>
              <w:t>mai puțin eficientă comparativ cu cea a garanției personale directe care ar fi furnizată de entitatea în cauză.</w:t>
            </w:r>
          </w:p>
        </w:tc>
        <w:tc>
          <w:tcPr>
            <w:tcW w:w="562" w:type="pct"/>
          </w:tcPr>
          <w:p w14:paraId="39FACCB5"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658C2181" w14:textId="38DA71B8"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4BEE4554"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433C6F0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B7637C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(2) Tratamentul prevăzut la alineatul (1) se aplică expunerilor acoperite de o garanție personală care este </w:t>
            </w:r>
            <w:proofErr w:type="spellStart"/>
            <w:r w:rsidRPr="002C32BA">
              <w:rPr>
                <w:rFonts w:ascii="Times New Roman" w:hAnsi="Times New Roman"/>
                <w:iCs/>
                <w:sz w:val="20"/>
                <w:szCs w:val="20"/>
                <w:lang w:val="ro-RO" w:eastAsia="ru-RU"/>
              </w:rPr>
              <w:t>contragarantată</w:t>
            </w:r>
            <w:proofErr w:type="spellEnd"/>
            <w:r w:rsidRPr="002C32BA">
              <w:rPr>
                <w:rFonts w:ascii="Times New Roman" w:hAnsi="Times New Roman"/>
                <w:iCs/>
                <w:sz w:val="20"/>
                <w:szCs w:val="20"/>
                <w:lang w:val="ro-RO" w:eastAsia="ru-RU"/>
              </w:rPr>
              <w:t xml:space="preserve"> de oricare din următoarele entități:</w:t>
            </w:r>
          </w:p>
          <w:p w14:paraId="4147DB7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o administrație centrală sau o bancă centrală;</w:t>
            </w:r>
          </w:p>
          <w:p w14:paraId="7CBB20D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o administrație regională sau o autoritate locală;</w:t>
            </w:r>
          </w:p>
          <w:p w14:paraId="31E7FCA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(c) o entitate din sectorul public, în cazul în care creanțele față de aceasta sunt tratate precum creanțele față de administrația centrală în conformitate cu articolul 116 alineatul (4); </w:t>
            </w:r>
          </w:p>
          <w:p w14:paraId="2BD441A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o bancă de dezvoltare multilaterală sau o organizație internațională, cărora li se atribuie o pondere de risc de 0 % în temeiul articolului 117 alineatul (2) și, respectiv, al articolului 118;</w:t>
            </w:r>
          </w:p>
          <w:p w14:paraId="08E752E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(e) o entitate din sectorul public, în cazul în care creanțele față de aceasta sunt tratate în conformitate cu articolul 116 alineatele (1) și (2).</w:t>
            </w:r>
          </w:p>
        </w:tc>
        <w:tc>
          <w:tcPr>
            <w:tcW w:w="1636" w:type="pct"/>
            <w:shd w:val="clear" w:color="auto" w:fill="auto"/>
          </w:tcPr>
          <w:p w14:paraId="2D631F7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58. Tratamentul prevăzut la punctul 57 se aplică expunerilor acoperite de o garanție personală care, la rândul său, este </w:t>
            </w:r>
            <w:proofErr w:type="spellStart"/>
            <w:r w:rsidRPr="002C32BA">
              <w:rPr>
                <w:rFonts w:ascii="Times New Roman" w:hAnsi="Times New Roman"/>
                <w:sz w:val="20"/>
                <w:szCs w:val="20"/>
                <w:lang w:val="ro-RO" w:eastAsia="ru-RU"/>
              </w:rPr>
              <w:t>contragarantată</w:t>
            </w:r>
            <w:proofErr w:type="spellEnd"/>
            <w:r w:rsidRPr="002C32BA">
              <w:rPr>
                <w:rFonts w:ascii="Times New Roman" w:hAnsi="Times New Roman"/>
                <w:sz w:val="20"/>
                <w:szCs w:val="20"/>
                <w:lang w:val="ro-RO" w:eastAsia="ru-RU"/>
              </w:rPr>
              <w:t xml:space="preserve"> de oricare din următoarele entități: </w:t>
            </w:r>
          </w:p>
          <w:p w14:paraId="4EBBB62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o administrație centrală sau o bancă centrală; </w:t>
            </w:r>
          </w:p>
          <w:p w14:paraId="1247FBC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o administrație regională sau o autoritate locală; </w:t>
            </w:r>
          </w:p>
          <w:p w14:paraId="6E9262D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3) o entitate din sectorul public, în cazul în care creanțele față de aceasta sunt tratate ca creanțele față de administrația centrală în conformitate cu actul normativ al Băncii Naționale a Moldovei aferent tratamentului riscului de credit pentru bănci potrivit abordării standardizate;</w:t>
            </w:r>
          </w:p>
          <w:p w14:paraId="00E7E89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4) o bancă multilaterală de dezvoltare sau o organizație internațională, cărora li se atribuie o pondere de risc de 0 % în conformitate cu actul normativ al Băncii Naționale a Moldovei aferent tratamentului riscului de credit pentru bănci potrivit abordării standardizate; </w:t>
            </w:r>
          </w:p>
          <w:p w14:paraId="5BD2D22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5) o entitate din sectorul public, în cazul în care creanțele față de aceasta sunt tratate în conformitate cu actul normativ al Băncii Naționale a Moldovei aferent tratamentului riscului de credit pentru bănci potrivit abordării standardizate.</w:t>
            </w:r>
          </w:p>
        </w:tc>
        <w:tc>
          <w:tcPr>
            <w:tcW w:w="562" w:type="pct"/>
          </w:tcPr>
          <w:p w14:paraId="41D41DB2"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01841594" w14:textId="3001E96E"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43AE39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07D774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(3) Instituțiile trebuie să aplice tratamentul prevăzut la alineatul (1) și în cazul unei expuneri care nu este </w:t>
            </w:r>
            <w:proofErr w:type="spellStart"/>
            <w:r w:rsidRPr="002C32BA">
              <w:rPr>
                <w:rFonts w:ascii="Times New Roman" w:hAnsi="Times New Roman"/>
                <w:iCs/>
                <w:sz w:val="20"/>
                <w:szCs w:val="20"/>
                <w:lang w:val="ro-RO" w:eastAsia="ru-RU"/>
              </w:rPr>
              <w:t>contragarantată</w:t>
            </w:r>
            <w:proofErr w:type="spellEnd"/>
            <w:r w:rsidRPr="002C32BA">
              <w:rPr>
                <w:rFonts w:ascii="Times New Roman" w:hAnsi="Times New Roman"/>
                <w:iCs/>
                <w:sz w:val="20"/>
                <w:szCs w:val="20"/>
                <w:lang w:val="ro-RO" w:eastAsia="ru-RU"/>
              </w:rPr>
              <w:t xml:space="preserve"> de oricare din entitățile menționate la alineatul (2), atunci când </w:t>
            </w:r>
            <w:proofErr w:type="spellStart"/>
            <w:r w:rsidRPr="002C32BA">
              <w:rPr>
                <w:rFonts w:ascii="Times New Roman" w:hAnsi="Times New Roman"/>
                <w:iCs/>
                <w:sz w:val="20"/>
                <w:szCs w:val="20"/>
                <w:lang w:val="ro-RO" w:eastAsia="ru-RU"/>
              </w:rPr>
              <w:t>contragaranția</w:t>
            </w:r>
            <w:proofErr w:type="spellEnd"/>
            <w:r w:rsidRPr="002C32BA">
              <w:rPr>
                <w:rFonts w:ascii="Times New Roman" w:hAnsi="Times New Roman"/>
                <w:iCs/>
                <w:sz w:val="20"/>
                <w:szCs w:val="20"/>
                <w:lang w:val="ro-RO" w:eastAsia="ru-RU"/>
              </w:rPr>
              <w:t xml:space="preserve"> acestei expuneri este la rândul său direct garantată de una din entitățile respective, iar condițiile menționate la alineatul (1) sunt îndeplinite.</w:t>
            </w:r>
          </w:p>
        </w:tc>
        <w:tc>
          <w:tcPr>
            <w:tcW w:w="1636" w:type="pct"/>
            <w:shd w:val="clear" w:color="auto" w:fill="auto"/>
          </w:tcPr>
          <w:p w14:paraId="6856BD0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59. Băncile aplică tratamentul prevăzut la punctul 57 și în cazul unei expuneri care nu este </w:t>
            </w:r>
            <w:proofErr w:type="spellStart"/>
            <w:r w:rsidRPr="002C32BA">
              <w:rPr>
                <w:rFonts w:ascii="Times New Roman" w:hAnsi="Times New Roman"/>
                <w:sz w:val="20"/>
                <w:szCs w:val="20"/>
                <w:lang w:val="ro-RO" w:eastAsia="ru-RU"/>
              </w:rPr>
              <w:t>contragarantată</w:t>
            </w:r>
            <w:proofErr w:type="spellEnd"/>
            <w:r w:rsidRPr="002C32BA">
              <w:rPr>
                <w:rFonts w:ascii="Times New Roman" w:hAnsi="Times New Roman"/>
                <w:sz w:val="20"/>
                <w:szCs w:val="20"/>
                <w:lang w:val="ro-RO" w:eastAsia="ru-RU"/>
              </w:rPr>
              <w:t xml:space="preserve"> de oricare din entitățile indicate la punctul 58, atunci când </w:t>
            </w:r>
            <w:proofErr w:type="spellStart"/>
            <w:r w:rsidRPr="002C32BA">
              <w:rPr>
                <w:rFonts w:ascii="Times New Roman" w:hAnsi="Times New Roman"/>
                <w:sz w:val="20"/>
                <w:szCs w:val="20"/>
                <w:lang w:val="ro-RO" w:eastAsia="ru-RU"/>
              </w:rPr>
              <w:t>contragaranția</w:t>
            </w:r>
            <w:proofErr w:type="spellEnd"/>
            <w:r w:rsidRPr="002C32BA">
              <w:rPr>
                <w:rFonts w:ascii="Times New Roman" w:hAnsi="Times New Roman"/>
                <w:sz w:val="20"/>
                <w:szCs w:val="20"/>
                <w:lang w:val="ro-RO" w:eastAsia="ru-RU"/>
              </w:rPr>
              <w:t xml:space="preserve"> acestei expuneri este la rândul său direct garantată de una din entitățile respective și condițiile enumerate la punctul 57 sunt îndeplinite.</w:t>
            </w:r>
          </w:p>
        </w:tc>
        <w:tc>
          <w:tcPr>
            <w:tcW w:w="562" w:type="pct"/>
          </w:tcPr>
          <w:p w14:paraId="629DCF1E"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B1F8B96" w14:textId="3EC0159F"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4F52D6B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239F97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215</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suplimentare privind garanțiile personale</w:t>
            </w:r>
          </w:p>
          <w:p w14:paraId="4524FDE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Garanțiile personale se califică drept protecție nefinanțată a creditului eligibilă, dacă toate condițiile prevăzute la articolul 213 și toate condițiile următoare sunt îndeplinite:</w:t>
            </w:r>
          </w:p>
          <w:p w14:paraId="372CC04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(a) în caz de neîndeplinire culpabilă a obligațiilor contractuale și/sau de neplată la scadență de către </w:t>
            </w:r>
            <w:proofErr w:type="spellStart"/>
            <w:r w:rsidRPr="002C32BA">
              <w:rPr>
                <w:rFonts w:ascii="Times New Roman" w:hAnsi="Times New Roman"/>
                <w:iCs/>
                <w:sz w:val="20"/>
                <w:szCs w:val="20"/>
                <w:lang w:val="ro-RO" w:eastAsia="ru-RU"/>
              </w:rPr>
              <w:t>contraparte</w:t>
            </w:r>
            <w:proofErr w:type="spellEnd"/>
            <w:r w:rsidRPr="002C32BA">
              <w:rPr>
                <w:rFonts w:ascii="Times New Roman" w:hAnsi="Times New Roman"/>
                <w:iCs/>
                <w:sz w:val="20"/>
                <w:szCs w:val="20"/>
                <w:lang w:val="ro-RO" w:eastAsia="ru-RU"/>
              </w:rPr>
              <w:t xml:space="preserve">, instituția creditoare are </w:t>
            </w:r>
            <w:r w:rsidRPr="002C32BA">
              <w:rPr>
                <w:rFonts w:ascii="Times New Roman" w:hAnsi="Times New Roman"/>
                <w:iCs/>
                <w:sz w:val="20"/>
                <w:szCs w:val="20"/>
                <w:lang w:val="ro-RO" w:eastAsia="ru-RU"/>
              </w:rPr>
              <w:lastRenderedPageBreak/>
              <w:t>dreptul de a se îndrepta, în timp util, împotriva garantului pentru orice sume datorate în temeiul creanței pentru care este furnizată protecția, iar efectuarea plății de către garant nu este condiționată de obligația instituției creditoare de a se îndrepta în prealabil împotriva debitorului.</w:t>
            </w:r>
          </w:p>
          <w:p w14:paraId="4AD8992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În cazul protecției nefinanțate a creditului care acoperă credite ipotecare locative, cerințele prevăzute la articolul 213 alineatul (1) litera (c) punctul (iii) și la primul paragraf de la prezenta literă trebuie îndeplinite într-un termen de 24 de luni;</w:t>
            </w:r>
          </w:p>
          <w:p w14:paraId="7278BD6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garanția personală este o obligație formalizată explicit, asumată de garant;</w:t>
            </w:r>
          </w:p>
          <w:p w14:paraId="1D069D1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una din următoarele condiții este îndeplinită:</w:t>
            </w:r>
          </w:p>
          <w:p w14:paraId="21C452D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garanția personală acoperă toate tipurile de plăți estimate a fi efectuate de debitor în temeiul creanței;</w:t>
            </w:r>
          </w:p>
          <w:p w14:paraId="03AAEEC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dacă anumite tipuri de plăți sunt excluse de la acoperirea furnizată de garanție, instituția creditoare a ajustat valoarea garanției pentru a reflecta acoperirea limitată.</w:t>
            </w:r>
          </w:p>
        </w:tc>
        <w:tc>
          <w:tcPr>
            <w:tcW w:w="1636" w:type="pct"/>
            <w:shd w:val="clear" w:color="auto" w:fill="auto"/>
          </w:tcPr>
          <w:p w14:paraId="4F96242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Secțiunea a 3-a. Cerințe suplimentare pentru garanțiile personale</w:t>
            </w:r>
          </w:p>
          <w:p w14:paraId="4DF4BA70"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40A13A3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60. Garanțiile personale se califică drept protecție nefinanțată a creditului eligibilă, dacă sunt îndeplinite </w:t>
            </w:r>
            <w:r w:rsidRPr="002C32BA">
              <w:rPr>
                <w:rFonts w:ascii="Times New Roman" w:hAnsi="Times New Roman"/>
                <w:sz w:val="20"/>
                <w:szCs w:val="20"/>
                <w:lang w:val="ro-RO" w:eastAsia="ru-RU"/>
              </w:rPr>
              <w:lastRenderedPageBreak/>
              <w:t xml:space="preserve">cumulativ toate condițiile prevăzute la secțiunea 1 din prezentul capitol și toate următoarele condiții: </w:t>
            </w:r>
          </w:p>
          <w:p w14:paraId="044366E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în caz de intrare în stare de nerambursare sau în caz de neplată de către </w:t>
            </w:r>
            <w:proofErr w:type="spellStart"/>
            <w:r w:rsidRPr="002C32BA">
              <w:rPr>
                <w:rFonts w:ascii="Times New Roman" w:hAnsi="Times New Roman"/>
                <w:sz w:val="20"/>
                <w:szCs w:val="20"/>
                <w:lang w:val="ro-RO" w:eastAsia="ru-RU"/>
              </w:rPr>
              <w:t>contraparte</w:t>
            </w:r>
            <w:proofErr w:type="spellEnd"/>
            <w:r w:rsidRPr="002C32BA">
              <w:rPr>
                <w:rFonts w:ascii="Times New Roman" w:hAnsi="Times New Roman"/>
                <w:sz w:val="20"/>
                <w:szCs w:val="20"/>
                <w:lang w:val="ro-RO" w:eastAsia="ru-RU"/>
              </w:rPr>
              <w:t xml:space="preserve">, banca creditoare are dreptul să urmărească, în timp util, garantul pentru orice sume datorate în temeiul creanței pentru care este furnizată protecția, și efectuarea plății de către garant nu este condiționată de obligația băncii creditoare de a urmări în prealabil debitorul. În cazul protecției nefinanțate a creditului care acoperă credite ipotecare locative, cerințele prevăzute la punctul 53 subpunctul 3) </w:t>
            </w:r>
            <w:proofErr w:type="spellStart"/>
            <w:r w:rsidRPr="002C32BA">
              <w:rPr>
                <w:rFonts w:ascii="Times New Roman" w:hAnsi="Times New Roman"/>
                <w:sz w:val="20"/>
                <w:szCs w:val="20"/>
                <w:lang w:val="ro-RO" w:eastAsia="ru-RU"/>
              </w:rPr>
              <w:t>lit.c</w:t>
            </w:r>
            <w:proofErr w:type="spellEnd"/>
            <w:r w:rsidRPr="002C32BA">
              <w:rPr>
                <w:rFonts w:ascii="Times New Roman" w:hAnsi="Times New Roman"/>
                <w:sz w:val="20"/>
                <w:szCs w:val="20"/>
                <w:lang w:val="ro-RO" w:eastAsia="ru-RU"/>
              </w:rPr>
              <w:t xml:space="preserve">) și la prima propoziție din prezentul subpunct trebuie îndeplinite numai într-un termen de 24 de luni; </w:t>
            </w:r>
          </w:p>
          <w:p w14:paraId="28CEE59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garanția personală este o obligație documentată explicit, asumată de garant; </w:t>
            </w:r>
          </w:p>
          <w:p w14:paraId="244989A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3) una din următoarele condiții este îndeplinită: </w:t>
            </w:r>
          </w:p>
          <w:p w14:paraId="343271F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a) garanția personală acoperă toate tipurile de plăți așteptate a fi efectuate de debitor în temeiul creanței; </w:t>
            </w:r>
          </w:p>
          <w:p w14:paraId="0E4A96E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b) dacă anumite tipuri de plată sunt excluse de la acoperirea furnizată de garanție personală, banca creditoare a ajustat valoarea garanției pentru a reflecta acoperirea limitată.</w:t>
            </w:r>
          </w:p>
        </w:tc>
        <w:tc>
          <w:tcPr>
            <w:tcW w:w="562" w:type="pct"/>
          </w:tcPr>
          <w:p w14:paraId="5E8AE52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11867BA4" w14:textId="295391A9"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F41EDF6"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4573E5BB"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80467D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(2) În cazul garanțiilor personale furnizate în cadrul schemelor de garantare reciprocă sau al celor furnizate sau </w:t>
            </w:r>
            <w:proofErr w:type="spellStart"/>
            <w:r w:rsidRPr="002C32BA">
              <w:rPr>
                <w:rFonts w:ascii="Times New Roman" w:hAnsi="Times New Roman"/>
                <w:iCs/>
                <w:sz w:val="20"/>
                <w:szCs w:val="20"/>
                <w:lang w:val="ro-RO" w:eastAsia="ru-RU"/>
              </w:rPr>
              <w:t>contragarantate</w:t>
            </w:r>
            <w:proofErr w:type="spellEnd"/>
            <w:r w:rsidRPr="002C32BA">
              <w:rPr>
                <w:rFonts w:ascii="Times New Roman" w:hAnsi="Times New Roman"/>
                <w:iCs/>
                <w:sz w:val="20"/>
                <w:szCs w:val="20"/>
                <w:lang w:val="ro-RO" w:eastAsia="ru-RU"/>
              </w:rPr>
              <w:t xml:space="preserve"> de către entitățile enumerate la articolul 214 alineatul (2), cerințele prevăzute la alineatul (1) litera (a) de la prezentul articol se consideră satisfăcute, dacă una din condițiile următoare este îndeplinită:</w:t>
            </w:r>
          </w:p>
          <w:p w14:paraId="1C0FE3B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(a) instituția creditoare are dreptul de a obține în timp util din partea garantului o plată provizorie care îndeplinește cumulativ condițiile următoare: </w:t>
            </w:r>
          </w:p>
          <w:p w14:paraId="289FCA0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reprezintă o estimare riguroasă a cuantumului pierderii pe care ar putea să o sufere instituția creditoare, incluzând pierderile rezultate din neplata dobânzii și a altor tipuri de plăți pe care debitorul are obligația să le efectueze;</w:t>
            </w:r>
          </w:p>
          <w:p w14:paraId="15176E7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este proporțională cu acoperirea furnizată de garanția personală;</w:t>
            </w:r>
          </w:p>
          <w:p w14:paraId="3EF60DA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(b) instituția creditoare poate demonstra autorităților competente, într-un mod pe care acestea îl consideră satisfăcător, că efectele garanției personale care acoperă, de asemenea, pierderile rezultate din neplata dobânzii și a altor tipuri de plăți pe care debitorul are obligația să le efectueze, justifică acest tratament.</w:t>
            </w:r>
          </w:p>
        </w:tc>
        <w:tc>
          <w:tcPr>
            <w:tcW w:w="1636" w:type="pct"/>
            <w:shd w:val="clear" w:color="auto" w:fill="auto"/>
          </w:tcPr>
          <w:p w14:paraId="007740A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 xml:space="preserve">61. În cazul garanțiilor personale furnizate în cadrul schemelor de garantare reciprocă sau al celor furnizate sau </w:t>
            </w:r>
            <w:proofErr w:type="spellStart"/>
            <w:r w:rsidRPr="002C32BA">
              <w:rPr>
                <w:rFonts w:ascii="Times New Roman" w:hAnsi="Times New Roman"/>
                <w:sz w:val="20"/>
                <w:szCs w:val="20"/>
                <w:lang w:val="ro-RO" w:eastAsia="ru-RU"/>
              </w:rPr>
              <w:t>contragarantate</w:t>
            </w:r>
            <w:proofErr w:type="spellEnd"/>
            <w:r w:rsidRPr="002C32BA">
              <w:rPr>
                <w:rFonts w:ascii="Times New Roman" w:hAnsi="Times New Roman"/>
                <w:sz w:val="20"/>
                <w:szCs w:val="20"/>
                <w:lang w:val="ro-RO" w:eastAsia="ru-RU"/>
              </w:rPr>
              <w:t xml:space="preserve"> de către entitățile enumerate la punctul 58, cerințele prevăzute la punctul 60 subpunctul 1) se consideră satisfăcute, dacă una din următoarele condiții este îndeplinită: </w:t>
            </w:r>
          </w:p>
          <w:p w14:paraId="79F8E15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1) banca creditoare are dreptul de a obține în timp util din partea garantului o plată provizorie care îndeplinește cumulativ următoarele condiții:</w:t>
            </w:r>
          </w:p>
          <w:p w14:paraId="5BEAE00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a) plata provizorie reprezintă o estimare riguroasă a valorii pierderii pe care ar putea să o suporte banca creditoare, incluzând pierderile rezultate din neplata </w:t>
            </w:r>
            <w:r w:rsidRPr="002C32BA">
              <w:rPr>
                <w:rFonts w:ascii="Times New Roman" w:hAnsi="Times New Roman"/>
                <w:sz w:val="20"/>
                <w:szCs w:val="20"/>
                <w:lang w:val="ro-RO" w:eastAsia="ru-RU"/>
              </w:rPr>
              <w:lastRenderedPageBreak/>
              <w:t xml:space="preserve">dobânzii și a altor tipuri de plată pe care debitorul are obligația să le efectueze; </w:t>
            </w:r>
          </w:p>
          <w:p w14:paraId="5CA0CB0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b) plata provizorie este proporțională cu acoperirea furnizată de garanția personală; </w:t>
            </w:r>
          </w:p>
          <w:p w14:paraId="1F9A842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2) banca creditoare demonstrează Băncii Naționale a Moldovei că efectele garanției personale, justifică aplicarea care trebuie să acopere, de asemenea, pierderile rezultate din neplata dobânzii și a altor tipuri de plăți pe care debitorul are obligația să le efectueze, unui astfel de tratament.</w:t>
            </w:r>
          </w:p>
        </w:tc>
        <w:tc>
          <w:tcPr>
            <w:tcW w:w="562" w:type="pct"/>
          </w:tcPr>
          <w:p w14:paraId="05CC51C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0A6A7DC4" w14:textId="74AB3438"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2677157"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1E328D5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1916" w:type="pct"/>
          </w:tcPr>
          <w:p w14:paraId="0A41099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216</w:t>
            </w:r>
            <w:r w:rsidRPr="002C32BA">
              <w:rPr>
                <w:rFonts w:ascii="Times New Roman" w:hAnsi="Times New Roman"/>
                <w:b/>
                <w:iCs/>
                <w:sz w:val="20"/>
                <w:szCs w:val="20"/>
                <w:lang w:val="ro-RO" w:eastAsia="ru-RU"/>
              </w:rPr>
              <w:t xml:space="preserve"> Cerințe suplimentare privind instrumentele financiare derivate de credit</w:t>
            </w:r>
          </w:p>
          <w:p w14:paraId="7C195A0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Instrumentele financiare derivate de credit se califică drept protecție nefinanțată a creditului eligibilă, dacă toate condițiile prevăzute la articolul 213 și toate condițiile următoare sunt îndeplinite:</w:t>
            </w:r>
          </w:p>
          <w:p w14:paraId="739F30D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evenimentele de credit specificate în contractul aferent instrumentului financiar derivat de credit includ:</w:t>
            </w:r>
          </w:p>
          <w:p w14:paraId="3D212C1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neplata sumelor datorate conform condițiilor, în vigoare la momentul neplății, aferente obligației-suport, cu o perioadă de grație egală cu perioada de grație a obligației-suport, sau mai scurtă decât aceasta;</w:t>
            </w:r>
          </w:p>
          <w:p w14:paraId="3CA4C6D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falimentul, insolvența sau incapacitatea debitorului de a-și plăti datoriile, sau imposibilitatea ori recunoașterea în scris a incapacității de a-și plăti în general datoriile pe măsură ce acestea devin scadente, precum și evenimente similare;</w:t>
            </w:r>
          </w:p>
          <w:p w14:paraId="186E170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(iii) restructurarea obligației-suport, care implică iertarea de datorie sau amânarea plății principalului, a dobânzii sau a comisioanelor și are ca rezultat un eveniment de pierdere din credit;</w:t>
            </w:r>
          </w:p>
          <w:p w14:paraId="527736D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în cazul în care instrumentele financiare derivate de credit permit decontarea în numerar:</w:t>
            </w:r>
          </w:p>
          <w:p w14:paraId="427FF69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instituțiile aplică un proces riguros de evaluare în vederea estimării corecte a pierderii;</w:t>
            </w:r>
          </w:p>
          <w:p w14:paraId="42244EA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se specifică în mod clar perioada în care trebuie obținute evaluările ulterioare evenimentului de credit ale obligației- suport;</w:t>
            </w:r>
          </w:p>
          <w:p w14:paraId="05E96AC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lastRenderedPageBreak/>
              <w:t>(c) dacă efectuarea decontării implică dreptul și capacitatea cumpărătorului de protecție de a transfera obligația-suport furnizorului de protecție, condițiile aferente obligației-suport trebuie să prevadă faptul că orice consimțământ necesar pentru un astfel de transfer nu poate fi refuzat în mod nejustificat;</w:t>
            </w:r>
          </w:p>
          <w:p w14:paraId="66B22A8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identitatea părților care au responsabilitatea de a stabili dacă a avut loc un eveniment de credit este precizată în mod clar;</w:t>
            </w:r>
          </w:p>
          <w:p w14:paraId="5C16A63B"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hAnsi="Times New Roman"/>
                <w:iCs/>
                <w:sz w:val="20"/>
                <w:szCs w:val="20"/>
                <w:lang w:val="ro-RO" w:eastAsia="ru-RU"/>
              </w:rPr>
              <w:t>(e) identificarea apariției unui eveniment de credit nu este responsabilitatea exclusivă a furnizorului de protecție;</w:t>
            </w:r>
            <w:r w:rsidRPr="002C32BA">
              <w:rPr>
                <w:rFonts w:ascii="Times New Roman" w:hAnsi="Times New Roman"/>
                <w:sz w:val="20"/>
                <w:szCs w:val="20"/>
                <w:lang w:val="ro-RO"/>
              </w:rPr>
              <w:t xml:space="preserve"> </w:t>
            </w:r>
          </w:p>
          <w:p w14:paraId="6BF404D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(f) cumpărătorul de protecție are dreptul sau capacitatea de a informa furnizorul de protecție în legătură cu producerea unui eveniment de credit.</w:t>
            </w:r>
          </w:p>
          <w:p w14:paraId="0B69A88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Dacă evenimentele de credit nu includ restructurarea obligației-suport, după cum se precizează la litera (a) punctul (iii), protecția creditului poate fi totuși eligibilă, cu condiția reducerii valorii, astfel cum se specifică la articolul 233 alineatul (2);</w:t>
            </w:r>
          </w:p>
        </w:tc>
        <w:tc>
          <w:tcPr>
            <w:tcW w:w="1636" w:type="pct"/>
            <w:shd w:val="clear" w:color="auto" w:fill="auto"/>
          </w:tcPr>
          <w:p w14:paraId="6F7344B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Secțiunea a 4-a. Cerințe suplimentare pentru instrumentele</w:t>
            </w:r>
          </w:p>
          <w:p w14:paraId="342116F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financiare derivate de credit</w:t>
            </w:r>
          </w:p>
          <w:p w14:paraId="747B224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62. Instrumentele financiare derivate de credit se califică drept protecție nefinanțată a creditului eligibilă, dacă sunt îndeplinite cumulativ toate condițiile prevăzute la secțiunea 1 din prezentul capitol și toate următoarele condiții: </w:t>
            </w:r>
          </w:p>
          <w:p w14:paraId="32DFC7A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evenimentele de credit specificate în contractul aferent instrumentului financiar derivat de credit includ: </w:t>
            </w:r>
          </w:p>
          <w:p w14:paraId="4DFA357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a) neplata sumelor datorate conform condițiilor, în vigoare la momentul neplății, aferente obligației-suport, cu o perioadă de grație egală cu perioada de grație a obligației-suport, sau mai scurtă decât aceasta; </w:t>
            </w:r>
          </w:p>
          <w:p w14:paraId="12E1149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b) falimentul, insolvabilitatea sau incapacitatea debitorului de a-și plăti datoriile sale, sau imposibilitatea acestuia ori recunoașterea în scris a incapacității acestuia de a-și plăti în general datoriile sale pe măsură ce acestea devin scadente, precum și evenimente similare; </w:t>
            </w:r>
          </w:p>
          <w:p w14:paraId="5FE04F0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c) restructurarea obligației-suport, care implică anularea sau amânarea plății principalului, a dobânzii sau a comisioanelor și are ca rezultat un eveniment de pierdere din credit; </w:t>
            </w:r>
          </w:p>
          <w:p w14:paraId="3B43CB4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în cazul în care instrumentele financiare derivate de credit permit decontarea în mijloace bănești: </w:t>
            </w:r>
          </w:p>
          <w:p w14:paraId="32D95A0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lastRenderedPageBreak/>
              <w:t xml:space="preserve">a) băncile aplică un proces riguros de evaluare în vederea estimării corecte a pierderii; </w:t>
            </w:r>
          </w:p>
          <w:p w14:paraId="57606B9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b) se specifică în mod clar perioada în care trebuie obținute evaluările obligației-suport după apariția unui eveniment de credit; </w:t>
            </w:r>
          </w:p>
          <w:p w14:paraId="290CECB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3) dacă efectuarea decontării implică dreptul și capacitatea cumpărătorului de protecție de a transfera obligația-suport furnizorului de protecție, condițiile aferente obligației-suport trebuie să prevadă faptul că orice consimțământ necesar pentru un astfel de transfer nu poate fi refuzat în mod nejustificat; </w:t>
            </w:r>
          </w:p>
          <w:p w14:paraId="6FE1959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4) identitatea părților care au responsabilitatea de a stabili dacă a avut loc un eveniment de credit este precizată în mod clar; </w:t>
            </w:r>
          </w:p>
          <w:p w14:paraId="3C34F11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5) determinarea apariției unui eveniment de credit nu este responsabilitatea exclusivă a furnizorului de protecție;</w:t>
            </w:r>
          </w:p>
          <w:p w14:paraId="5612B9FA"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6) cumpărătorul de protecție are dreptul sau capacitatea de a informa furnizorul de protecție în legătură cu producerea unui eveniment de credit.</w:t>
            </w:r>
          </w:p>
          <w:p w14:paraId="2775A0DC"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66A8E71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63. Dacă evenimentele de credit nu includ restructurarea obligației-suport, după cum se precizează la punctul 62 subpunctul 1) </w:t>
            </w:r>
            <w:proofErr w:type="spellStart"/>
            <w:r w:rsidRPr="002C32BA">
              <w:rPr>
                <w:rFonts w:ascii="Times New Roman" w:hAnsi="Times New Roman"/>
                <w:sz w:val="20"/>
                <w:szCs w:val="20"/>
                <w:lang w:val="ro-RO" w:eastAsia="ru-RU"/>
              </w:rPr>
              <w:t>lit.c</w:t>
            </w:r>
            <w:proofErr w:type="spellEnd"/>
            <w:r w:rsidRPr="002C32BA">
              <w:rPr>
                <w:rFonts w:ascii="Times New Roman" w:hAnsi="Times New Roman"/>
                <w:sz w:val="20"/>
                <w:szCs w:val="20"/>
                <w:lang w:val="ro-RO" w:eastAsia="ru-RU"/>
              </w:rPr>
              <w:t>), protecția creditului poate fi totuși eligibilă, cu condiția reducerii valorii, astfel cum se specifică la punctul 111.</w:t>
            </w:r>
          </w:p>
        </w:tc>
        <w:tc>
          <w:tcPr>
            <w:tcW w:w="562" w:type="pct"/>
          </w:tcPr>
          <w:p w14:paraId="78B769DF"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lastRenderedPageBreak/>
              <w:t>Compatibil</w:t>
            </w:r>
          </w:p>
        </w:tc>
        <w:tc>
          <w:tcPr>
            <w:tcW w:w="885" w:type="pct"/>
          </w:tcPr>
          <w:p w14:paraId="2F659982" w14:textId="680DF15E"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7BECFB0"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169BE28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46647B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Se poate permite existența unei neconcordanțe între obligația- suport și obligația de referință aferentă instrumentului financiar derivat de credit sau între obligația-suport și obligația utilizată pentru a stabili dacă a avut loc un eveniment de credit, numai dacă sunt îndeplinite cumulativ următoarele condiții:</w:t>
            </w:r>
          </w:p>
          <w:p w14:paraId="32D9CE8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obligația de referință sau obligația utilizată pentru a stabili dacă a avut loc un eveniment de credit, după caz, are același rang ca obligația-suport sau are un rang inferior în raport cu aceasta;</w:t>
            </w:r>
          </w:p>
          <w:p w14:paraId="68D61BB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(b) obligația-suport și obligația de referință sau obligația utilizată pentru a stabili dacă a avut loc un eveniment de credit, după caz, provin de la același debitor și există clauze cu caracter executoriu din punct de vedere juridic de declarare simultană a stării de nerambursare sau a exigibilității obligațiilor (clauze de tip </w:t>
            </w:r>
            <w:proofErr w:type="spellStart"/>
            <w:r w:rsidRPr="002C32BA">
              <w:rPr>
                <w:rFonts w:ascii="Times New Roman" w:hAnsi="Times New Roman"/>
                <w:iCs/>
                <w:sz w:val="20"/>
                <w:szCs w:val="20"/>
                <w:lang w:val="ro-RO" w:eastAsia="ru-RU"/>
              </w:rPr>
              <w:t>cross-default</w:t>
            </w:r>
            <w:proofErr w:type="spellEnd"/>
            <w:r w:rsidRPr="002C32BA">
              <w:rPr>
                <w:rFonts w:ascii="Times New Roman" w:hAnsi="Times New Roman"/>
                <w:iCs/>
                <w:sz w:val="20"/>
                <w:szCs w:val="20"/>
                <w:lang w:val="ro-RO" w:eastAsia="ru-RU"/>
              </w:rPr>
              <w:t xml:space="preserve"> sau </w:t>
            </w:r>
            <w:proofErr w:type="spellStart"/>
            <w:r w:rsidRPr="002C32BA">
              <w:rPr>
                <w:rFonts w:ascii="Times New Roman" w:hAnsi="Times New Roman"/>
                <w:iCs/>
                <w:sz w:val="20"/>
                <w:szCs w:val="20"/>
                <w:lang w:val="ro-RO" w:eastAsia="ru-RU"/>
              </w:rPr>
              <w:t>cross-acceleration</w:t>
            </w:r>
            <w:proofErr w:type="spellEnd"/>
            <w:r w:rsidRPr="002C32BA">
              <w:rPr>
                <w:rFonts w:ascii="Times New Roman" w:hAnsi="Times New Roman"/>
                <w:iCs/>
                <w:sz w:val="20"/>
                <w:szCs w:val="20"/>
                <w:lang w:val="ro-RO" w:eastAsia="ru-RU"/>
              </w:rPr>
              <w:t>).</w:t>
            </w:r>
          </w:p>
        </w:tc>
        <w:tc>
          <w:tcPr>
            <w:tcW w:w="1636" w:type="pct"/>
            <w:shd w:val="clear" w:color="auto" w:fill="auto"/>
          </w:tcPr>
          <w:p w14:paraId="78F123A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64. Se permite existența unei neconcordanțe între obligația-suport și obligația de referință aferentă instrumentului financiar derivat de credit sau între obligația-suport și obligația utilizată pentru a stabili dacă a avut loc un eveniment de credit, numai dacă sunt îndeplinite cumulativ următoarele condiții: </w:t>
            </w:r>
          </w:p>
          <w:p w14:paraId="55F27D8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obligația de referință sau obligația utilizată pentru a stabili dacă a avut loc un eveniment de credit, după caz, are același rang ca obligația-suport sau are un rang inferior în raport cu aceasta; </w:t>
            </w:r>
          </w:p>
          <w:p w14:paraId="52C6DAF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obligația-suport și obligația de referință sau obligația utilizată pentru a stabili dacă a avut loc un eveniment de credit, după caz, au același debitor și există clauze care pot fi puse în aplicare/executare din punct de vedere juridic de declarare simultană a stării de nerambursare sau a exigibilității obligațiilor (clauze de tip </w:t>
            </w:r>
            <w:proofErr w:type="spellStart"/>
            <w:r w:rsidRPr="002C32BA">
              <w:rPr>
                <w:rFonts w:ascii="Times New Roman" w:hAnsi="Times New Roman"/>
                <w:sz w:val="20"/>
                <w:szCs w:val="20"/>
                <w:lang w:val="ro-RO" w:eastAsia="ru-RU"/>
              </w:rPr>
              <w:t>cross-default</w:t>
            </w:r>
            <w:proofErr w:type="spellEnd"/>
            <w:r w:rsidRPr="002C32BA">
              <w:rPr>
                <w:rFonts w:ascii="Times New Roman" w:hAnsi="Times New Roman"/>
                <w:sz w:val="20"/>
                <w:szCs w:val="20"/>
                <w:lang w:val="ro-RO" w:eastAsia="ru-RU"/>
              </w:rPr>
              <w:t xml:space="preserve"> sau </w:t>
            </w:r>
            <w:proofErr w:type="spellStart"/>
            <w:r w:rsidRPr="002C32BA">
              <w:rPr>
                <w:rFonts w:ascii="Times New Roman" w:hAnsi="Times New Roman"/>
                <w:sz w:val="20"/>
                <w:szCs w:val="20"/>
                <w:lang w:val="ro-RO" w:eastAsia="ru-RU"/>
              </w:rPr>
              <w:t>cross-acceleration</w:t>
            </w:r>
            <w:proofErr w:type="spellEnd"/>
            <w:r w:rsidRPr="002C32BA">
              <w:rPr>
                <w:rFonts w:ascii="Times New Roman" w:hAnsi="Times New Roman"/>
                <w:sz w:val="20"/>
                <w:szCs w:val="20"/>
                <w:lang w:val="ro-RO" w:eastAsia="ru-RU"/>
              </w:rPr>
              <w:t>).</w:t>
            </w:r>
          </w:p>
        </w:tc>
        <w:tc>
          <w:tcPr>
            <w:tcW w:w="562" w:type="pct"/>
          </w:tcPr>
          <w:p w14:paraId="31CA3827"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35D8F986" w14:textId="45C1291E"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5FE95CD9"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446E60D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754D110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217</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Cerințe de eligibilitate pentru tratamentul prevăzut la articolul 153 alineatul (3)</w:t>
            </w:r>
          </w:p>
          <w:p w14:paraId="2893332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Pentru a fi eligibilă pentru tratamentul prevăzut la articolul 153 alineatul (3), protecția creditului decurgând dintr-o garanție personală sau dintr-un instrument financiar derivat de credit trebuie să îndeplinească următoarele condiții:</w:t>
            </w:r>
          </w:p>
          <w:p w14:paraId="321E318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obligația-suport trebuie să fie una din următoarele expuneri:</w:t>
            </w:r>
          </w:p>
          <w:p w14:paraId="4B5E605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o expunere față de o societate, astfel cum este definită la articolul 147, cu excepția expunerilor față de întreprinderile de asigurări și reasigurări;</w:t>
            </w:r>
          </w:p>
          <w:p w14:paraId="7EA26C6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 o expunere față de o administrație regională, o autoritate locală sau o entitate din sectorul public, care nu este tratată ca o expunere față de o administrație centrală sau o bancă centrală în conformitate cu articolul 147;</w:t>
            </w:r>
          </w:p>
          <w:p w14:paraId="3824945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(iii) o expunere față de o întreprindere mică sau mijlocie, clasificată ca expunere de tip retail în conformitate cu articolul 147 alineatul (5);</w:t>
            </w:r>
          </w:p>
          <w:p w14:paraId="6E5C866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debitorii aferenți obligației-suport nu trebuie să fie membri ai grupului din care face parte furnizorul de protecție;</w:t>
            </w:r>
          </w:p>
          <w:p w14:paraId="6E9E113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expunerea trebuie să fie acoperită de unul din următoarele instrumente:</w:t>
            </w:r>
          </w:p>
          <w:p w14:paraId="41072A2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instrumente financiare derivate de credit nefinanțate având la bază o singură semnătură sau garanții personale având la bază o singură semnătură;</w:t>
            </w:r>
          </w:p>
          <w:p w14:paraId="4AE8AC1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(ii) produse de tipul </w:t>
            </w:r>
            <w:proofErr w:type="spellStart"/>
            <w:r w:rsidRPr="002C32BA">
              <w:rPr>
                <w:rFonts w:ascii="Times New Roman" w:hAnsi="Times New Roman"/>
                <w:iCs/>
                <w:sz w:val="20"/>
                <w:szCs w:val="20"/>
                <w:lang w:val="ro-RO" w:eastAsia="ru-RU"/>
              </w:rPr>
              <w:t>first-to-default</w:t>
            </w:r>
            <w:proofErr w:type="spellEnd"/>
            <w:r w:rsidRPr="002C32BA">
              <w:rPr>
                <w:rFonts w:ascii="Times New Roman" w:hAnsi="Times New Roman"/>
                <w:iCs/>
                <w:sz w:val="20"/>
                <w:szCs w:val="20"/>
                <w:lang w:val="ro-RO" w:eastAsia="ru-RU"/>
              </w:rPr>
              <w:t xml:space="preserve"> pentru un coș de expuneri;</w:t>
            </w:r>
          </w:p>
          <w:p w14:paraId="5B1E3E8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(iii) produse de tipul </w:t>
            </w:r>
            <w:proofErr w:type="spellStart"/>
            <w:r w:rsidRPr="002C32BA">
              <w:rPr>
                <w:rFonts w:ascii="Times New Roman" w:hAnsi="Times New Roman"/>
                <w:iCs/>
                <w:sz w:val="20"/>
                <w:szCs w:val="20"/>
                <w:lang w:val="ro-RO" w:eastAsia="ru-RU"/>
              </w:rPr>
              <w:t>nth-to-default</w:t>
            </w:r>
            <w:proofErr w:type="spellEnd"/>
            <w:r w:rsidRPr="002C32BA">
              <w:rPr>
                <w:rFonts w:ascii="Times New Roman" w:hAnsi="Times New Roman"/>
                <w:iCs/>
                <w:sz w:val="20"/>
                <w:szCs w:val="20"/>
                <w:lang w:val="ro-RO" w:eastAsia="ru-RU"/>
              </w:rPr>
              <w:t xml:space="preserve"> pentru un coș de expuneri; </w:t>
            </w:r>
          </w:p>
          <w:p w14:paraId="3252856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protecția creditului trebuie să îndeplinească cerințele prevăzute la articolele 213, 215 și 216, după caz;</w:t>
            </w:r>
          </w:p>
          <w:p w14:paraId="22D4CCF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(e) ponderea de risc asociată expunerii înainte de aplicarea tratamentului prevăzut la articolul 153 alineatul (3) nu trebuie să fi luat deja în considerare vreun aspect legat de protecția creditului;</w:t>
            </w:r>
          </w:p>
          <w:p w14:paraId="58C8B01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(f) o instituție trebuie să aibă dreptul și perspectiva de a primi plata de la furnizorul de protecție, fără a fi nevoită să introducă o acțiune în instanță pentru a constrânge la plată </w:t>
            </w:r>
            <w:proofErr w:type="spellStart"/>
            <w:r w:rsidRPr="002C32BA">
              <w:rPr>
                <w:rFonts w:ascii="Times New Roman" w:hAnsi="Times New Roman"/>
                <w:iCs/>
                <w:sz w:val="20"/>
                <w:szCs w:val="20"/>
                <w:lang w:val="ro-RO" w:eastAsia="ru-RU"/>
              </w:rPr>
              <w:t>contrapartea</w:t>
            </w:r>
            <w:proofErr w:type="spellEnd"/>
            <w:r w:rsidRPr="002C32BA">
              <w:rPr>
                <w:rFonts w:ascii="Times New Roman" w:hAnsi="Times New Roman"/>
                <w:iCs/>
                <w:sz w:val="20"/>
                <w:szCs w:val="20"/>
                <w:lang w:val="ro-RO" w:eastAsia="ru-RU"/>
              </w:rPr>
              <w:t>. În măsura în care este posibil, o instituție trebuie să ia măsuri pentru a se convinge că furnizorul de protecție este dispus să plătească prompt în cazul în care are loc un eveniment de credit;</w:t>
            </w:r>
          </w:p>
          <w:p w14:paraId="26186CA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(g) protecția creditului cumpărată trebuie să absoarbă toate pierderile de credit suportate pentru partea acoperită a unei expuneri, generate de producerea evenimentelor de credit descrise în contract;</w:t>
            </w:r>
          </w:p>
          <w:p w14:paraId="120DE82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(h) dacă structura plăților aferente protecției creditului prevede decontarea cu livrare fizică, trebuie să existe securitate juridică în ceea ce privește posibilitatea efectivă de a livra un credit, o obligațiune sau o creanță potențială;</w:t>
            </w:r>
          </w:p>
          <w:p w14:paraId="3A90596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 dacă o instituție intenționează să livreze o creanță, alta decât expunerea-suport, aceasta trebuie să se asigure că respectiva creanță livrabilă este suficient de lichidă, astfel încât să o poată cumpăra în vederea livrării conform contractului;</w:t>
            </w:r>
          </w:p>
          <w:p w14:paraId="4EC22BC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(j) termenii și condițiile contractului de protecție a creditului trebuie să fie confirmate legal, în scris, atât de furnizorul de protecție, cât și de instituție;</w:t>
            </w:r>
          </w:p>
          <w:p w14:paraId="0A15E14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(k) instituțiile trebuie să dispună de un proces pentru detectarea corelării excesive dintre bonitatea unui furnizor de protecție și debitorul expunerii-suport, care se datorează faptului că performanța lor depinde, dincolo de factorul de risc sistemic, de factori comuni;</w:t>
            </w:r>
          </w:p>
          <w:p w14:paraId="046F7FC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(l) în cazul protecției împotriva riscului de diminuare a valorii creanței, vânzătorul creanțelor achiziționate nu trebuie să fie membru al grupului din care face parte furnizorul de protecție.</w:t>
            </w:r>
          </w:p>
          <w:p w14:paraId="44852D10" w14:textId="77777777"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(2) În sensul alineatului (1) litera (c) punctul (ii), instituțiile trebuie să aplice tratamentul prevăzut la articolul 153 alineatul (3) activului din portofoliu care are cel mai mic cuantum ponderat la risc al expunerii.</w:t>
            </w:r>
          </w:p>
          <w:p w14:paraId="441E94C1"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iCs/>
                <w:sz w:val="20"/>
                <w:szCs w:val="20"/>
                <w:lang w:val="ro-RO"/>
              </w:rPr>
              <w:t>(3) În sensul alineatului (1) litera (c) punctul (iii), protecția obținută este eligibilă în acest cadru numai dacă a fost obținută și protecția eligibilă împotriva stării de nerambursare (n-1) sau dacă n-1 active din portofoliu se află deja în stare de nerambursare. În acest caz, instituțiile trebuie să aplice tratamentul prevăzut la articolul 153 alineatul (3) activului din portofoliu care are cel mai mic cuantum ponderat la risc al expunerii.</w:t>
            </w:r>
          </w:p>
        </w:tc>
        <w:tc>
          <w:tcPr>
            <w:tcW w:w="1636" w:type="pct"/>
            <w:shd w:val="clear" w:color="auto" w:fill="auto"/>
          </w:tcPr>
          <w:p w14:paraId="643D9710"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29D930AF" w14:textId="1E7A7D37" w:rsidR="00D62F3C" w:rsidRPr="002C32BA" w:rsidRDefault="00D62F3C" w:rsidP="00D62F3C">
            <w:pPr>
              <w:rPr>
                <w:rFonts w:ascii="Times New Roman" w:hAnsi="Times New Roman" w:cs="Times New Roman"/>
                <w:sz w:val="20"/>
                <w:szCs w:val="20"/>
                <w:lang w:val="ro-RO"/>
              </w:rPr>
            </w:pPr>
            <w:r>
              <w:rPr>
                <w:rFonts w:ascii="Times New Roman" w:eastAsia="Arial Unicode MS" w:hAnsi="Times New Roman" w:cs="Times New Roman"/>
                <w:sz w:val="20"/>
                <w:szCs w:val="20"/>
                <w:lang w:val="ro-RO"/>
              </w:rPr>
              <w:t>Norme UE netranspuse</w:t>
            </w:r>
          </w:p>
        </w:tc>
        <w:tc>
          <w:tcPr>
            <w:tcW w:w="885" w:type="pct"/>
          </w:tcPr>
          <w:p w14:paraId="0C2D6452" w14:textId="77777777" w:rsidR="00D62F3C" w:rsidRPr="002C32BA" w:rsidRDefault="00D62F3C" w:rsidP="00D62F3C">
            <w:pPr>
              <w:jc w:val="both"/>
              <w:rPr>
                <w:rFonts w:ascii="Times New Roman" w:hAnsi="Times New Roman" w:cs="Times New Roman"/>
                <w:sz w:val="20"/>
                <w:szCs w:val="20"/>
                <w:lang w:val="ro-RO"/>
              </w:rPr>
            </w:pPr>
            <w:r w:rsidRPr="002C32BA">
              <w:rPr>
                <w:rFonts w:ascii="Times New Roman" w:hAnsi="Times New Roman" w:cs="Times New Roman"/>
                <w:sz w:val="20"/>
                <w:szCs w:val="20"/>
                <w:lang w:val="ro-RO"/>
              </w:rPr>
              <w:t>Art.153 vizează abordarea IRB, urmează a fi transpus la o etapă ulterioară.</w:t>
            </w:r>
          </w:p>
        </w:tc>
      </w:tr>
      <w:tr w:rsidR="00D62F3C" w:rsidRPr="002C32BA" w14:paraId="65D0582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7"/>
        </w:trPr>
        <w:tc>
          <w:tcPr>
            <w:tcW w:w="1916" w:type="pct"/>
          </w:tcPr>
          <w:p w14:paraId="5986547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Secțiunea 4 </w:t>
            </w:r>
          </w:p>
          <w:p w14:paraId="11639887" w14:textId="77777777" w:rsidR="00D62F3C" w:rsidRPr="002C32BA" w:rsidRDefault="00D62F3C" w:rsidP="00D62F3C">
            <w:pPr>
              <w:pStyle w:val="CM4"/>
              <w:tabs>
                <w:tab w:val="left" w:pos="150"/>
              </w:tabs>
              <w:ind w:left="-43"/>
              <w:jc w:val="both"/>
              <w:rPr>
                <w:rFonts w:ascii="Times New Roman" w:hAnsi="Times New Roman"/>
                <w:iCs/>
                <w:sz w:val="20"/>
                <w:szCs w:val="20"/>
                <w:lang w:val="ro-RO"/>
              </w:rPr>
            </w:pPr>
            <w:r w:rsidRPr="002C32BA">
              <w:rPr>
                <w:rFonts w:ascii="Times New Roman" w:hAnsi="Times New Roman"/>
                <w:b/>
                <w:iCs/>
                <w:sz w:val="20"/>
                <w:szCs w:val="20"/>
                <w:lang w:val="ro-RO" w:eastAsia="ru-RU"/>
              </w:rPr>
              <w:t>Calculul efectelor diminuării riscului de credit</w:t>
            </w:r>
          </w:p>
        </w:tc>
        <w:tc>
          <w:tcPr>
            <w:tcW w:w="1636" w:type="pct"/>
            <w:shd w:val="clear" w:color="auto" w:fill="auto"/>
          </w:tcPr>
          <w:p w14:paraId="34DF1C1B"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6E45FFF6" w14:textId="77777777" w:rsidR="00D62F3C" w:rsidRPr="002C32BA" w:rsidRDefault="00D62F3C" w:rsidP="00D62F3C">
            <w:pPr>
              <w:rPr>
                <w:rFonts w:ascii="Times New Roman" w:hAnsi="Times New Roman" w:cs="Times New Roman"/>
                <w:sz w:val="20"/>
                <w:szCs w:val="20"/>
                <w:lang w:val="ro-RO"/>
              </w:rPr>
            </w:pPr>
          </w:p>
        </w:tc>
        <w:tc>
          <w:tcPr>
            <w:tcW w:w="885" w:type="pct"/>
          </w:tcPr>
          <w:p w14:paraId="0E797D80"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43B95D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5"/>
        </w:trPr>
        <w:tc>
          <w:tcPr>
            <w:tcW w:w="1916" w:type="pct"/>
          </w:tcPr>
          <w:p w14:paraId="04D313B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Subsecțiunea 1</w:t>
            </w:r>
          </w:p>
          <w:p w14:paraId="30A8C9E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b/>
                <w:iCs/>
                <w:sz w:val="20"/>
                <w:szCs w:val="20"/>
                <w:lang w:val="ro-RO" w:eastAsia="ru-RU"/>
              </w:rPr>
              <w:t>Protecția finanțată a creditului</w:t>
            </w:r>
          </w:p>
        </w:tc>
        <w:tc>
          <w:tcPr>
            <w:tcW w:w="1636" w:type="pct"/>
            <w:shd w:val="clear" w:color="auto" w:fill="auto"/>
          </w:tcPr>
          <w:p w14:paraId="5657262B"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68602BBE" w14:textId="77777777" w:rsidR="00D62F3C" w:rsidRPr="002C32BA" w:rsidRDefault="00D62F3C" w:rsidP="00D62F3C">
            <w:pPr>
              <w:rPr>
                <w:rFonts w:ascii="Times New Roman" w:hAnsi="Times New Roman" w:cs="Times New Roman"/>
                <w:sz w:val="20"/>
                <w:szCs w:val="20"/>
                <w:lang w:val="ro-RO"/>
              </w:rPr>
            </w:pPr>
          </w:p>
        </w:tc>
        <w:tc>
          <w:tcPr>
            <w:tcW w:w="885" w:type="pct"/>
          </w:tcPr>
          <w:p w14:paraId="4C7AF5FC"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71B0CEA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CF05C6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218</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 xml:space="preserve">Instrumente de tip credit </w:t>
            </w:r>
            <w:proofErr w:type="spellStart"/>
            <w:r w:rsidRPr="002C32BA">
              <w:rPr>
                <w:rFonts w:ascii="Times New Roman" w:hAnsi="Times New Roman"/>
                <w:b/>
                <w:iCs/>
                <w:sz w:val="20"/>
                <w:szCs w:val="20"/>
                <w:lang w:val="ro-RO" w:eastAsia="ru-RU"/>
              </w:rPr>
              <w:t>linked</w:t>
            </w:r>
            <w:proofErr w:type="spellEnd"/>
            <w:r w:rsidRPr="002C32BA">
              <w:rPr>
                <w:rFonts w:ascii="Times New Roman" w:hAnsi="Times New Roman"/>
                <w:b/>
                <w:iCs/>
                <w:sz w:val="20"/>
                <w:szCs w:val="20"/>
                <w:lang w:val="ro-RO" w:eastAsia="ru-RU"/>
              </w:rPr>
              <w:t xml:space="preserve"> note</w:t>
            </w:r>
          </w:p>
          <w:p w14:paraId="4C14D81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Investițiile în instrumente de tip credit </w:t>
            </w:r>
            <w:proofErr w:type="spellStart"/>
            <w:r w:rsidRPr="002C32BA">
              <w:rPr>
                <w:rFonts w:ascii="Times New Roman" w:hAnsi="Times New Roman"/>
                <w:iCs/>
                <w:sz w:val="20"/>
                <w:szCs w:val="20"/>
                <w:lang w:val="ro-RO" w:eastAsia="ru-RU"/>
              </w:rPr>
              <w:t>linked</w:t>
            </w:r>
            <w:proofErr w:type="spellEnd"/>
            <w:r w:rsidRPr="002C32BA">
              <w:rPr>
                <w:rFonts w:ascii="Times New Roman" w:hAnsi="Times New Roman"/>
                <w:iCs/>
                <w:sz w:val="20"/>
                <w:szCs w:val="20"/>
                <w:lang w:val="ro-RO" w:eastAsia="ru-RU"/>
              </w:rPr>
              <w:t xml:space="preserve"> note emise de instituția creditoare pot fi tratate drept garanții reale sub formă de numerar în scopul calculării efectului protecției finanțate a creditului în conformitate cu prezenta subsecțiune, cu condiția ca instrumentul de tip credit </w:t>
            </w:r>
            <w:proofErr w:type="spellStart"/>
            <w:r w:rsidRPr="002C32BA">
              <w:rPr>
                <w:rFonts w:ascii="Times New Roman" w:hAnsi="Times New Roman"/>
                <w:iCs/>
                <w:sz w:val="20"/>
                <w:szCs w:val="20"/>
                <w:lang w:val="ro-RO" w:eastAsia="ru-RU"/>
              </w:rPr>
              <w:t>default</w:t>
            </w:r>
            <w:proofErr w:type="spellEnd"/>
            <w:r w:rsidRPr="002C32BA">
              <w:rPr>
                <w:rFonts w:ascii="Times New Roman" w:hAnsi="Times New Roman"/>
                <w:iCs/>
                <w:sz w:val="20"/>
                <w:szCs w:val="20"/>
                <w:lang w:val="ro-RO" w:eastAsia="ru-RU"/>
              </w:rPr>
              <w:t xml:space="preserve"> </w:t>
            </w:r>
            <w:proofErr w:type="spellStart"/>
            <w:r w:rsidRPr="002C32BA">
              <w:rPr>
                <w:rFonts w:ascii="Times New Roman" w:hAnsi="Times New Roman"/>
                <w:iCs/>
                <w:sz w:val="20"/>
                <w:szCs w:val="20"/>
                <w:lang w:val="ro-RO" w:eastAsia="ru-RU"/>
              </w:rPr>
              <w:t>swap</w:t>
            </w:r>
            <w:proofErr w:type="spellEnd"/>
            <w:r w:rsidRPr="002C32BA">
              <w:rPr>
                <w:rFonts w:ascii="Times New Roman" w:hAnsi="Times New Roman"/>
                <w:iCs/>
                <w:sz w:val="20"/>
                <w:szCs w:val="20"/>
                <w:lang w:val="ro-RO" w:eastAsia="ru-RU"/>
              </w:rPr>
              <w:t xml:space="preserve"> inclus în instrumentul de tip credit </w:t>
            </w:r>
            <w:proofErr w:type="spellStart"/>
            <w:r w:rsidRPr="002C32BA">
              <w:rPr>
                <w:rFonts w:ascii="Times New Roman" w:hAnsi="Times New Roman"/>
                <w:iCs/>
                <w:sz w:val="20"/>
                <w:szCs w:val="20"/>
                <w:lang w:val="ro-RO" w:eastAsia="ru-RU"/>
              </w:rPr>
              <w:t>linked</w:t>
            </w:r>
            <w:proofErr w:type="spellEnd"/>
            <w:r w:rsidRPr="002C32BA">
              <w:rPr>
                <w:rFonts w:ascii="Times New Roman" w:hAnsi="Times New Roman"/>
                <w:iCs/>
                <w:sz w:val="20"/>
                <w:szCs w:val="20"/>
                <w:lang w:val="ro-RO" w:eastAsia="ru-RU"/>
              </w:rPr>
              <w:t xml:space="preserve"> note să se califice drept protecție nefinanțată a creditului eligibilă. Pentru a stabili dacă instrumentul de tip credit </w:t>
            </w:r>
            <w:proofErr w:type="spellStart"/>
            <w:r w:rsidRPr="002C32BA">
              <w:rPr>
                <w:rFonts w:ascii="Times New Roman" w:hAnsi="Times New Roman"/>
                <w:iCs/>
                <w:sz w:val="20"/>
                <w:szCs w:val="20"/>
                <w:lang w:val="ro-RO" w:eastAsia="ru-RU"/>
              </w:rPr>
              <w:t>default</w:t>
            </w:r>
            <w:proofErr w:type="spellEnd"/>
            <w:r w:rsidRPr="002C32BA">
              <w:rPr>
                <w:rFonts w:ascii="Times New Roman" w:hAnsi="Times New Roman"/>
                <w:iCs/>
                <w:sz w:val="20"/>
                <w:szCs w:val="20"/>
                <w:lang w:val="ro-RO" w:eastAsia="ru-RU"/>
              </w:rPr>
              <w:t xml:space="preserve"> </w:t>
            </w:r>
            <w:proofErr w:type="spellStart"/>
            <w:r w:rsidRPr="002C32BA">
              <w:rPr>
                <w:rFonts w:ascii="Times New Roman" w:hAnsi="Times New Roman"/>
                <w:iCs/>
                <w:sz w:val="20"/>
                <w:szCs w:val="20"/>
                <w:lang w:val="ro-RO" w:eastAsia="ru-RU"/>
              </w:rPr>
              <w:t>swap</w:t>
            </w:r>
            <w:proofErr w:type="spellEnd"/>
            <w:r w:rsidRPr="002C32BA">
              <w:rPr>
                <w:rFonts w:ascii="Times New Roman" w:hAnsi="Times New Roman"/>
                <w:iCs/>
                <w:sz w:val="20"/>
                <w:szCs w:val="20"/>
                <w:lang w:val="ro-RO" w:eastAsia="ru-RU"/>
              </w:rPr>
              <w:t xml:space="preserve"> inclus în instrumentul de tip credit </w:t>
            </w:r>
            <w:proofErr w:type="spellStart"/>
            <w:r w:rsidRPr="002C32BA">
              <w:rPr>
                <w:rFonts w:ascii="Times New Roman" w:hAnsi="Times New Roman"/>
                <w:iCs/>
                <w:sz w:val="20"/>
                <w:szCs w:val="20"/>
                <w:lang w:val="ro-RO" w:eastAsia="ru-RU"/>
              </w:rPr>
              <w:t>linked</w:t>
            </w:r>
            <w:proofErr w:type="spellEnd"/>
            <w:r w:rsidRPr="002C32BA">
              <w:rPr>
                <w:rFonts w:ascii="Times New Roman" w:hAnsi="Times New Roman"/>
                <w:iCs/>
                <w:sz w:val="20"/>
                <w:szCs w:val="20"/>
                <w:lang w:val="ro-RO" w:eastAsia="ru-RU"/>
              </w:rPr>
              <w:t xml:space="preserve"> note se califică drept protecție nefinanțată a creditului eligibilă, instituția poate considera condiția prevăzută la articolul 194 alineatul (6) litera (c) ca fiind îndeplinită.</w:t>
            </w:r>
          </w:p>
        </w:tc>
        <w:tc>
          <w:tcPr>
            <w:tcW w:w="1636" w:type="pct"/>
            <w:shd w:val="clear" w:color="auto" w:fill="auto"/>
          </w:tcPr>
          <w:p w14:paraId="56B1F46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Titlul </w:t>
            </w:r>
            <w:proofErr w:type="spellStart"/>
            <w:r w:rsidRPr="002C32BA">
              <w:rPr>
                <w:rFonts w:ascii="Times New Roman" w:hAnsi="Times New Roman"/>
                <w:sz w:val="20"/>
                <w:szCs w:val="20"/>
                <w:lang w:val="ro-RO" w:eastAsia="ru-RU"/>
              </w:rPr>
              <w:t>IV.Calculul</w:t>
            </w:r>
            <w:proofErr w:type="spellEnd"/>
            <w:r w:rsidRPr="002C32BA">
              <w:rPr>
                <w:rFonts w:ascii="Times New Roman" w:hAnsi="Times New Roman"/>
                <w:sz w:val="20"/>
                <w:szCs w:val="20"/>
                <w:lang w:val="ro-RO" w:eastAsia="ru-RU"/>
              </w:rPr>
              <w:t xml:space="preserve"> efectelor diminuării riscului de credit</w:t>
            </w:r>
          </w:p>
          <w:p w14:paraId="03FA8A7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Capitolul VIII. Calculul efectelor în cazul protecției finanțate a creditului</w:t>
            </w:r>
          </w:p>
          <w:p w14:paraId="3D9E7F5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Secțiunea 1. Compensarea bilanțieră și instrumente de tip credit </w:t>
            </w:r>
            <w:proofErr w:type="spellStart"/>
            <w:r w:rsidRPr="002C32BA">
              <w:rPr>
                <w:rFonts w:ascii="Times New Roman" w:hAnsi="Times New Roman"/>
                <w:sz w:val="20"/>
                <w:szCs w:val="20"/>
                <w:lang w:val="ro-RO" w:eastAsia="ru-RU"/>
              </w:rPr>
              <w:t>linked</w:t>
            </w:r>
            <w:proofErr w:type="spellEnd"/>
            <w:r w:rsidRPr="002C32BA">
              <w:rPr>
                <w:rFonts w:ascii="Times New Roman" w:hAnsi="Times New Roman"/>
                <w:sz w:val="20"/>
                <w:szCs w:val="20"/>
                <w:lang w:val="ro-RO" w:eastAsia="ru-RU"/>
              </w:rPr>
              <w:t xml:space="preserve"> note</w:t>
            </w:r>
          </w:p>
          <w:p w14:paraId="04875E4F" w14:textId="77777777" w:rsidR="00D62F3C" w:rsidRPr="002C32BA" w:rsidRDefault="00D62F3C" w:rsidP="00D62F3C">
            <w:pPr>
              <w:rPr>
                <w:rFonts w:ascii="Times New Roman" w:hAnsi="Times New Roman" w:cs="Times New Roman"/>
                <w:sz w:val="20"/>
                <w:szCs w:val="20"/>
                <w:lang w:val="ro-RO"/>
              </w:rPr>
            </w:pPr>
          </w:p>
          <w:p w14:paraId="5839B74B" w14:textId="77777777" w:rsidR="00D62F3C" w:rsidRPr="002C32BA" w:rsidRDefault="00D62F3C" w:rsidP="00D62F3C">
            <w:pPr>
              <w:rPr>
                <w:rFonts w:ascii="Times New Roman" w:hAnsi="Times New Roman" w:cs="Times New Roman"/>
                <w:sz w:val="20"/>
                <w:szCs w:val="20"/>
                <w:lang w:val="ro-RO"/>
              </w:rPr>
            </w:pPr>
            <w:r w:rsidRPr="008D3689">
              <w:rPr>
                <w:rFonts w:ascii="Times New Roman" w:hAnsi="Times New Roman" w:cs="Times New Roman"/>
                <w:b/>
                <w:bCs/>
                <w:sz w:val="20"/>
                <w:szCs w:val="20"/>
                <w:lang w:val="ro-RO"/>
              </w:rPr>
              <w:t>66.</w:t>
            </w:r>
            <w:r w:rsidRPr="002C32BA">
              <w:rPr>
                <w:rFonts w:ascii="Times New Roman" w:hAnsi="Times New Roman" w:cs="Times New Roman"/>
                <w:sz w:val="20"/>
                <w:szCs w:val="20"/>
                <w:lang w:val="ro-RO"/>
              </w:rPr>
              <w:t xml:space="preserve"> Investițiile în instrumente de tip credit </w:t>
            </w:r>
            <w:proofErr w:type="spellStart"/>
            <w:r w:rsidRPr="002C32BA">
              <w:rPr>
                <w:rFonts w:ascii="Times New Roman" w:hAnsi="Times New Roman" w:cs="Times New Roman"/>
                <w:sz w:val="20"/>
                <w:szCs w:val="20"/>
                <w:lang w:val="ro-RO"/>
              </w:rPr>
              <w:t>linked</w:t>
            </w:r>
            <w:proofErr w:type="spellEnd"/>
            <w:r w:rsidRPr="002C32BA">
              <w:rPr>
                <w:rFonts w:ascii="Times New Roman" w:hAnsi="Times New Roman" w:cs="Times New Roman"/>
                <w:sz w:val="20"/>
                <w:szCs w:val="20"/>
                <w:lang w:val="ro-RO"/>
              </w:rPr>
              <w:t xml:space="preserve"> note emise de banca creditoare pot fi tratate drept garanții reale sub formă de mijloace bănești în scopul calculării efectului protecției finanțate a creditului în conformitate cu prezentul capitol, cu condiția ca instrumentul de tip credit </w:t>
            </w:r>
            <w:proofErr w:type="spellStart"/>
            <w:r w:rsidRPr="002C32BA">
              <w:rPr>
                <w:rFonts w:ascii="Times New Roman" w:hAnsi="Times New Roman" w:cs="Times New Roman"/>
                <w:sz w:val="20"/>
                <w:szCs w:val="20"/>
                <w:lang w:val="ro-RO"/>
              </w:rPr>
              <w:t>default</w:t>
            </w:r>
            <w:proofErr w:type="spellEnd"/>
            <w:r w:rsidRPr="002C32BA">
              <w:rPr>
                <w:rFonts w:ascii="Times New Roman" w:hAnsi="Times New Roman" w:cs="Times New Roman"/>
                <w:sz w:val="20"/>
                <w:szCs w:val="20"/>
                <w:lang w:val="ro-RO"/>
              </w:rPr>
              <w:t xml:space="preserve"> </w:t>
            </w:r>
            <w:proofErr w:type="spellStart"/>
            <w:r w:rsidRPr="002C32BA">
              <w:rPr>
                <w:rFonts w:ascii="Times New Roman" w:hAnsi="Times New Roman" w:cs="Times New Roman"/>
                <w:sz w:val="20"/>
                <w:szCs w:val="20"/>
                <w:lang w:val="ro-RO"/>
              </w:rPr>
              <w:t>swap</w:t>
            </w:r>
            <w:proofErr w:type="spellEnd"/>
            <w:r w:rsidRPr="002C32BA">
              <w:rPr>
                <w:rFonts w:ascii="Times New Roman" w:hAnsi="Times New Roman" w:cs="Times New Roman"/>
                <w:sz w:val="20"/>
                <w:szCs w:val="20"/>
                <w:lang w:val="ro-RO"/>
              </w:rPr>
              <w:t xml:space="preserve"> inclus în instrumentul de tip credit </w:t>
            </w:r>
            <w:proofErr w:type="spellStart"/>
            <w:r w:rsidRPr="002C32BA">
              <w:rPr>
                <w:rFonts w:ascii="Times New Roman" w:hAnsi="Times New Roman" w:cs="Times New Roman"/>
                <w:sz w:val="20"/>
                <w:szCs w:val="20"/>
                <w:lang w:val="ro-RO"/>
              </w:rPr>
              <w:t>linked</w:t>
            </w:r>
            <w:proofErr w:type="spellEnd"/>
            <w:r w:rsidRPr="002C32BA">
              <w:rPr>
                <w:rFonts w:ascii="Times New Roman" w:hAnsi="Times New Roman" w:cs="Times New Roman"/>
                <w:sz w:val="20"/>
                <w:szCs w:val="20"/>
                <w:lang w:val="ro-RO"/>
              </w:rPr>
              <w:t xml:space="preserve"> note să fie calificat drept protecție nefinanțată a creditului eligibilă.</w:t>
            </w:r>
          </w:p>
          <w:p w14:paraId="393993BC" w14:textId="77777777" w:rsidR="00D62F3C" w:rsidRPr="002C32BA" w:rsidRDefault="00D62F3C" w:rsidP="00D62F3C">
            <w:pPr>
              <w:rPr>
                <w:rFonts w:ascii="Times New Roman" w:hAnsi="Times New Roman" w:cs="Times New Roman"/>
                <w:sz w:val="20"/>
                <w:szCs w:val="20"/>
                <w:lang w:val="ro-RO"/>
              </w:rPr>
            </w:pPr>
            <w:r w:rsidRPr="008D3689">
              <w:rPr>
                <w:rFonts w:ascii="Times New Roman" w:hAnsi="Times New Roman" w:cs="Times New Roman"/>
                <w:b/>
                <w:bCs/>
                <w:sz w:val="20"/>
                <w:szCs w:val="20"/>
                <w:lang w:val="ro-RO"/>
              </w:rPr>
              <w:t>67.</w:t>
            </w:r>
            <w:r w:rsidRPr="002C32BA">
              <w:rPr>
                <w:rFonts w:ascii="Times New Roman" w:hAnsi="Times New Roman" w:cs="Times New Roman"/>
                <w:sz w:val="20"/>
                <w:szCs w:val="20"/>
                <w:lang w:val="ro-RO"/>
              </w:rPr>
              <w:t xml:space="preserve"> Pentru a stabili dacă instrumentul de tip credit </w:t>
            </w:r>
            <w:proofErr w:type="spellStart"/>
            <w:r w:rsidRPr="002C32BA">
              <w:rPr>
                <w:rFonts w:ascii="Times New Roman" w:hAnsi="Times New Roman" w:cs="Times New Roman"/>
                <w:sz w:val="20"/>
                <w:szCs w:val="20"/>
                <w:lang w:val="ro-RO"/>
              </w:rPr>
              <w:t>default</w:t>
            </w:r>
            <w:proofErr w:type="spellEnd"/>
            <w:r w:rsidRPr="002C32BA">
              <w:rPr>
                <w:rFonts w:ascii="Times New Roman" w:hAnsi="Times New Roman" w:cs="Times New Roman"/>
                <w:sz w:val="20"/>
                <w:szCs w:val="20"/>
                <w:lang w:val="ro-RO"/>
              </w:rPr>
              <w:t xml:space="preserve"> </w:t>
            </w:r>
            <w:proofErr w:type="spellStart"/>
            <w:r w:rsidRPr="002C32BA">
              <w:rPr>
                <w:rFonts w:ascii="Times New Roman" w:hAnsi="Times New Roman" w:cs="Times New Roman"/>
                <w:sz w:val="20"/>
                <w:szCs w:val="20"/>
                <w:lang w:val="ro-RO"/>
              </w:rPr>
              <w:t>swap</w:t>
            </w:r>
            <w:proofErr w:type="spellEnd"/>
            <w:r w:rsidRPr="002C32BA">
              <w:rPr>
                <w:rFonts w:ascii="Times New Roman" w:hAnsi="Times New Roman" w:cs="Times New Roman"/>
                <w:sz w:val="20"/>
                <w:szCs w:val="20"/>
                <w:lang w:val="ro-RO"/>
              </w:rPr>
              <w:t xml:space="preserve"> inclus în instrumentul de tip credit </w:t>
            </w:r>
            <w:proofErr w:type="spellStart"/>
            <w:r w:rsidRPr="002C32BA">
              <w:rPr>
                <w:rFonts w:ascii="Times New Roman" w:hAnsi="Times New Roman" w:cs="Times New Roman"/>
                <w:sz w:val="20"/>
                <w:szCs w:val="20"/>
                <w:lang w:val="ro-RO"/>
              </w:rPr>
              <w:t>linked</w:t>
            </w:r>
            <w:proofErr w:type="spellEnd"/>
            <w:r w:rsidRPr="002C32BA">
              <w:rPr>
                <w:rFonts w:ascii="Times New Roman" w:hAnsi="Times New Roman" w:cs="Times New Roman"/>
                <w:sz w:val="20"/>
                <w:szCs w:val="20"/>
                <w:lang w:val="ro-RO"/>
              </w:rPr>
              <w:t xml:space="preserve"> note se califică drept protecție nefinanțată a creditului eligibilă, banca poate considera că condiția prevăzută la punctul 17 subpunctul 3) este îndeplinită.</w:t>
            </w:r>
          </w:p>
        </w:tc>
        <w:tc>
          <w:tcPr>
            <w:tcW w:w="562" w:type="pct"/>
          </w:tcPr>
          <w:p w14:paraId="70E564D1"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B5997BE" w14:textId="7B0F8658"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71F2A91"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215424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6F4853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219</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Compensarea bilanțieră</w:t>
            </w:r>
          </w:p>
          <w:p w14:paraId="0DA7001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Împrumuturile contractate și depozitele constituite la instituția creditoare care fac obiectul compensării bilanțiere trebuie tratate de către instituția respectivă drept garanții reale sub formă de numerar în scopul calculării efectului protecției finanțate a creditului pentru împrumuturile și depozitele instituției creditoare care fac obiectul compensării bilanțiere și sunt denominate în aceeași monedă.</w:t>
            </w:r>
          </w:p>
        </w:tc>
        <w:tc>
          <w:tcPr>
            <w:tcW w:w="1636" w:type="pct"/>
            <w:shd w:val="clear" w:color="auto" w:fill="auto"/>
          </w:tcPr>
          <w:p w14:paraId="5ABA86C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8D3689">
              <w:rPr>
                <w:rFonts w:ascii="Times New Roman" w:hAnsi="Times New Roman"/>
                <w:b/>
                <w:bCs/>
                <w:sz w:val="20"/>
                <w:szCs w:val="20"/>
                <w:lang w:val="ro-RO" w:eastAsia="ru-RU"/>
              </w:rPr>
              <w:t>65.</w:t>
            </w:r>
            <w:r w:rsidRPr="002C32BA">
              <w:rPr>
                <w:rFonts w:ascii="Times New Roman" w:hAnsi="Times New Roman"/>
                <w:sz w:val="20"/>
                <w:szCs w:val="20"/>
                <w:lang w:val="ro-RO" w:eastAsia="ru-RU"/>
              </w:rPr>
              <w:t xml:space="preserve"> Creditele acordate de către banca creditoare și depozitele constituite la banca creditoare care fac obiectul compensării bilanțiere trebuie tratate de către banca respectivă drept garanții reale sub formă de mijloace bănești în scopul calculării efectului protecției finanțate a creditului pentru acele credite și depozite ale băncii creditoare ce fac obiectul compensării bilanțiere care sunt exprimate în aceeași monedă.</w:t>
            </w:r>
          </w:p>
        </w:tc>
        <w:tc>
          <w:tcPr>
            <w:tcW w:w="562" w:type="pct"/>
          </w:tcPr>
          <w:p w14:paraId="40D0A09C"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1EAE5C3D" w14:textId="66E90350"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5A75C2B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857B45C" w14:textId="6B819CD2" w:rsidR="0084595E" w:rsidRPr="0084595E" w:rsidRDefault="0084595E" w:rsidP="00D62F3C">
            <w:pPr>
              <w:pStyle w:val="CM4"/>
              <w:tabs>
                <w:tab w:val="left" w:pos="150"/>
              </w:tabs>
              <w:ind w:left="-43"/>
              <w:jc w:val="both"/>
              <w:rPr>
                <w:rFonts w:ascii="Times New Roman" w:hAnsi="Times New Roman"/>
                <w:sz w:val="20"/>
                <w:szCs w:val="20"/>
                <w:lang w:val="ro-RO" w:eastAsia="ru-RU"/>
              </w:rPr>
            </w:pPr>
            <w:r>
              <w:rPr>
                <w:rFonts w:ascii="Times New Roman" w:hAnsi="Times New Roman"/>
                <w:sz w:val="20"/>
                <w:szCs w:val="20"/>
                <w:lang w:val="ro-RO" w:eastAsia="ru-RU"/>
              </w:rPr>
              <w:t>M17</w:t>
            </w:r>
          </w:p>
          <w:p w14:paraId="249CD837" w14:textId="641803D3"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220</w:t>
            </w:r>
            <w:r w:rsidRPr="002C32BA">
              <w:rPr>
                <w:rFonts w:ascii="Times New Roman" w:hAnsi="Times New Roman"/>
                <w:iCs/>
                <w:sz w:val="20"/>
                <w:szCs w:val="20"/>
                <w:lang w:val="ro-RO" w:eastAsia="ru-RU"/>
              </w:rPr>
              <w:t xml:space="preserve"> </w:t>
            </w:r>
            <w:r w:rsidR="0084595E" w:rsidRPr="0084595E">
              <w:rPr>
                <w:rFonts w:ascii="Times New Roman" w:hAnsi="Times New Roman"/>
                <w:b/>
                <w:iCs/>
                <w:sz w:val="20"/>
                <w:szCs w:val="20"/>
                <w:lang w:val="ro-RO" w:eastAsia="ru-RU"/>
              </w:rPr>
              <w:t>Utilizarea abordării bazate pe ajustări de volatilitate reglementate în cazul acordurilor-cadru de compensare</w:t>
            </w:r>
          </w:p>
          <w:p w14:paraId="456A4222" w14:textId="4A99531E"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(1) </w:t>
            </w:r>
            <w:r w:rsidR="0084595E" w:rsidRPr="0084595E">
              <w:rPr>
                <w:rFonts w:ascii="Times New Roman" w:hAnsi="Times New Roman"/>
                <w:iCs/>
                <w:sz w:val="20"/>
                <w:szCs w:val="20"/>
                <w:lang w:val="ro-RO" w:eastAsia="ru-RU"/>
              </w:rPr>
              <w:t>Instituțiile care calculează „valoarea ajustată integral a expunerii” (E *) pentru expunerile care fac obiectul unui acord-cadru de compensare eligibil care acoperă operațiunile de finanțare prin instrumente financiare sau alte operațiuni ajustate la condițiile pieței de capital calculează ajustările de volatilitate pe care trebuie să le aplice utilizând abordarea bazată pe ajustări de volatilitate reglementate prevăzută la articolele 223-227 pentru metoda extinsă a garanțiilor financiare.</w:t>
            </w:r>
          </w:p>
        </w:tc>
        <w:tc>
          <w:tcPr>
            <w:tcW w:w="1636" w:type="pct"/>
            <w:shd w:val="clear" w:color="auto" w:fill="auto"/>
          </w:tcPr>
          <w:p w14:paraId="1877F722" w14:textId="77777777" w:rsidR="00D62F3C" w:rsidRPr="002C32BA" w:rsidRDefault="00D62F3C" w:rsidP="0084595E">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Secțiunea a 2-a.  Utilizarea abordării bazate pe ajustări de volatilitate reglementate în cazul acordurilor-cadru de compensare</w:t>
            </w:r>
          </w:p>
          <w:p w14:paraId="0350F456" w14:textId="77777777" w:rsidR="00D62F3C" w:rsidRDefault="00D62F3C" w:rsidP="0084595E">
            <w:pPr>
              <w:pStyle w:val="CM4"/>
              <w:tabs>
                <w:tab w:val="left" w:pos="150"/>
              </w:tabs>
              <w:ind w:left="-36"/>
              <w:jc w:val="both"/>
              <w:rPr>
                <w:rFonts w:ascii="Times New Roman" w:hAnsi="Times New Roman"/>
                <w:color w:val="000000" w:themeColor="text1"/>
                <w:sz w:val="20"/>
                <w:szCs w:val="20"/>
                <w:lang w:val="ro-RO" w:eastAsia="ro-MD"/>
              </w:rPr>
            </w:pPr>
            <w:r w:rsidRPr="008D3689">
              <w:rPr>
                <w:rFonts w:ascii="Times New Roman" w:hAnsi="Times New Roman"/>
                <w:b/>
                <w:bCs/>
                <w:sz w:val="20"/>
                <w:szCs w:val="20"/>
                <w:lang w:val="ro-RO" w:eastAsia="ru-RU"/>
              </w:rPr>
              <w:t>68.</w:t>
            </w:r>
            <w:r w:rsidRPr="002C32BA">
              <w:rPr>
                <w:rFonts w:ascii="Times New Roman" w:hAnsi="Times New Roman"/>
                <w:sz w:val="20"/>
                <w:szCs w:val="20"/>
                <w:lang w:val="ro-RO" w:eastAsia="ru-RU"/>
              </w:rPr>
              <w:t xml:space="preserve"> </w:t>
            </w:r>
            <w:r w:rsidR="0084595E" w:rsidRPr="005C3300">
              <w:rPr>
                <w:rFonts w:ascii="Times New Roman" w:hAnsi="Times New Roman"/>
                <w:color w:val="000000" w:themeColor="text1"/>
                <w:sz w:val="20"/>
                <w:szCs w:val="20"/>
                <w:lang w:val="ro-RO" w:eastAsia="ro-MD"/>
              </w:rPr>
              <w:t xml:space="preserve">Atunci când băncile calculează valoarea ajustată integral a expunerii (E*) pentru expunerile care fac obiectul unui acord-cadru de compensare eligibil ce acoperă </w:t>
            </w:r>
            <w:bookmarkStart w:id="25" w:name="_Hlk216097582"/>
            <w:r w:rsidR="0084595E" w:rsidRPr="005C3300">
              <w:rPr>
                <w:rFonts w:ascii="Times New Roman" w:hAnsi="Times New Roman"/>
                <w:color w:val="000000" w:themeColor="text1"/>
                <w:sz w:val="20"/>
                <w:szCs w:val="20"/>
                <w:lang w:val="ro-RO" w:eastAsia="ro-MD"/>
              </w:rPr>
              <w:t>operațiunile de finanțare prin instrumente financiare</w:t>
            </w:r>
            <w:bookmarkEnd w:id="25"/>
            <w:r w:rsidR="0084595E" w:rsidRPr="005C3300">
              <w:rPr>
                <w:rFonts w:ascii="Times New Roman" w:hAnsi="Times New Roman"/>
                <w:color w:val="000000" w:themeColor="text1"/>
                <w:sz w:val="20"/>
                <w:szCs w:val="20"/>
                <w:lang w:val="ro-RO" w:eastAsia="ro-MD"/>
              </w:rPr>
              <w:t xml:space="preserve"> sau alte operațiuni ajustate la condițiile pieței de capital, acestea trebuie să calculeze ajustările de volatilitate pe care trebuie să le aplice, utilizând abordarea bazată pe ajustări de volatilitate reglementate, astfel cum se prevede la secțiunile 5-7 din prezentul capitol pentru metoda extinsă a garanțiilor financiare.</w:t>
            </w:r>
          </w:p>
          <w:p w14:paraId="27149063" w14:textId="0470BFF3" w:rsidR="0084595E" w:rsidRPr="0084595E" w:rsidRDefault="0084595E" w:rsidP="0084595E">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5AF3DE29"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89EAD93" w14:textId="39116FD1"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46A57DA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72BB7F9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În vederea calculării E*, instituțiile procedează astfel:</w:t>
            </w:r>
          </w:p>
          <w:p w14:paraId="107AF1D0" w14:textId="7DB1B89D"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(a) calculează poziția netă în fiecare grup de titluri sau în fiecare tip de marfă prin deducerea cuantumului de la punctul (ii) din cuantumul de la punctul (i):</w:t>
            </w:r>
          </w:p>
          <w:p w14:paraId="3514AB79" w14:textId="3B350FF3"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(i) valoarea totală a unui grup de titluri sau de mărfuri de același tip, date cu împrumut, vândute sau furnizate în cadrul acordului-cadru de compensare;</w:t>
            </w:r>
          </w:p>
          <w:p w14:paraId="62B3D3A3" w14:textId="57F05D38"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(ii) valoarea totală a unui grup de titluri sau de mărfuri de același tip, luate cu împrumut, achiziționate sau primite în cadrul acordului-cadru de compensare;</w:t>
            </w:r>
          </w:p>
          <w:p w14:paraId="1ACA99CC" w14:textId="246F2BCF"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(b) calculează poziția netă în fiecare monedă, alta decât moneda de decontare a acordului-cadru de compensare, prin deducerea cuantumului de la punctul (ii) din cuantumul de la punctul (i):</w:t>
            </w:r>
          </w:p>
          <w:p w14:paraId="29490B37" w14:textId="7AC2F648"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(i) suma dintre valoarea totală a titlurilor denominate în această monedă date cu împrumut, vândute sau furnizate în cadrul acordului-cadru de compensare și cuantumul numerarului în moneda respectivă dat cu împrumut sau transferat în cadrul acordului respectiv;</w:t>
            </w:r>
          </w:p>
          <w:p w14:paraId="1FBC3F96" w14:textId="106E83CC"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(ii) suma dintre valoarea totală a titlurilor denominate în această monedă luate cu împrumut, achiziționate sau primite în cadrul acordului-cadru de compensare și cuantumul numerarului în moneda respectivă luat cu împrumut sau primit în cadrul acordului respectiv;</w:t>
            </w:r>
          </w:p>
          <w:p w14:paraId="19E8BE60" w14:textId="77777777"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▼M17</w:t>
            </w:r>
          </w:p>
          <w:p w14:paraId="729D3BAE" w14:textId="54ED8914"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(c) aplică valoarea ajustării de volatilitate sau, dacă este cazul, valoarea absolută a ajustării de volatilitate adecvate pentru un anumit grup de titluri de valoare sau pentru un anumit tip de mărfuri, valorii absolute a poziției nete pozitive sau negative pe titlurile din grupul respectiv de titluri de valoare sau pe mărfurile din acel tip de mărfuri;</w:t>
            </w:r>
          </w:p>
          <w:p w14:paraId="5CC9A6C1" w14:textId="77777777" w:rsidR="00456F35" w:rsidRPr="00456F35"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▼C2</w:t>
            </w:r>
          </w:p>
          <w:p w14:paraId="1815D5EC" w14:textId="37B0B077" w:rsidR="00D62F3C" w:rsidRPr="002C32BA" w:rsidRDefault="00456F35" w:rsidP="00456F35">
            <w:pPr>
              <w:pStyle w:val="CM4"/>
              <w:tabs>
                <w:tab w:val="left" w:pos="150"/>
              </w:tabs>
              <w:ind w:left="-43"/>
              <w:jc w:val="both"/>
              <w:rPr>
                <w:rFonts w:ascii="Times New Roman" w:hAnsi="Times New Roman"/>
                <w:iCs/>
                <w:sz w:val="20"/>
                <w:szCs w:val="20"/>
                <w:lang w:val="ro-RO" w:eastAsia="ru-RU"/>
              </w:rPr>
            </w:pPr>
            <w:r w:rsidRPr="00456F35">
              <w:rPr>
                <w:rFonts w:ascii="Times New Roman" w:hAnsi="Times New Roman"/>
                <w:iCs/>
                <w:sz w:val="20"/>
                <w:szCs w:val="20"/>
                <w:lang w:val="ro-RO" w:eastAsia="ru-RU"/>
              </w:rPr>
              <w:t>(d) aplică ajustarea de volatilitate corespunzătoare riscului cursului de schimb (</w:t>
            </w:r>
            <w:proofErr w:type="spellStart"/>
            <w:r w:rsidRPr="00456F35">
              <w:rPr>
                <w:rFonts w:ascii="Times New Roman" w:hAnsi="Times New Roman"/>
                <w:iCs/>
                <w:sz w:val="20"/>
                <w:szCs w:val="20"/>
                <w:lang w:val="ro-RO" w:eastAsia="ru-RU"/>
              </w:rPr>
              <w:t>fx</w:t>
            </w:r>
            <w:proofErr w:type="spellEnd"/>
            <w:r w:rsidRPr="00456F35">
              <w:rPr>
                <w:rFonts w:ascii="Times New Roman" w:hAnsi="Times New Roman"/>
                <w:iCs/>
                <w:sz w:val="20"/>
                <w:szCs w:val="20"/>
                <w:lang w:val="ro-RO" w:eastAsia="ru-RU"/>
              </w:rPr>
              <w:t>) poziției nete pozitive sau negative în fiecare monedă, alta decât moneda de decontare a acordului-cadru de compensare.</w:t>
            </w:r>
          </w:p>
        </w:tc>
        <w:tc>
          <w:tcPr>
            <w:tcW w:w="1636" w:type="pct"/>
            <w:shd w:val="clear" w:color="auto" w:fill="auto"/>
          </w:tcPr>
          <w:p w14:paraId="3C8FA550" w14:textId="77777777" w:rsidR="00456F35" w:rsidRPr="005C3300" w:rsidRDefault="00456F35" w:rsidP="00456F35">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69.</w:t>
            </w:r>
            <w:r w:rsidRPr="005C3300">
              <w:rPr>
                <w:rFonts w:ascii="Times New Roman" w:eastAsia="Times New Roman" w:hAnsi="Times New Roman" w:cs="Times New Roman"/>
                <w:color w:val="000000" w:themeColor="text1"/>
                <w:sz w:val="20"/>
                <w:szCs w:val="20"/>
                <w:lang w:val="ro-RO" w:eastAsia="ro-MD"/>
              </w:rPr>
              <w:t xml:space="preserve"> În vederea calculării valorii ajustate integral a expunerii (E*), băncile trebuie să procedeze după cum urmează:</w:t>
            </w:r>
          </w:p>
          <w:p w14:paraId="6DC5CC65" w14:textId="77777777" w:rsidR="00456F35" w:rsidRPr="005C3300" w:rsidRDefault="00456F35" w:rsidP="00456F35">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 xml:space="preserve">1) să calculeze poziția netă în fiecare grup de valori mobiliare sau în fiecare tip de marfă prin scăderea sumei indicate la </w:t>
            </w:r>
            <w:proofErr w:type="spellStart"/>
            <w:r w:rsidRPr="005C3300">
              <w:rPr>
                <w:rFonts w:ascii="Times New Roman" w:eastAsia="Times New Roman" w:hAnsi="Times New Roman" w:cs="Times New Roman"/>
                <w:color w:val="000000" w:themeColor="text1"/>
                <w:sz w:val="20"/>
                <w:szCs w:val="20"/>
                <w:lang w:val="ro-RO" w:eastAsia="ro-MD"/>
              </w:rPr>
              <w:t>lit.b</w:t>
            </w:r>
            <w:proofErr w:type="spellEnd"/>
            <w:r w:rsidRPr="005C3300">
              <w:rPr>
                <w:rFonts w:ascii="Times New Roman" w:eastAsia="Times New Roman" w:hAnsi="Times New Roman" w:cs="Times New Roman"/>
                <w:color w:val="000000" w:themeColor="text1"/>
                <w:sz w:val="20"/>
                <w:szCs w:val="20"/>
                <w:lang w:val="ro-RO" w:eastAsia="ro-MD"/>
              </w:rPr>
              <w:t xml:space="preserve">) din suma menționată la </w:t>
            </w:r>
            <w:proofErr w:type="spellStart"/>
            <w:r w:rsidRPr="005C3300">
              <w:rPr>
                <w:rFonts w:ascii="Times New Roman" w:eastAsia="Times New Roman" w:hAnsi="Times New Roman" w:cs="Times New Roman"/>
                <w:color w:val="000000" w:themeColor="text1"/>
                <w:sz w:val="20"/>
                <w:szCs w:val="20"/>
                <w:lang w:val="ro-RO" w:eastAsia="ro-MD"/>
              </w:rPr>
              <w:t>lit.a</w:t>
            </w:r>
            <w:proofErr w:type="spellEnd"/>
            <w:r w:rsidRPr="005C3300">
              <w:rPr>
                <w:rFonts w:ascii="Times New Roman" w:eastAsia="Times New Roman" w:hAnsi="Times New Roman" w:cs="Times New Roman"/>
                <w:color w:val="000000" w:themeColor="text1"/>
                <w:sz w:val="20"/>
                <w:szCs w:val="20"/>
                <w:lang w:val="ro-RO" w:eastAsia="ro-MD"/>
              </w:rPr>
              <w:t>) din prezentul subpunct:</w:t>
            </w:r>
          </w:p>
          <w:p w14:paraId="583F32D4" w14:textId="77777777" w:rsidR="00456F35" w:rsidRPr="005C3300" w:rsidRDefault="00456F35" w:rsidP="00456F35">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a) valoarea totală a unui grup de valori mobiliare sau de mărfuri de același tip, date cu împrumut, vândute sau furnizate în cadrul acordului-cadru de compensare;</w:t>
            </w:r>
          </w:p>
          <w:p w14:paraId="0B8DDDD7" w14:textId="044875CF" w:rsidR="00456F35" w:rsidRPr="005C3300" w:rsidRDefault="00456F35" w:rsidP="00456F35">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b) valoarea totală a unui grup de valori mobiliare sau de mărfuri de același tip, luate cu împrumut, achiziționate sau primite în cadrul acordului-cadru de compensare;</w:t>
            </w:r>
          </w:p>
          <w:p w14:paraId="5C842705" w14:textId="77777777" w:rsidR="00456F35" w:rsidRPr="005C3300" w:rsidRDefault="00456F35" w:rsidP="00456F35">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 xml:space="preserve">2) să calculeze poziția netă în fiecare monedă, alta decât moneda de decontare a acordului-cadru de compensare, prin scăderea sumei indicate la </w:t>
            </w:r>
            <w:proofErr w:type="spellStart"/>
            <w:r w:rsidRPr="005C3300">
              <w:rPr>
                <w:rFonts w:ascii="Times New Roman" w:eastAsia="Times New Roman" w:hAnsi="Times New Roman" w:cs="Times New Roman"/>
                <w:color w:val="000000" w:themeColor="text1"/>
                <w:sz w:val="20"/>
                <w:szCs w:val="20"/>
                <w:lang w:val="ro-RO" w:eastAsia="ro-MD"/>
              </w:rPr>
              <w:t>lit.b</w:t>
            </w:r>
            <w:proofErr w:type="spellEnd"/>
            <w:r w:rsidRPr="005C3300">
              <w:rPr>
                <w:rFonts w:ascii="Times New Roman" w:eastAsia="Times New Roman" w:hAnsi="Times New Roman" w:cs="Times New Roman"/>
                <w:color w:val="000000" w:themeColor="text1"/>
                <w:sz w:val="20"/>
                <w:szCs w:val="20"/>
                <w:lang w:val="ro-RO" w:eastAsia="ro-MD"/>
              </w:rPr>
              <w:t xml:space="preserve">) din suma menționată la </w:t>
            </w:r>
            <w:proofErr w:type="spellStart"/>
            <w:r w:rsidRPr="005C3300">
              <w:rPr>
                <w:rFonts w:ascii="Times New Roman" w:eastAsia="Times New Roman" w:hAnsi="Times New Roman" w:cs="Times New Roman"/>
                <w:color w:val="000000" w:themeColor="text1"/>
                <w:sz w:val="20"/>
                <w:szCs w:val="20"/>
                <w:lang w:val="ro-RO" w:eastAsia="ro-MD"/>
              </w:rPr>
              <w:t>lit.a</w:t>
            </w:r>
            <w:proofErr w:type="spellEnd"/>
            <w:r w:rsidRPr="005C3300">
              <w:rPr>
                <w:rFonts w:ascii="Times New Roman" w:eastAsia="Times New Roman" w:hAnsi="Times New Roman" w:cs="Times New Roman"/>
                <w:color w:val="000000" w:themeColor="text1"/>
                <w:sz w:val="20"/>
                <w:szCs w:val="20"/>
                <w:lang w:val="ro-RO" w:eastAsia="ro-MD"/>
              </w:rPr>
              <w:t>) din prezentul subpunct:</w:t>
            </w:r>
          </w:p>
          <w:p w14:paraId="54D9C135" w14:textId="77777777" w:rsidR="00456F35" w:rsidRPr="005C3300" w:rsidRDefault="00456F35" w:rsidP="00456F35">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a) suma dintre valoarea totală a valorilor mobiliare exprimate în anumită monedă date cu împrumut, vândute sau furnizate în cadrul acordului-cadru de compensare și suma mijloacelor bănești în moneda respectivă date cu împrumut sau transferate în cadrul acordului respectiv;</w:t>
            </w:r>
          </w:p>
          <w:p w14:paraId="40D5F8A7" w14:textId="794A99B3" w:rsidR="00456F35" w:rsidRPr="005C3300" w:rsidRDefault="00456F35" w:rsidP="00456F35">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b) suma dintre valoarea totală a valorilor mobiliare exprimate în anumită monedă luate cu împrumut, achiziționate sau primite în cadrul acordului-cadru de compensare și suma mijloacelor bănești în moneda respectivă luate cu împrumut sau primite în cadrul acordului respectiv;</w:t>
            </w:r>
          </w:p>
          <w:p w14:paraId="6BB0F5CF" w14:textId="3DF753ED" w:rsidR="00456F35" w:rsidRPr="005C3300" w:rsidRDefault="00456F35" w:rsidP="00456F35">
            <w:pPr>
              <w:spacing w:after="0" w:line="240" w:lineRule="auto"/>
              <w:jc w:val="both"/>
              <w:rPr>
                <w:rFonts w:ascii="Times New Roman" w:eastAsia="Times New Roman" w:hAnsi="Times New Roman" w:cs="Times New Roman"/>
                <w:color w:val="000000" w:themeColor="text1"/>
                <w:sz w:val="20"/>
                <w:szCs w:val="20"/>
                <w:lang w:val="ro-RO" w:eastAsia="ro-MD"/>
              </w:rPr>
            </w:pPr>
            <w:bookmarkStart w:id="26" w:name="_Hlk216097635"/>
            <w:r w:rsidRPr="005C3300">
              <w:rPr>
                <w:rFonts w:ascii="Times New Roman" w:eastAsia="Times New Roman" w:hAnsi="Times New Roman" w:cs="Times New Roman"/>
                <w:color w:val="000000" w:themeColor="text1"/>
                <w:sz w:val="20"/>
                <w:szCs w:val="20"/>
                <w:lang w:val="ro-RO" w:eastAsia="ro-MD"/>
              </w:rPr>
              <w:t>3) să aplice valoarea ajustării de volatilitate sau, dacă este cazul, valoarea absolută a ajustării de volatilitate adecvate unui anumit grup de valori mobiliare sau pentru un anumit tip de mărfuri, valorii absolute a poziției nete pozitive sau negative în valorile mobiliare din grupul respectiv de valori mobiliare, sau pe mărfurile din acel tip de mărfuri</w:t>
            </w:r>
            <w:bookmarkEnd w:id="26"/>
            <w:r w:rsidRPr="005C3300">
              <w:rPr>
                <w:rFonts w:ascii="Times New Roman" w:eastAsia="Times New Roman" w:hAnsi="Times New Roman" w:cs="Times New Roman"/>
                <w:color w:val="000000" w:themeColor="text1"/>
                <w:sz w:val="20"/>
                <w:szCs w:val="20"/>
                <w:lang w:val="ro-RO" w:eastAsia="ro-MD"/>
              </w:rPr>
              <w:t>;</w:t>
            </w:r>
          </w:p>
          <w:p w14:paraId="1ACBF3FC" w14:textId="77777777" w:rsidR="00D62F3C" w:rsidRDefault="00456F35" w:rsidP="00456F35">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color w:val="000000" w:themeColor="text1"/>
                <w:sz w:val="20"/>
                <w:szCs w:val="20"/>
                <w:lang w:val="ro-RO" w:eastAsia="ro-MD"/>
              </w:rPr>
              <w:t>4) să aplice ajustarea de volatilitate pentru riscul valutar (</w:t>
            </w:r>
            <w:proofErr w:type="spellStart"/>
            <w:r w:rsidRPr="005C3300">
              <w:rPr>
                <w:rFonts w:ascii="Times New Roman" w:hAnsi="Times New Roman"/>
                <w:color w:val="000000" w:themeColor="text1"/>
                <w:sz w:val="20"/>
                <w:szCs w:val="20"/>
                <w:lang w:val="ro-RO" w:eastAsia="ro-MD"/>
              </w:rPr>
              <w:t>fx</w:t>
            </w:r>
            <w:proofErr w:type="spellEnd"/>
            <w:r w:rsidRPr="005C3300">
              <w:rPr>
                <w:rFonts w:ascii="Times New Roman" w:hAnsi="Times New Roman"/>
                <w:color w:val="000000" w:themeColor="text1"/>
                <w:sz w:val="20"/>
                <w:szCs w:val="20"/>
                <w:lang w:val="ro-RO" w:eastAsia="ro-MD"/>
              </w:rPr>
              <w:t>) poziției nete pozitive sau negative în fiecare monedă, alta decât moneda de decontare a acordului-cadru de compensare.</w:t>
            </w:r>
          </w:p>
          <w:p w14:paraId="0692BE95" w14:textId="2C074036" w:rsidR="00456F35" w:rsidRPr="00456F35" w:rsidRDefault="00456F35" w:rsidP="00456F35">
            <w:pPr>
              <w:rPr>
                <w:lang w:val="ro-RO" w:eastAsia="ro-MD"/>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46A60404"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9F4D588" w14:textId="0640E221"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70B0B891"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2A4B67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4B084F8" w14:textId="77777777" w:rsidR="005A06D3" w:rsidRPr="005C3300" w:rsidRDefault="005A06D3" w:rsidP="005A06D3">
            <w:pPr>
              <w:shd w:val="clear" w:color="auto" w:fill="FFFFFF"/>
              <w:spacing w:before="120" w:after="0" w:line="312" w:lineRule="atLeast"/>
              <w:rPr>
                <w:rFonts w:ascii="Times New Roman" w:eastAsia="Times New Roman" w:hAnsi="Times New Roman" w:cs="Times New Roman"/>
                <w:b/>
                <w:bCs/>
                <w:color w:val="000000" w:themeColor="text1"/>
                <w:sz w:val="20"/>
                <w:szCs w:val="20"/>
                <w:lang w:eastAsia="ro-MD"/>
              </w:rPr>
            </w:pPr>
            <w:hyperlink r:id="rId24" w:tooltip="32024R1623: REPLACED" w:history="1">
              <w:r w:rsidRPr="005C3300">
                <w:rPr>
                  <w:rFonts w:ascii="Times New Roman" w:eastAsia="Times New Roman" w:hAnsi="Times New Roman" w:cs="Times New Roman"/>
                  <w:b/>
                  <w:bCs/>
                  <w:color w:val="000000" w:themeColor="text1"/>
                  <w:sz w:val="20"/>
                  <w:szCs w:val="20"/>
                  <w:lang w:eastAsia="ro-MD"/>
                </w:rPr>
                <w:t>▼M17</w:t>
              </w:r>
            </w:hyperlink>
          </w:p>
          <w:p w14:paraId="42E9FB88" w14:textId="77777777" w:rsidR="005A06D3" w:rsidRPr="005C3300" w:rsidRDefault="005A06D3" w:rsidP="005A06D3">
            <w:pPr>
              <w:shd w:val="clear" w:color="auto" w:fill="FFFFFF"/>
              <w:spacing w:after="0" w:line="240" w:lineRule="auto"/>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(3)   </w:t>
            </w:r>
            <w:proofErr w:type="spellStart"/>
            <w:r w:rsidRPr="005C3300">
              <w:rPr>
                <w:rFonts w:ascii="Times New Roman" w:eastAsia="Times New Roman" w:hAnsi="Times New Roman" w:cs="Times New Roman"/>
                <w:color w:val="000000" w:themeColor="text1"/>
                <w:sz w:val="20"/>
                <w:szCs w:val="20"/>
                <w:lang w:eastAsia="ro-MD"/>
              </w:rPr>
              <w:t>Instituțiile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calculează</w:t>
            </w:r>
            <w:proofErr w:type="spellEnd"/>
            <w:r w:rsidRPr="005C3300">
              <w:rPr>
                <w:rFonts w:ascii="Times New Roman" w:eastAsia="Times New Roman" w:hAnsi="Times New Roman" w:cs="Times New Roman"/>
                <w:color w:val="000000" w:themeColor="text1"/>
                <w:sz w:val="20"/>
                <w:szCs w:val="20"/>
                <w:lang w:eastAsia="ro-MD"/>
              </w:rPr>
              <w:t xml:space="preserve"> E * conform </w:t>
            </w:r>
            <w:proofErr w:type="spellStart"/>
            <w:r w:rsidRPr="005C3300">
              <w:rPr>
                <w:rFonts w:ascii="Times New Roman" w:eastAsia="Times New Roman" w:hAnsi="Times New Roman" w:cs="Times New Roman"/>
                <w:color w:val="000000" w:themeColor="text1"/>
                <w:sz w:val="20"/>
                <w:szCs w:val="20"/>
                <w:lang w:eastAsia="ro-MD"/>
              </w:rPr>
              <w:t>următoarei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formule</w:t>
            </w:r>
            <w:proofErr w:type="spellEnd"/>
            <w:r w:rsidRPr="005C3300">
              <w:rPr>
                <w:rFonts w:ascii="Times New Roman" w:eastAsia="Times New Roman" w:hAnsi="Times New Roman" w:cs="Times New Roman"/>
                <w:color w:val="000000" w:themeColor="text1"/>
                <w:sz w:val="20"/>
                <w:szCs w:val="20"/>
                <w:lang w:eastAsia="ro-MD"/>
              </w:rPr>
              <w:t>:</w:t>
            </w:r>
          </w:p>
          <w:p w14:paraId="2563574A" w14:textId="77777777" w:rsidR="005A06D3" w:rsidRPr="005C3300" w:rsidRDefault="005A06D3" w:rsidP="005A06D3">
            <w:pPr>
              <w:shd w:val="clear" w:color="auto" w:fill="FFFFFF"/>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16A7FF42" wp14:editId="45F84DA2">
                  <wp:extent cx="5495925" cy="771525"/>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95925" cy="771525"/>
                          </a:xfrm>
                          <a:prstGeom prst="rect">
                            <a:avLst/>
                          </a:prstGeom>
                          <a:noFill/>
                          <a:ln>
                            <a:noFill/>
                          </a:ln>
                        </pic:spPr>
                      </pic:pic>
                    </a:graphicData>
                  </a:graphic>
                </wp:inline>
              </w:drawing>
            </w:r>
          </w:p>
          <w:p w14:paraId="6F188547" w14:textId="77777777" w:rsidR="005A06D3" w:rsidRPr="005C3300" w:rsidRDefault="005A06D3" w:rsidP="005A06D3">
            <w:pPr>
              <w:shd w:val="clear" w:color="auto" w:fill="FFFFFF"/>
              <w:spacing w:before="120" w:after="0" w:line="312" w:lineRule="atLeast"/>
              <w:jc w:val="both"/>
              <w:rPr>
                <w:rFonts w:ascii="Times New Roman" w:eastAsia="Times New Roman" w:hAnsi="Times New Roman" w:cs="Times New Roman"/>
                <w:color w:val="000000" w:themeColor="text1"/>
                <w:sz w:val="20"/>
                <w:szCs w:val="20"/>
                <w:lang w:eastAsia="ro-MD"/>
              </w:rPr>
            </w:pPr>
            <w:proofErr w:type="spellStart"/>
            <w:r w:rsidRPr="005C3300">
              <w:rPr>
                <w:rFonts w:ascii="Times New Roman" w:eastAsia="Times New Roman" w:hAnsi="Times New Roman" w:cs="Times New Roman"/>
                <w:color w:val="000000" w:themeColor="text1"/>
                <w:sz w:val="20"/>
                <w:szCs w:val="20"/>
                <w:lang w:eastAsia="ro-MD"/>
              </w:rPr>
              <w:t>unde</w:t>
            </w:r>
            <w:proofErr w:type="spellEnd"/>
            <w:r w:rsidRPr="005C3300">
              <w:rPr>
                <w:rFonts w:ascii="Times New Roman" w:eastAsia="Times New Roman" w:hAnsi="Times New Roman" w:cs="Times New Roman"/>
                <w:color w:val="000000" w:themeColor="text1"/>
                <w:sz w:val="20"/>
                <w:szCs w:val="20"/>
                <w:lang w:eastAsia="ro-MD"/>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5300"/>
            </w:tblGrid>
            <w:tr w:rsidR="005A06D3" w:rsidRPr="005C3300" w14:paraId="68A88CC6" w14:textId="77777777" w:rsidTr="00523B85">
              <w:tc>
                <w:tcPr>
                  <w:tcW w:w="327" w:type="dxa"/>
                  <w:shd w:val="clear" w:color="auto" w:fill="FFFFFF"/>
                  <w:hideMark/>
                </w:tcPr>
                <w:p w14:paraId="1ABDD501"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i</w:t>
                  </w:r>
                </w:p>
              </w:tc>
              <w:tc>
                <w:tcPr>
                  <w:tcW w:w="9028" w:type="dxa"/>
                  <w:shd w:val="clear" w:color="auto" w:fill="FFFFFF"/>
                  <w:hideMark/>
                </w:tcPr>
                <w:p w14:paraId="7FA14387"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indicele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desemnează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titlurile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pozițiile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numerar</w:t>
                  </w:r>
                  <w:proofErr w:type="spellEnd"/>
                  <w:r w:rsidRPr="005C3300">
                    <w:rPr>
                      <w:rFonts w:ascii="Times New Roman" w:eastAsia="Times New Roman" w:hAnsi="Times New Roman" w:cs="Times New Roman"/>
                      <w:color w:val="000000" w:themeColor="text1"/>
                      <w:sz w:val="20"/>
                      <w:szCs w:val="20"/>
                      <w:lang w:eastAsia="ro-MD"/>
                    </w:rPr>
                    <w:t xml:space="preserve"> separate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care sunt date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vândute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acordul</w:t>
                  </w:r>
                  <w:proofErr w:type="spellEnd"/>
                  <w:r w:rsidRPr="005C3300">
                    <w:rPr>
                      <w:rFonts w:ascii="Times New Roman" w:eastAsia="Times New Roman" w:hAnsi="Times New Roman" w:cs="Times New Roman"/>
                      <w:color w:val="000000" w:themeColor="text1"/>
                      <w:sz w:val="20"/>
                      <w:szCs w:val="20"/>
                      <w:lang w:eastAsia="ro-MD"/>
                    </w:rPr>
                    <w:t xml:space="preserve"> de a </w:t>
                  </w:r>
                  <w:proofErr w:type="spellStart"/>
                  <w:r w:rsidRPr="005C3300">
                    <w:rPr>
                      <w:rFonts w:ascii="Times New Roman" w:eastAsia="Times New Roman" w:hAnsi="Times New Roman" w:cs="Times New Roman"/>
                      <w:color w:val="000000" w:themeColor="text1"/>
                      <w:sz w:val="20"/>
                      <w:szCs w:val="20"/>
                      <w:lang w:eastAsia="ro-MD"/>
                    </w:rPr>
                    <w:t>răscumpăra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furnizate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instituție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contrapărții</w:t>
                  </w:r>
                  <w:proofErr w:type="spellEnd"/>
                  <w:r w:rsidRPr="005C3300">
                    <w:rPr>
                      <w:rFonts w:ascii="Times New Roman" w:eastAsia="Times New Roman" w:hAnsi="Times New Roman" w:cs="Times New Roman"/>
                      <w:color w:val="000000" w:themeColor="text1"/>
                      <w:sz w:val="20"/>
                      <w:szCs w:val="20"/>
                      <w:lang w:eastAsia="ro-MD"/>
                    </w:rPr>
                    <w:t>;</w:t>
                  </w:r>
                </w:p>
              </w:tc>
            </w:tr>
          </w:tbl>
          <w:p w14:paraId="252D7627" w14:textId="77777777" w:rsidR="005A06D3" w:rsidRPr="005C3300" w:rsidRDefault="005A06D3" w:rsidP="005A06D3">
            <w:pPr>
              <w:spacing w:after="0" w:line="240" w:lineRule="auto"/>
              <w:rPr>
                <w:rFonts w:ascii="Times New Roman" w:eastAsia="Times New Roman" w:hAnsi="Times New Roman" w:cs="Times New Roman"/>
                <w:vanish/>
                <w:color w:val="000000" w:themeColor="text1"/>
                <w:sz w:val="20"/>
                <w:szCs w:val="20"/>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293"/>
            </w:tblGrid>
            <w:tr w:rsidR="005A06D3" w:rsidRPr="005C3300" w14:paraId="56E64399" w14:textId="77777777" w:rsidTr="00414D3F">
              <w:tc>
                <w:tcPr>
                  <w:tcW w:w="339" w:type="dxa"/>
                  <w:shd w:val="clear" w:color="auto" w:fill="FFFFFF"/>
                  <w:hideMark/>
                </w:tcPr>
                <w:p w14:paraId="5C1A710F"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j</w:t>
                  </w:r>
                </w:p>
              </w:tc>
              <w:tc>
                <w:tcPr>
                  <w:tcW w:w="9016" w:type="dxa"/>
                  <w:shd w:val="clear" w:color="auto" w:fill="FFFFFF"/>
                  <w:hideMark/>
                </w:tcPr>
                <w:p w14:paraId="7D7043CE"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indicele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desemnează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titlurile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pozițiile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numerar</w:t>
                  </w:r>
                  <w:proofErr w:type="spellEnd"/>
                  <w:r w:rsidRPr="005C3300">
                    <w:rPr>
                      <w:rFonts w:ascii="Times New Roman" w:eastAsia="Times New Roman" w:hAnsi="Times New Roman" w:cs="Times New Roman"/>
                      <w:color w:val="000000" w:themeColor="text1"/>
                      <w:sz w:val="20"/>
                      <w:szCs w:val="20"/>
                      <w:lang w:eastAsia="ro-MD"/>
                    </w:rPr>
                    <w:t xml:space="preserve"> separate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care sunt </w:t>
                  </w:r>
                  <w:proofErr w:type="spellStart"/>
                  <w:r w:rsidRPr="005C3300">
                    <w:rPr>
                      <w:rFonts w:ascii="Times New Roman" w:eastAsia="Times New Roman" w:hAnsi="Times New Roman" w:cs="Times New Roman"/>
                      <w:color w:val="000000" w:themeColor="text1"/>
                      <w:sz w:val="20"/>
                      <w:szCs w:val="20"/>
                      <w:lang w:eastAsia="ro-MD"/>
                    </w:rPr>
                    <w:t>luate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achiziționate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acordul</w:t>
                  </w:r>
                  <w:proofErr w:type="spellEnd"/>
                  <w:r w:rsidRPr="005C3300">
                    <w:rPr>
                      <w:rFonts w:ascii="Times New Roman" w:eastAsia="Times New Roman" w:hAnsi="Times New Roman" w:cs="Times New Roman"/>
                      <w:color w:val="000000" w:themeColor="text1"/>
                      <w:sz w:val="20"/>
                      <w:szCs w:val="20"/>
                      <w:lang w:eastAsia="ro-MD"/>
                    </w:rPr>
                    <w:t xml:space="preserve"> de a </w:t>
                  </w:r>
                  <w:proofErr w:type="spellStart"/>
                  <w:r w:rsidRPr="005C3300">
                    <w:rPr>
                      <w:rFonts w:ascii="Times New Roman" w:eastAsia="Times New Roman" w:hAnsi="Times New Roman" w:cs="Times New Roman"/>
                      <w:color w:val="000000" w:themeColor="text1"/>
                      <w:sz w:val="20"/>
                      <w:szCs w:val="20"/>
                      <w:lang w:eastAsia="ro-MD"/>
                    </w:rPr>
                    <w:t>revinde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deținute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instituție</w:t>
                  </w:r>
                  <w:proofErr w:type="spellEnd"/>
                  <w:r w:rsidRPr="005C3300">
                    <w:rPr>
                      <w:rFonts w:ascii="Times New Roman" w:eastAsia="Times New Roman" w:hAnsi="Times New Roman" w:cs="Times New Roman"/>
                      <w:color w:val="000000" w:themeColor="text1"/>
                      <w:sz w:val="20"/>
                      <w:szCs w:val="20"/>
                      <w:lang w:eastAsia="ro-MD"/>
                    </w:rPr>
                    <w:t>;</w:t>
                  </w:r>
                </w:p>
              </w:tc>
            </w:tr>
          </w:tbl>
          <w:p w14:paraId="5ABC37E5" w14:textId="77777777" w:rsidR="005A06D3" w:rsidRPr="005C3300" w:rsidRDefault="005A06D3" w:rsidP="005A06D3">
            <w:pPr>
              <w:spacing w:after="0" w:line="240" w:lineRule="auto"/>
              <w:rPr>
                <w:rFonts w:ascii="Times New Roman" w:eastAsia="Times New Roman" w:hAnsi="Times New Roman" w:cs="Times New Roman"/>
                <w:vanish/>
                <w:color w:val="000000" w:themeColor="text1"/>
                <w:sz w:val="20"/>
                <w:szCs w:val="20"/>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41"/>
              <w:gridCol w:w="4959"/>
            </w:tblGrid>
            <w:tr w:rsidR="005A06D3" w:rsidRPr="005C3300" w14:paraId="17FCB8A8" w14:textId="77777777" w:rsidTr="00493B94">
              <w:tc>
                <w:tcPr>
                  <w:tcW w:w="908" w:type="dxa"/>
                  <w:shd w:val="clear" w:color="auto" w:fill="FFFFFF"/>
                  <w:hideMark/>
                </w:tcPr>
                <w:p w14:paraId="01B93AF1" w14:textId="77777777" w:rsidR="005A06D3" w:rsidRPr="005C3300" w:rsidRDefault="005A06D3" w:rsidP="005A06D3">
                  <w:pPr>
                    <w:spacing w:after="0" w:line="312" w:lineRule="atLeast"/>
                    <w:jc w:val="center"/>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k</w:t>
                  </w:r>
                </w:p>
              </w:tc>
              <w:tc>
                <w:tcPr>
                  <w:tcW w:w="8447" w:type="dxa"/>
                  <w:shd w:val="clear" w:color="auto" w:fill="FFFFFF"/>
                  <w:hideMark/>
                </w:tcPr>
                <w:p w14:paraId="3A16CE7F"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indicele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desemnează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monedele</w:t>
                  </w:r>
                  <w:proofErr w:type="spellEnd"/>
                  <w:r w:rsidRPr="005C3300">
                    <w:rPr>
                      <w:rFonts w:ascii="Times New Roman" w:eastAsia="Times New Roman" w:hAnsi="Times New Roman" w:cs="Times New Roman"/>
                      <w:color w:val="000000" w:themeColor="text1"/>
                      <w:sz w:val="20"/>
                      <w:szCs w:val="20"/>
                      <w:lang w:eastAsia="ro-MD"/>
                    </w:rPr>
                    <w:t xml:space="preserve"> separate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sunt denominate </w:t>
                  </w:r>
                  <w:proofErr w:type="spellStart"/>
                  <w:r w:rsidRPr="005C3300">
                    <w:rPr>
                      <w:rFonts w:ascii="Times New Roman" w:eastAsia="Times New Roman" w:hAnsi="Times New Roman" w:cs="Times New Roman"/>
                      <w:color w:val="000000" w:themeColor="text1"/>
                      <w:sz w:val="20"/>
                      <w:szCs w:val="20"/>
                      <w:lang w:eastAsia="ro-MD"/>
                    </w:rPr>
                    <w:t>titlurile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pozițiile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numerar</w:t>
                  </w:r>
                  <w:proofErr w:type="spellEnd"/>
                  <w:r w:rsidRPr="005C3300">
                    <w:rPr>
                      <w:rFonts w:ascii="Times New Roman" w:eastAsia="Times New Roman" w:hAnsi="Times New Roman" w:cs="Times New Roman"/>
                      <w:color w:val="000000" w:themeColor="text1"/>
                      <w:sz w:val="20"/>
                      <w:szCs w:val="20"/>
                      <w:lang w:eastAsia="ro-MD"/>
                    </w:rPr>
                    <w:t xml:space="preserve">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w:t>
                  </w:r>
                </w:p>
              </w:tc>
            </w:tr>
          </w:tbl>
          <w:p w14:paraId="5544B955" w14:textId="77777777" w:rsidR="005A06D3" w:rsidRPr="005C3300" w:rsidRDefault="005A06D3" w:rsidP="005A06D3">
            <w:pPr>
              <w:spacing w:after="0" w:line="240" w:lineRule="auto"/>
              <w:rPr>
                <w:rFonts w:ascii="Times New Roman" w:eastAsia="Times New Roman" w:hAnsi="Times New Roman" w:cs="Times New Roman"/>
                <w:vanish/>
                <w:color w:val="000000" w:themeColor="text1"/>
                <w:sz w:val="20"/>
                <w:szCs w:val="20"/>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7"/>
              <w:gridCol w:w="5033"/>
            </w:tblGrid>
            <w:tr w:rsidR="005A06D3" w:rsidRPr="005C3300" w14:paraId="0017D860" w14:textId="77777777" w:rsidTr="0034192E">
              <w:tc>
                <w:tcPr>
                  <w:tcW w:w="782" w:type="dxa"/>
                  <w:shd w:val="clear" w:color="auto" w:fill="FFFFFF"/>
                  <w:hideMark/>
                </w:tcPr>
                <w:p w14:paraId="4886C37A" w14:textId="77777777" w:rsidR="005A06D3" w:rsidRPr="005C3300" w:rsidRDefault="005A06D3" w:rsidP="005A06D3">
                  <w:pPr>
                    <w:spacing w:after="0" w:line="312" w:lineRule="atLeast"/>
                    <w:jc w:val="center"/>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i/>
                      <w:iCs/>
                      <w:color w:val="000000" w:themeColor="text1"/>
                      <w:sz w:val="20"/>
                      <w:szCs w:val="20"/>
                      <w:lang w:eastAsia="ro-MD"/>
                    </w:rPr>
                    <w:t>E</w:t>
                  </w:r>
                  <w:r w:rsidRPr="005C3300">
                    <w:rPr>
                      <w:rFonts w:ascii="Times New Roman" w:eastAsia="Times New Roman" w:hAnsi="Times New Roman" w:cs="Times New Roman"/>
                      <w:i/>
                      <w:iCs/>
                      <w:color w:val="000000" w:themeColor="text1"/>
                      <w:sz w:val="20"/>
                      <w:szCs w:val="20"/>
                      <w:vertAlign w:val="subscript"/>
                      <w:lang w:eastAsia="ro-MD"/>
                    </w:rPr>
                    <w:t>i</w:t>
                  </w:r>
                </w:p>
              </w:tc>
              <w:tc>
                <w:tcPr>
                  <w:tcW w:w="8573" w:type="dxa"/>
                  <w:shd w:val="clear" w:color="auto" w:fill="FFFFFF"/>
                  <w:hideMark/>
                </w:tcPr>
                <w:p w14:paraId="7505F1BD"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valoarea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un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o </w:t>
                  </w:r>
                  <w:proofErr w:type="spellStart"/>
                  <w:r w:rsidRPr="005C3300">
                    <w:rPr>
                      <w:rFonts w:ascii="Times New Roman" w:eastAsia="Times New Roman" w:hAnsi="Times New Roman" w:cs="Times New Roman"/>
                      <w:color w:val="000000" w:themeColor="text1"/>
                      <w:sz w:val="20"/>
                      <w:szCs w:val="20"/>
                      <w:lang w:eastAsia="ro-MD"/>
                    </w:rPr>
                    <w:t>anumită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marfă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anumită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poziție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numerar</w:t>
                  </w:r>
                  <w:proofErr w:type="spellEnd"/>
                  <w:r w:rsidRPr="005C3300">
                    <w:rPr>
                      <w:rFonts w:ascii="Times New Roman" w:eastAsia="Times New Roman" w:hAnsi="Times New Roman" w:cs="Times New Roman"/>
                      <w:color w:val="000000" w:themeColor="text1"/>
                      <w:sz w:val="20"/>
                      <w:szCs w:val="20"/>
                      <w:lang w:eastAsia="ro-MD"/>
                    </w:rPr>
                    <w:t xml:space="preserve"> i, care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dat</w:t>
                  </w:r>
                  <w:proofErr w:type="spellEnd"/>
                  <w:r w:rsidRPr="005C3300">
                    <w:rPr>
                      <w:rFonts w:ascii="Times New Roman" w:eastAsia="Times New Roman" w:hAnsi="Times New Roman" w:cs="Times New Roman"/>
                      <w:color w:val="000000" w:themeColor="text1"/>
                      <w:sz w:val="20"/>
                      <w:szCs w:val="20"/>
                      <w:lang w:eastAsia="ro-MD"/>
                    </w:rPr>
                    <w:t xml:space="preserve">(ă)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vândut</w:t>
                  </w:r>
                  <w:proofErr w:type="spellEnd"/>
                  <w:r w:rsidRPr="005C3300">
                    <w:rPr>
                      <w:rFonts w:ascii="Times New Roman" w:eastAsia="Times New Roman" w:hAnsi="Times New Roman" w:cs="Times New Roman"/>
                      <w:color w:val="000000" w:themeColor="text1"/>
                      <w:sz w:val="20"/>
                      <w:szCs w:val="20"/>
                      <w:lang w:eastAsia="ro-MD"/>
                    </w:rPr>
                    <w:t xml:space="preserve">(ă)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răscumpărare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furnizat</w:t>
                  </w:r>
                  <w:proofErr w:type="spellEnd"/>
                  <w:r w:rsidRPr="005C3300">
                    <w:rPr>
                      <w:rFonts w:ascii="Times New Roman" w:eastAsia="Times New Roman" w:hAnsi="Times New Roman" w:cs="Times New Roman"/>
                      <w:color w:val="000000" w:themeColor="text1"/>
                      <w:sz w:val="20"/>
                      <w:szCs w:val="20"/>
                      <w:lang w:eastAsia="ro-MD"/>
                    </w:rPr>
                    <w:t xml:space="preserve">(ă) </w:t>
                  </w:r>
                  <w:proofErr w:type="spellStart"/>
                  <w:r w:rsidRPr="005C3300">
                    <w:rPr>
                      <w:rFonts w:ascii="Times New Roman" w:eastAsia="Times New Roman" w:hAnsi="Times New Roman" w:cs="Times New Roman"/>
                      <w:color w:val="000000" w:themeColor="text1"/>
                      <w:sz w:val="20"/>
                      <w:szCs w:val="20"/>
                      <w:lang w:eastAsia="ro-MD"/>
                    </w:rPr>
                    <w:t>contrapărții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care s-</w:t>
                  </w:r>
                  <w:proofErr w:type="spellStart"/>
                  <w:r w:rsidRPr="005C3300">
                    <w:rPr>
                      <w:rFonts w:ascii="Times New Roman" w:eastAsia="Times New Roman" w:hAnsi="Times New Roman" w:cs="Times New Roman"/>
                      <w:color w:val="000000" w:themeColor="text1"/>
                      <w:sz w:val="20"/>
                      <w:szCs w:val="20"/>
                      <w:lang w:eastAsia="ro-MD"/>
                    </w:rPr>
                    <w:t>ar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aplica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lipsa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protecții</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creditului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instituțiile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cuantumurile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ponderate</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risc</w:t>
                  </w:r>
                  <w:proofErr w:type="spellEnd"/>
                  <w:r w:rsidRPr="005C3300">
                    <w:rPr>
                      <w:rFonts w:ascii="Times New Roman" w:eastAsia="Times New Roman" w:hAnsi="Times New Roman" w:cs="Times New Roman"/>
                      <w:color w:val="000000" w:themeColor="text1"/>
                      <w:sz w:val="20"/>
                      <w:szCs w:val="20"/>
                      <w:lang w:eastAsia="ro-MD"/>
                    </w:rPr>
                    <w:t xml:space="preserve"> ale </w:t>
                  </w:r>
                  <w:proofErr w:type="spellStart"/>
                  <w:r w:rsidRPr="005C3300">
                    <w:rPr>
                      <w:rFonts w:ascii="Times New Roman" w:eastAsia="Times New Roman" w:hAnsi="Times New Roman" w:cs="Times New Roman"/>
                      <w:color w:val="000000" w:themeColor="text1"/>
                      <w:sz w:val="20"/>
                      <w:szCs w:val="20"/>
                      <w:lang w:eastAsia="ro-MD"/>
                    </w:rPr>
                    <w:t>expunerilor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conformitate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capitolul</w:t>
                  </w:r>
                  <w:proofErr w:type="spellEnd"/>
                  <w:r w:rsidRPr="005C3300">
                    <w:rPr>
                      <w:rFonts w:ascii="Times New Roman" w:eastAsia="Times New Roman" w:hAnsi="Times New Roman" w:cs="Times New Roman"/>
                      <w:color w:val="000000" w:themeColor="text1"/>
                      <w:sz w:val="20"/>
                      <w:szCs w:val="20"/>
                      <w:lang w:eastAsia="ro-MD"/>
                    </w:rPr>
                    <w:t xml:space="preserve"> 2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3, </w:t>
                  </w:r>
                  <w:proofErr w:type="spellStart"/>
                  <w:r w:rsidRPr="005C3300">
                    <w:rPr>
                      <w:rFonts w:ascii="Times New Roman" w:eastAsia="Times New Roman" w:hAnsi="Times New Roman" w:cs="Times New Roman"/>
                      <w:color w:val="000000" w:themeColor="text1"/>
                      <w:sz w:val="20"/>
                      <w:szCs w:val="20"/>
                      <w:lang w:eastAsia="ro-MD"/>
                    </w:rPr>
                    <w:t>după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w:t>
                  </w:r>
                  <w:proofErr w:type="spellEnd"/>
                  <w:r w:rsidRPr="005C3300">
                    <w:rPr>
                      <w:rFonts w:ascii="Times New Roman" w:eastAsia="Times New Roman" w:hAnsi="Times New Roman" w:cs="Times New Roman"/>
                      <w:color w:val="000000" w:themeColor="text1"/>
                      <w:sz w:val="20"/>
                      <w:szCs w:val="20"/>
                      <w:lang w:eastAsia="ro-MD"/>
                    </w:rPr>
                    <w:t>;</w:t>
                  </w:r>
                </w:p>
              </w:tc>
            </w:tr>
          </w:tbl>
          <w:p w14:paraId="2DD47FF7" w14:textId="77777777" w:rsidR="005A06D3" w:rsidRPr="005C3300" w:rsidRDefault="005A06D3" w:rsidP="005A06D3">
            <w:pPr>
              <w:spacing w:after="0" w:line="240" w:lineRule="auto"/>
              <w:rPr>
                <w:rFonts w:ascii="Times New Roman" w:eastAsia="Times New Roman" w:hAnsi="Times New Roman" w:cs="Times New Roman"/>
                <w:vanish/>
                <w:color w:val="000000" w:themeColor="text1"/>
                <w:sz w:val="20"/>
                <w:szCs w:val="20"/>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65"/>
              <w:gridCol w:w="4935"/>
            </w:tblGrid>
            <w:tr w:rsidR="005A06D3" w:rsidRPr="005C3300" w14:paraId="5F8754E3" w14:textId="77777777" w:rsidTr="004771C4">
              <w:tc>
                <w:tcPr>
                  <w:tcW w:w="949" w:type="dxa"/>
                  <w:shd w:val="clear" w:color="auto" w:fill="FFFFFF"/>
                  <w:hideMark/>
                </w:tcPr>
                <w:p w14:paraId="4C3DFD33" w14:textId="77777777" w:rsidR="005A06D3" w:rsidRPr="005C3300" w:rsidRDefault="005A06D3" w:rsidP="005A06D3">
                  <w:pPr>
                    <w:spacing w:after="0" w:line="312" w:lineRule="atLeast"/>
                    <w:jc w:val="center"/>
                    <w:rPr>
                      <w:rFonts w:ascii="Times New Roman" w:eastAsia="Times New Roman" w:hAnsi="Times New Roman" w:cs="Times New Roman"/>
                      <w:color w:val="000000" w:themeColor="text1"/>
                      <w:sz w:val="20"/>
                      <w:szCs w:val="20"/>
                      <w:lang w:eastAsia="ro-MD"/>
                    </w:rPr>
                  </w:pPr>
                  <w:proofErr w:type="spellStart"/>
                  <w:r w:rsidRPr="005C3300">
                    <w:rPr>
                      <w:rFonts w:ascii="Times New Roman" w:eastAsia="Times New Roman" w:hAnsi="Times New Roman" w:cs="Times New Roman"/>
                      <w:i/>
                      <w:iCs/>
                      <w:color w:val="000000" w:themeColor="text1"/>
                      <w:sz w:val="20"/>
                      <w:szCs w:val="20"/>
                      <w:lang w:eastAsia="ro-MD"/>
                    </w:rPr>
                    <w:t>C</w:t>
                  </w:r>
                  <w:r w:rsidRPr="005C3300">
                    <w:rPr>
                      <w:rFonts w:ascii="Times New Roman" w:eastAsia="Times New Roman" w:hAnsi="Times New Roman" w:cs="Times New Roman"/>
                      <w:i/>
                      <w:iCs/>
                      <w:color w:val="000000" w:themeColor="text1"/>
                      <w:sz w:val="20"/>
                      <w:szCs w:val="20"/>
                      <w:vertAlign w:val="subscript"/>
                      <w:lang w:eastAsia="ro-MD"/>
                    </w:rPr>
                    <w:t>j</w:t>
                  </w:r>
                  <w:proofErr w:type="spellEnd"/>
                </w:p>
              </w:tc>
              <w:tc>
                <w:tcPr>
                  <w:tcW w:w="8406" w:type="dxa"/>
                  <w:shd w:val="clear" w:color="auto" w:fill="FFFFFF"/>
                  <w:hideMark/>
                </w:tcPr>
                <w:p w14:paraId="0127662C"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valoarea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a </w:t>
                  </w:r>
                  <w:proofErr w:type="spellStart"/>
                  <w:r w:rsidRPr="005C3300">
                    <w:rPr>
                      <w:rFonts w:ascii="Times New Roman" w:eastAsia="Times New Roman" w:hAnsi="Times New Roman" w:cs="Times New Roman"/>
                      <w:color w:val="000000" w:themeColor="text1"/>
                      <w:sz w:val="20"/>
                      <w:szCs w:val="20"/>
                      <w:lang w:eastAsia="ro-MD"/>
                    </w:rPr>
                    <w:t>unei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anumite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unei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anumite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poziții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numerar</w:t>
                  </w:r>
                  <w:proofErr w:type="spellEnd"/>
                  <w:r w:rsidRPr="005C3300">
                    <w:rPr>
                      <w:rFonts w:ascii="Times New Roman" w:eastAsia="Times New Roman" w:hAnsi="Times New Roman" w:cs="Times New Roman"/>
                      <w:color w:val="000000" w:themeColor="text1"/>
                      <w:sz w:val="20"/>
                      <w:szCs w:val="20"/>
                      <w:lang w:eastAsia="ro-MD"/>
                    </w:rPr>
                    <w:t xml:space="preserve"> j, care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luat</w:t>
                  </w:r>
                  <w:proofErr w:type="spellEnd"/>
                  <w:r w:rsidRPr="005C3300">
                    <w:rPr>
                      <w:rFonts w:ascii="Times New Roman" w:eastAsia="Times New Roman" w:hAnsi="Times New Roman" w:cs="Times New Roman"/>
                      <w:color w:val="000000" w:themeColor="text1"/>
                      <w:sz w:val="20"/>
                      <w:szCs w:val="20"/>
                      <w:lang w:eastAsia="ro-MD"/>
                    </w:rPr>
                    <w:t xml:space="preserve">(ă)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achiziționat</w:t>
                  </w:r>
                  <w:proofErr w:type="spellEnd"/>
                  <w:r w:rsidRPr="005C3300">
                    <w:rPr>
                      <w:rFonts w:ascii="Times New Roman" w:eastAsia="Times New Roman" w:hAnsi="Times New Roman" w:cs="Times New Roman"/>
                      <w:color w:val="000000" w:themeColor="text1"/>
                      <w:sz w:val="20"/>
                      <w:szCs w:val="20"/>
                      <w:lang w:eastAsia="ro-MD"/>
                    </w:rPr>
                    <w:t xml:space="preserve">(ă)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revânzare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deținut</w:t>
                  </w:r>
                  <w:proofErr w:type="spellEnd"/>
                  <w:r w:rsidRPr="005C3300">
                    <w:rPr>
                      <w:rFonts w:ascii="Times New Roman" w:eastAsia="Times New Roman" w:hAnsi="Times New Roman" w:cs="Times New Roman"/>
                      <w:color w:val="000000" w:themeColor="text1"/>
                      <w:sz w:val="20"/>
                      <w:szCs w:val="20"/>
                      <w:lang w:eastAsia="ro-MD"/>
                    </w:rPr>
                    <w:t xml:space="preserve">(ă) de </w:t>
                  </w:r>
                  <w:proofErr w:type="spellStart"/>
                  <w:r w:rsidRPr="005C3300">
                    <w:rPr>
                      <w:rFonts w:ascii="Times New Roman" w:eastAsia="Times New Roman" w:hAnsi="Times New Roman" w:cs="Times New Roman"/>
                      <w:color w:val="000000" w:themeColor="text1"/>
                      <w:sz w:val="20"/>
                      <w:szCs w:val="20"/>
                      <w:lang w:eastAsia="ro-MD"/>
                    </w:rPr>
                    <w:t>instituție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w:t>
                  </w:r>
                </w:p>
              </w:tc>
            </w:tr>
          </w:tbl>
          <w:p w14:paraId="65D07D6D" w14:textId="77777777" w:rsidR="005A06D3" w:rsidRPr="005C3300" w:rsidRDefault="005A06D3" w:rsidP="005A06D3">
            <w:pPr>
              <w:spacing w:after="0" w:line="240" w:lineRule="auto"/>
              <w:rPr>
                <w:rFonts w:ascii="Times New Roman" w:eastAsia="Times New Roman" w:hAnsi="Times New Roman" w:cs="Times New Roman"/>
                <w:vanish/>
                <w:color w:val="000000" w:themeColor="text1"/>
                <w:sz w:val="20"/>
                <w:szCs w:val="20"/>
                <w:lang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64"/>
              <w:gridCol w:w="4936"/>
            </w:tblGrid>
            <w:tr w:rsidR="005A06D3" w:rsidRPr="005C3300" w14:paraId="6054C9CB" w14:textId="77777777" w:rsidTr="00B0083A">
              <w:tc>
                <w:tcPr>
                  <w:tcW w:w="948" w:type="dxa"/>
                  <w:shd w:val="clear" w:color="auto" w:fill="FFFFFF"/>
                  <w:hideMark/>
                </w:tcPr>
                <w:p w14:paraId="0A68B8A9" w14:textId="77777777" w:rsidR="005A06D3" w:rsidRPr="005C3300" w:rsidRDefault="005A06D3" w:rsidP="005A06D3">
                  <w:pPr>
                    <w:spacing w:after="0" w:line="312" w:lineRule="atLeast"/>
                    <w:jc w:val="center"/>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61C724B4" wp14:editId="1552F4C1">
                        <wp:extent cx="276225" cy="276225"/>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8407" w:type="dxa"/>
                  <w:shd w:val="clear" w:color="auto" w:fill="FFFFFF"/>
                  <w:hideMark/>
                </w:tcPr>
                <w:p w14:paraId="6E80DABF"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poziția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pozitivă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negativă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într</w:t>
                  </w:r>
                  <w:proofErr w:type="spellEnd"/>
                  <w:r w:rsidRPr="005C3300">
                    <w:rPr>
                      <w:rFonts w:ascii="Times New Roman" w:eastAsia="Times New Roman" w:hAnsi="Times New Roman" w:cs="Times New Roman"/>
                      <w:color w:val="000000" w:themeColor="text1"/>
                      <w:sz w:val="20"/>
                      <w:szCs w:val="20"/>
                      <w:lang w:eastAsia="ro-MD"/>
                    </w:rPr>
                    <w:t xml:space="preserve">-o </w:t>
                  </w:r>
                  <w:proofErr w:type="spellStart"/>
                  <w:r w:rsidRPr="005C3300">
                    <w:rPr>
                      <w:rFonts w:ascii="Times New Roman" w:eastAsia="Times New Roman" w:hAnsi="Times New Roman" w:cs="Times New Roman"/>
                      <w:color w:val="000000" w:themeColor="text1"/>
                      <w:sz w:val="20"/>
                      <w:szCs w:val="20"/>
                      <w:lang w:eastAsia="ro-MD"/>
                    </w:rPr>
                    <w:t>monedă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dată</w:t>
                  </w:r>
                  <w:proofErr w:type="spellEnd"/>
                  <w:r w:rsidRPr="005C3300">
                    <w:rPr>
                      <w:rFonts w:ascii="Times New Roman" w:eastAsia="Times New Roman" w:hAnsi="Times New Roman" w:cs="Times New Roman"/>
                      <w:color w:val="000000" w:themeColor="text1"/>
                      <w:sz w:val="20"/>
                      <w:szCs w:val="20"/>
                      <w:lang w:eastAsia="ro-MD"/>
                    </w:rPr>
                    <w:t xml:space="preserve"> k, </w:t>
                  </w:r>
                  <w:proofErr w:type="spellStart"/>
                  <w:r w:rsidRPr="005C3300">
                    <w:rPr>
                      <w:rFonts w:ascii="Times New Roman" w:eastAsia="Times New Roman" w:hAnsi="Times New Roman" w:cs="Times New Roman"/>
                      <w:color w:val="000000" w:themeColor="text1"/>
                      <w:sz w:val="20"/>
                      <w:szCs w:val="20"/>
                      <w:lang w:eastAsia="ro-MD"/>
                    </w:rPr>
                    <w:t>alta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decât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moneda</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decontare</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a</w:t>
                  </w:r>
                  <w:proofErr w:type="gramEnd"/>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calculată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conformitate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alineatul</w:t>
                  </w:r>
                  <w:proofErr w:type="spellEnd"/>
                  <w:r w:rsidRPr="005C3300">
                    <w:rPr>
                      <w:rFonts w:ascii="Times New Roman" w:eastAsia="Times New Roman" w:hAnsi="Times New Roman" w:cs="Times New Roman"/>
                      <w:color w:val="000000" w:themeColor="text1"/>
                      <w:sz w:val="20"/>
                      <w:szCs w:val="20"/>
                      <w:lang w:eastAsia="ro-MD"/>
                    </w:rPr>
                    <w:t xml:space="preserve"> (2) </w:t>
                  </w:r>
                  <w:proofErr w:type="spellStart"/>
                  <w:r w:rsidRPr="005C3300">
                    <w:rPr>
                      <w:rFonts w:ascii="Times New Roman" w:eastAsia="Times New Roman" w:hAnsi="Times New Roman" w:cs="Times New Roman"/>
                      <w:color w:val="000000" w:themeColor="text1"/>
                      <w:sz w:val="20"/>
                      <w:szCs w:val="20"/>
                      <w:lang w:eastAsia="ro-MD"/>
                    </w:rPr>
                    <w:t>litera</w:t>
                  </w:r>
                  <w:proofErr w:type="spellEnd"/>
                  <w:r w:rsidRPr="005C3300">
                    <w:rPr>
                      <w:rFonts w:ascii="Times New Roman" w:eastAsia="Times New Roman" w:hAnsi="Times New Roman" w:cs="Times New Roman"/>
                      <w:color w:val="000000" w:themeColor="text1"/>
                      <w:sz w:val="20"/>
                      <w:szCs w:val="20"/>
                      <w:lang w:eastAsia="ro-MD"/>
                    </w:rPr>
                    <w:t> (b);</w:t>
                  </w:r>
                </w:p>
              </w:tc>
            </w:tr>
          </w:tbl>
          <w:p w14:paraId="2FCE6D0E" w14:textId="77777777" w:rsidR="005A06D3" w:rsidRPr="005C3300" w:rsidRDefault="005A06D3" w:rsidP="005A06D3">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409"/>
              <w:gridCol w:w="5091"/>
            </w:tblGrid>
            <w:tr w:rsidR="005A06D3" w:rsidRPr="005C3300" w14:paraId="5E3BFDCD" w14:textId="77777777" w:rsidTr="005C3300">
              <w:tc>
                <w:tcPr>
                  <w:tcW w:w="683" w:type="dxa"/>
                  <w:shd w:val="clear" w:color="auto" w:fill="auto"/>
                  <w:hideMark/>
                </w:tcPr>
                <w:p w14:paraId="1D3A72AD" w14:textId="77777777" w:rsidR="005A06D3" w:rsidRPr="005C3300" w:rsidRDefault="005A06D3" w:rsidP="005A06D3">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0B9D33C7" wp14:editId="20FC97A9">
                        <wp:extent cx="323850" cy="276225"/>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p>
              </w:tc>
              <w:tc>
                <w:tcPr>
                  <w:tcW w:w="8672" w:type="dxa"/>
                  <w:shd w:val="clear" w:color="auto" w:fill="auto"/>
                  <w:hideMark/>
                </w:tcPr>
                <w:p w14:paraId="664E205A"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ajustarea</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volatilitate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corespunzătoare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cursului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schimb</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aferent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monedei</w:t>
                  </w:r>
                  <w:proofErr w:type="spellEnd"/>
                  <w:r w:rsidRPr="005C3300">
                    <w:rPr>
                      <w:rFonts w:ascii="Times New Roman" w:eastAsia="Times New Roman" w:hAnsi="Times New Roman" w:cs="Times New Roman"/>
                      <w:color w:val="000000" w:themeColor="text1"/>
                      <w:sz w:val="20"/>
                      <w:szCs w:val="20"/>
                      <w:lang w:eastAsia="ro-MD"/>
                    </w:rPr>
                    <w:t xml:space="preserve"> k;</w:t>
                  </w:r>
                </w:p>
              </w:tc>
            </w:tr>
          </w:tbl>
          <w:p w14:paraId="3E848AE6" w14:textId="77777777" w:rsidR="005A06D3" w:rsidRPr="005C3300" w:rsidRDefault="005A06D3" w:rsidP="005A06D3">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315"/>
              <w:gridCol w:w="5185"/>
            </w:tblGrid>
            <w:tr w:rsidR="005A06D3" w:rsidRPr="005C3300" w14:paraId="200B4E6A" w14:textId="77777777" w:rsidTr="005C3300">
              <w:tc>
                <w:tcPr>
                  <w:tcW w:w="524" w:type="dxa"/>
                  <w:shd w:val="clear" w:color="auto" w:fill="auto"/>
                  <w:hideMark/>
                </w:tcPr>
                <w:p w14:paraId="7DD162D5" w14:textId="77777777" w:rsidR="005A06D3" w:rsidRPr="005C3300" w:rsidRDefault="005A06D3" w:rsidP="005A06D3">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i/>
                      <w:iCs/>
                      <w:color w:val="000000" w:themeColor="text1"/>
                      <w:sz w:val="20"/>
                      <w:szCs w:val="20"/>
                      <w:lang w:eastAsia="ro-MD"/>
                    </w:rPr>
                    <w:t>E</w:t>
                  </w:r>
                  <w:r w:rsidRPr="005C3300">
                    <w:rPr>
                      <w:rFonts w:ascii="Times New Roman" w:eastAsia="Times New Roman" w:hAnsi="Times New Roman" w:cs="Times New Roman"/>
                      <w:i/>
                      <w:iCs/>
                      <w:color w:val="000000" w:themeColor="text1"/>
                      <w:sz w:val="20"/>
                      <w:szCs w:val="20"/>
                      <w:vertAlign w:val="subscript"/>
                      <w:lang w:eastAsia="ro-MD"/>
                    </w:rPr>
                    <w:t>net</w:t>
                  </w:r>
                </w:p>
              </w:tc>
              <w:tc>
                <w:tcPr>
                  <w:tcW w:w="8831" w:type="dxa"/>
                  <w:shd w:val="clear" w:color="auto" w:fill="auto"/>
                  <w:hideMark/>
                </w:tcPr>
                <w:p w14:paraId="64C977F1"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netă</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a</w:t>
                  </w:r>
                  <w:proofErr w:type="gramEnd"/>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calculată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după</w:t>
                  </w:r>
                  <w:proofErr w:type="spellEnd"/>
                  <w:r w:rsidRPr="005C3300">
                    <w:rPr>
                      <w:rFonts w:ascii="Times New Roman" w:eastAsia="Times New Roman" w:hAnsi="Times New Roman" w:cs="Times New Roman"/>
                      <w:color w:val="000000" w:themeColor="text1"/>
                      <w:sz w:val="20"/>
                      <w:szCs w:val="20"/>
                      <w:lang w:eastAsia="ro-MD"/>
                    </w:rPr>
                    <w:t xml:space="preserve"> cum </w:t>
                  </w:r>
                  <w:proofErr w:type="spellStart"/>
                  <w:r w:rsidRPr="005C3300">
                    <w:rPr>
                      <w:rFonts w:ascii="Times New Roman" w:eastAsia="Times New Roman" w:hAnsi="Times New Roman" w:cs="Times New Roman"/>
                      <w:color w:val="000000" w:themeColor="text1"/>
                      <w:sz w:val="20"/>
                      <w:szCs w:val="20"/>
                      <w:lang w:eastAsia="ro-MD"/>
                    </w:rPr>
                    <w:t>urmează</w:t>
                  </w:r>
                  <w:proofErr w:type="spellEnd"/>
                  <w:r w:rsidRPr="005C3300">
                    <w:rPr>
                      <w:rFonts w:ascii="Times New Roman" w:eastAsia="Times New Roman" w:hAnsi="Times New Roman" w:cs="Times New Roman"/>
                      <w:color w:val="000000" w:themeColor="text1"/>
                      <w:sz w:val="20"/>
                      <w:szCs w:val="20"/>
                      <w:lang w:eastAsia="ro-MD"/>
                    </w:rPr>
                    <w:t>:</w:t>
                  </w:r>
                </w:p>
              </w:tc>
            </w:tr>
          </w:tbl>
          <w:p w14:paraId="6CCC07A1" w14:textId="77777777" w:rsidR="005A06D3" w:rsidRPr="005C3300" w:rsidRDefault="005A06D3" w:rsidP="005A06D3">
            <w:pPr>
              <w:shd w:val="clear" w:color="auto" w:fill="FFFFFF"/>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04322A73" wp14:editId="1393251E">
                  <wp:extent cx="1847850" cy="6858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p>
          <w:p w14:paraId="6A4DA47F" w14:textId="77777777" w:rsidR="005A06D3" w:rsidRPr="005C3300" w:rsidRDefault="005A06D3" w:rsidP="005A06D3">
            <w:pPr>
              <w:shd w:val="clear" w:color="auto" w:fill="FFFFFF"/>
              <w:spacing w:before="120" w:after="0" w:line="312" w:lineRule="atLeast"/>
              <w:jc w:val="both"/>
              <w:rPr>
                <w:rFonts w:ascii="Times New Roman" w:eastAsia="Times New Roman" w:hAnsi="Times New Roman" w:cs="Times New Roman"/>
                <w:color w:val="000000" w:themeColor="text1"/>
                <w:sz w:val="20"/>
                <w:szCs w:val="20"/>
                <w:lang w:eastAsia="ro-MD"/>
              </w:rPr>
            </w:pPr>
            <w:proofErr w:type="spellStart"/>
            <w:r w:rsidRPr="005C3300">
              <w:rPr>
                <w:rFonts w:ascii="Times New Roman" w:eastAsia="Times New Roman" w:hAnsi="Times New Roman" w:cs="Times New Roman"/>
                <w:color w:val="000000" w:themeColor="text1"/>
                <w:sz w:val="20"/>
                <w:szCs w:val="20"/>
                <w:lang w:eastAsia="ro-MD"/>
              </w:rPr>
              <w:t>unde</w:t>
            </w:r>
            <w:proofErr w:type="spellEnd"/>
            <w:r w:rsidRPr="005C3300">
              <w:rPr>
                <w:rFonts w:ascii="Times New Roman" w:eastAsia="Times New Roman" w:hAnsi="Times New Roman" w:cs="Times New Roman"/>
                <w:color w:val="000000" w:themeColor="text1"/>
                <w:sz w:val="20"/>
                <w:szCs w:val="20"/>
                <w:lang w:eastAsia="ro-MD"/>
              </w:rPr>
              <w:t>:</w:t>
            </w:r>
          </w:p>
          <w:tbl>
            <w:tblPr>
              <w:tblW w:w="5000" w:type="pct"/>
              <w:tblLayout w:type="fixed"/>
              <w:tblCellMar>
                <w:left w:w="0" w:type="dxa"/>
                <w:right w:w="0" w:type="dxa"/>
              </w:tblCellMar>
              <w:tblLook w:val="04A0" w:firstRow="1" w:lastRow="0" w:firstColumn="1" w:lastColumn="0" w:noHBand="0" w:noVBand="1"/>
            </w:tblPr>
            <w:tblGrid>
              <w:gridCol w:w="41"/>
              <w:gridCol w:w="5459"/>
            </w:tblGrid>
            <w:tr w:rsidR="005A06D3" w:rsidRPr="005C3300" w14:paraId="185F347C" w14:textId="77777777" w:rsidTr="005C3300">
              <w:tc>
                <w:tcPr>
                  <w:tcW w:w="56" w:type="dxa"/>
                  <w:shd w:val="clear" w:color="auto" w:fill="auto"/>
                  <w:hideMark/>
                </w:tcPr>
                <w:p w14:paraId="3FAC8377" w14:textId="77777777" w:rsidR="005A06D3" w:rsidRPr="005C3300" w:rsidRDefault="005A06D3" w:rsidP="005A06D3">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l</w:t>
                  </w:r>
                </w:p>
              </w:tc>
              <w:tc>
                <w:tcPr>
                  <w:tcW w:w="9299" w:type="dxa"/>
                  <w:shd w:val="clear" w:color="auto" w:fill="auto"/>
                  <w:hideMark/>
                </w:tcPr>
                <w:p w14:paraId="583C3236"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indicele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desemnează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grupurile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distincte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aceleași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tipurile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distincte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aceleași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w:t>
                  </w:r>
                </w:p>
              </w:tc>
            </w:tr>
          </w:tbl>
          <w:p w14:paraId="176D3DFC" w14:textId="77777777" w:rsidR="005A06D3" w:rsidRPr="005C3300" w:rsidRDefault="005A06D3" w:rsidP="005A06D3">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342"/>
              <w:gridCol w:w="5158"/>
            </w:tblGrid>
            <w:tr w:rsidR="005A06D3" w:rsidRPr="005C3300" w14:paraId="10FEC977" w14:textId="77777777" w:rsidTr="005C3300">
              <w:tc>
                <w:tcPr>
                  <w:tcW w:w="570" w:type="dxa"/>
                  <w:shd w:val="clear" w:color="auto" w:fill="auto"/>
                  <w:hideMark/>
                </w:tcPr>
                <w:p w14:paraId="54EFA438" w14:textId="77777777" w:rsidR="005A06D3" w:rsidRPr="005C3300" w:rsidRDefault="005A06D3" w:rsidP="005A06D3">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0F03B13D" wp14:editId="5323D704">
                        <wp:extent cx="361950" cy="276225"/>
                        <wp:effectExtent l="0" t="0" r="0" b="0"/>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8785" w:type="dxa"/>
                  <w:shd w:val="clear" w:color="auto" w:fill="auto"/>
                  <w:hideMark/>
                </w:tcPr>
                <w:p w14:paraId="087BD09D"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poziția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pozitivă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negativă</w:t>
                  </w:r>
                  <w:proofErr w:type="spellEnd"/>
                  <w:r w:rsidRPr="005C3300">
                    <w:rPr>
                      <w:rFonts w:ascii="Times New Roman" w:eastAsia="Times New Roman" w:hAnsi="Times New Roman" w:cs="Times New Roman"/>
                      <w:color w:val="000000" w:themeColor="text1"/>
                      <w:sz w:val="20"/>
                      <w:szCs w:val="20"/>
                      <w:lang w:eastAsia="ro-MD"/>
                    </w:rPr>
                    <w:t xml:space="preserve">) pe un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grup</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l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pe un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tip de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l,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calculată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conformitate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alineatul</w:t>
                  </w:r>
                  <w:proofErr w:type="spellEnd"/>
                  <w:r w:rsidRPr="005C3300">
                    <w:rPr>
                      <w:rFonts w:ascii="Times New Roman" w:eastAsia="Times New Roman" w:hAnsi="Times New Roman" w:cs="Times New Roman"/>
                      <w:color w:val="000000" w:themeColor="text1"/>
                      <w:sz w:val="20"/>
                      <w:szCs w:val="20"/>
                      <w:lang w:eastAsia="ro-MD"/>
                    </w:rPr>
                    <w:t xml:space="preserve"> (2) </w:t>
                  </w:r>
                  <w:proofErr w:type="spellStart"/>
                  <w:r w:rsidRPr="005C3300">
                    <w:rPr>
                      <w:rFonts w:ascii="Times New Roman" w:eastAsia="Times New Roman" w:hAnsi="Times New Roman" w:cs="Times New Roman"/>
                      <w:color w:val="000000" w:themeColor="text1"/>
                      <w:sz w:val="20"/>
                      <w:szCs w:val="20"/>
                      <w:lang w:eastAsia="ro-MD"/>
                    </w:rPr>
                    <w:t>litera</w:t>
                  </w:r>
                  <w:proofErr w:type="spellEnd"/>
                  <w:r w:rsidRPr="005C3300">
                    <w:rPr>
                      <w:rFonts w:ascii="Times New Roman" w:eastAsia="Times New Roman" w:hAnsi="Times New Roman" w:cs="Times New Roman"/>
                      <w:color w:val="000000" w:themeColor="text1"/>
                      <w:sz w:val="20"/>
                      <w:szCs w:val="20"/>
                      <w:lang w:eastAsia="ro-MD"/>
                    </w:rPr>
                    <w:t> (a);</w:t>
                  </w:r>
                </w:p>
              </w:tc>
            </w:tr>
          </w:tbl>
          <w:p w14:paraId="19839713" w14:textId="77777777" w:rsidR="005A06D3" w:rsidRPr="005C3300" w:rsidRDefault="005A06D3" w:rsidP="005A06D3">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342"/>
              <w:gridCol w:w="5158"/>
            </w:tblGrid>
            <w:tr w:rsidR="005A06D3" w:rsidRPr="005C3300" w14:paraId="382BBCE1" w14:textId="77777777" w:rsidTr="005C3300">
              <w:tc>
                <w:tcPr>
                  <w:tcW w:w="570" w:type="dxa"/>
                  <w:shd w:val="clear" w:color="auto" w:fill="auto"/>
                  <w:hideMark/>
                </w:tcPr>
                <w:p w14:paraId="68477A42" w14:textId="77777777" w:rsidR="005A06D3" w:rsidRPr="005C3300" w:rsidRDefault="005A06D3" w:rsidP="005A06D3">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44D03906" wp14:editId="46735F82">
                        <wp:extent cx="361950" cy="27622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8785" w:type="dxa"/>
                  <w:shd w:val="clear" w:color="auto" w:fill="auto"/>
                  <w:hideMark/>
                </w:tcPr>
                <w:p w14:paraId="192A2553"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ajustarea</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volatilitate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corespunzătoare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grup</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l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tip de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l, </w:t>
                  </w:r>
                  <w:proofErr w:type="spellStart"/>
                  <w:r w:rsidRPr="005C3300">
                    <w:rPr>
                      <w:rFonts w:ascii="Times New Roman" w:eastAsia="Times New Roman" w:hAnsi="Times New Roman" w:cs="Times New Roman"/>
                      <w:color w:val="000000" w:themeColor="text1"/>
                      <w:sz w:val="20"/>
                      <w:szCs w:val="20"/>
                      <w:lang w:eastAsia="ro-MD"/>
                    </w:rPr>
                    <w:t>stabilită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conformitate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alineatul</w:t>
                  </w:r>
                  <w:proofErr w:type="spellEnd"/>
                  <w:r w:rsidRPr="005C3300">
                    <w:rPr>
                      <w:rFonts w:ascii="Times New Roman" w:eastAsia="Times New Roman" w:hAnsi="Times New Roman" w:cs="Times New Roman"/>
                      <w:color w:val="000000" w:themeColor="text1"/>
                      <w:sz w:val="20"/>
                      <w:szCs w:val="20"/>
                      <w:lang w:eastAsia="ro-MD"/>
                    </w:rPr>
                    <w:t xml:space="preserve"> (2) </w:t>
                  </w:r>
                  <w:proofErr w:type="spellStart"/>
                  <w:r w:rsidRPr="005C3300">
                    <w:rPr>
                      <w:rFonts w:ascii="Times New Roman" w:eastAsia="Times New Roman" w:hAnsi="Times New Roman" w:cs="Times New Roman"/>
                      <w:color w:val="000000" w:themeColor="text1"/>
                      <w:sz w:val="20"/>
                      <w:szCs w:val="20"/>
                      <w:lang w:eastAsia="ro-MD"/>
                    </w:rPr>
                    <w:t>litera</w:t>
                  </w:r>
                  <w:proofErr w:type="spellEnd"/>
                  <w:r w:rsidRPr="005C3300">
                    <w:rPr>
                      <w:rFonts w:ascii="Times New Roman" w:eastAsia="Times New Roman" w:hAnsi="Times New Roman" w:cs="Times New Roman"/>
                      <w:color w:val="000000" w:themeColor="text1"/>
                      <w:sz w:val="20"/>
                      <w:szCs w:val="20"/>
                      <w:lang w:eastAsia="ro-MD"/>
                    </w:rPr>
                    <w:t xml:space="preserve"> (c); </w:t>
                  </w:r>
                  <w:proofErr w:type="spellStart"/>
                  <w:r w:rsidRPr="005C3300">
                    <w:rPr>
                      <w:rFonts w:ascii="Times New Roman" w:eastAsia="Times New Roman" w:hAnsi="Times New Roman" w:cs="Times New Roman"/>
                      <w:color w:val="000000" w:themeColor="text1"/>
                      <w:sz w:val="20"/>
                      <w:szCs w:val="20"/>
                      <w:lang w:eastAsia="ro-MD"/>
                    </w:rPr>
                    <w:t>semnul</w:t>
                  </w:r>
                  <w:proofErr w:type="spellEnd"/>
                  <w:r w:rsidRPr="005C3300">
                    <w:rPr>
                      <w:rFonts w:ascii="Times New Roman" w:eastAsia="Times New Roman" w:hAnsi="Times New Roman" w:cs="Times New Roman"/>
                      <w:color w:val="000000" w:themeColor="text1"/>
                      <w:sz w:val="20"/>
                      <w:szCs w:val="20"/>
                      <w:lang w:eastAsia="ro-MD"/>
                    </w:rPr>
                    <w:t> </w:t>
                  </w:r>
                  <w:r w:rsidRPr="005C3300">
                    <w:rPr>
                      <w:rFonts w:ascii="Times New Roman" w:hAnsi="Times New Roman" w:cs="Times New Roman"/>
                      <w:noProof/>
                      <w:color w:val="000000" w:themeColor="text1"/>
                      <w:sz w:val="20"/>
                      <w:szCs w:val="20"/>
                    </w:rPr>
                    <w:drawing>
                      <wp:inline distT="0" distB="0" distL="0" distR="0" wp14:anchorId="3F43F356" wp14:editId="035DF457">
                        <wp:extent cx="361950" cy="276225"/>
                        <wp:effectExtent l="0" t="0" r="0" b="0"/>
                        <wp:docPr id="25"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 xml:space="preserve"> se </w:t>
                  </w:r>
                  <w:proofErr w:type="spellStart"/>
                  <w:r w:rsidRPr="005C3300">
                    <w:rPr>
                      <w:rFonts w:ascii="Times New Roman" w:eastAsia="Times New Roman" w:hAnsi="Times New Roman" w:cs="Times New Roman"/>
                      <w:color w:val="000000" w:themeColor="text1"/>
                      <w:sz w:val="20"/>
                      <w:szCs w:val="20"/>
                      <w:lang w:eastAsia="ro-MD"/>
                    </w:rPr>
                    <w:t>stabilește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după</w:t>
                  </w:r>
                  <w:proofErr w:type="spellEnd"/>
                  <w:r w:rsidRPr="005C3300">
                    <w:rPr>
                      <w:rFonts w:ascii="Times New Roman" w:eastAsia="Times New Roman" w:hAnsi="Times New Roman" w:cs="Times New Roman"/>
                      <w:color w:val="000000" w:themeColor="text1"/>
                      <w:sz w:val="20"/>
                      <w:szCs w:val="20"/>
                      <w:lang w:eastAsia="ro-MD"/>
                    </w:rPr>
                    <w:t xml:space="preserve"> cum </w:t>
                  </w:r>
                  <w:proofErr w:type="spellStart"/>
                  <w:r w:rsidRPr="005C3300">
                    <w:rPr>
                      <w:rFonts w:ascii="Times New Roman" w:eastAsia="Times New Roman" w:hAnsi="Times New Roman" w:cs="Times New Roman"/>
                      <w:color w:val="000000" w:themeColor="text1"/>
                      <w:sz w:val="20"/>
                      <w:szCs w:val="20"/>
                      <w:lang w:eastAsia="ro-MD"/>
                    </w:rPr>
                    <w:t>urmează</w:t>
                  </w:r>
                  <w:proofErr w:type="spellEnd"/>
                  <w:r w:rsidRPr="005C3300">
                    <w:rPr>
                      <w:rFonts w:ascii="Times New Roman" w:eastAsia="Times New Roman" w:hAnsi="Times New Roman" w:cs="Times New Roman"/>
                      <w:color w:val="000000" w:themeColor="text1"/>
                      <w:sz w:val="20"/>
                      <w:szCs w:val="20"/>
                      <w:lang w:eastAsia="ro-MD"/>
                    </w:rPr>
                    <w:t>:</w:t>
                  </w:r>
                </w:p>
                <w:p w14:paraId="00E6917C" w14:textId="77777777" w:rsidR="005A06D3" w:rsidRPr="005C3300" w:rsidRDefault="005A06D3" w:rsidP="005A06D3">
                  <w:pPr>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(a) </w:t>
                  </w:r>
                  <w:proofErr w:type="spellStart"/>
                  <w:r w:rsidRPr="005C3300">
                    <w:rPr>
                      <w:rFonts w:ascii="Times New Roman" w:eastAsia="Times New Roman" w:hAnsi="Times New Roman" w:cs="Times New Roman"/>
                      <w:color w:val="000000" w:themeColor="text1"/>
                      <w:sz w:val="20"/>
                      <w:szCs w:val="20"/>
                      <w:lang w:eastAsia="ro-MD"/>
                    </w:rPr>
                    <w:t>semn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pozitiv</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grupul</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l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dat</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vândut</w:t>
                  </w:r>
                  <w:proofErr w:type="spellEnd"/>
                  <w:r w:rsidRPr="005C3300">
                    <w:rPr>
                      <w:rFonts w:ascii="Times New Roman" w:eastAsia="Times New Roman" w:hAnsi="Times New Roman" w:cs="Times New Roman"/>
                      <w:color w:val="000000" w:themeColor="text1"/>
                      <w:sz w:val="20"/>
                      <w:szCs w:val="20"/>
                      <w:lang w:eastAsia="ro-MD"/>
                    </w:rPr>
                    <w:t xml:space="preserve">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răscumpărare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tranzacționat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într</w:t>
                  </w:r>
                  <w:proofErr w:type="spellEnd"/>
                  <w:r w:rsidRPr="005C3300">
                    <w:rPr>
                      <w:rFonts w:ascii="Times New Roman" w:eastAsia="Times New Roman" w:hAnsi="Times New Roman" w:cs="Times New Roman"/>
                      <w:color w:val="000000" w:themeColor="text1"/>
                      <w:sz w:val="20"/>
                      <w:szCs w:val="20"/>
                      <w:lang w:eastAsia="ro-MD"/>
                    </w:rPr>
                    <w:t xml:space="preserve">-un mod similar cu </w:t>
                  </w:r>
                  <w:proofErr w:type="spellStart"/>
                  <w:r w:rsidRPr="005C3300">
                    <w:rPr>
                      <w:rFonts w:ascii="Times New Roman" w:eastAsia="Times New Roman" w:hAnsi="Times New Roman" w:cs="Times New Roman"/>
                      <w:color w:val="000000" w:themeColor="text1"/>
                      <w:sz w:val="20"/>
                      <w:szCs w:val="20"/>
                      <w:lang w:eastAsia="ro-MD"/>
                    </w:rPr>
                    <w:t>darea</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repo;</w:t>
                  </w:r>
                  <w:proofErr w:type="gramEnd"/>
                </w:p>
                <w:p w14:paraId="2867FB98" w14:textId="77777777" w:rsidR="005A06D3" w:rsidRPr="005C3300" w:rsidRDefault="005A06D3" w:rsidP="005A06D3">
                  <w:pPr>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(b) </w:t>
                  </w:r>
                  <w:proofErr w:type="spellStart"/>
                  <w:r w:rsidRPr="005C3300">
                    <w:rPr>
                      <w:rFonts w:ascii="Times New Roman" w:eastAsia="Times New Roman" w:hAnsi="Times New Roman" w:cs="Times New Roman"/>
                      <w:color w:val="000000" w:themeColor="text1"/>
                      <w:sz w:val="20"/>
                      <w:szCs w:val="20"/>
                      <w:lang w:eastAsia="ro-MD"/>
                    </w:rPr>
                    <w:t>semn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negativ</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grupul</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l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luat</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achiziționat</w:t>
                  </w:r>
                  <w:proofErr w:type="spellEnd"/>
                  <w:r w:rsidRPr="005C3300">
                    <w:rPr>
                      <w:rFonts w:ascii="Times New Roman" w:eastAsia="Times New Roman" w:hAnsi="Times New Roman" w:cs="Times New Roman"/>
                      <w:color w:val="000000" w:themeColor="text1"/>
                      <w:sz w:val="20"/>
                      <w:szCs w:val="20"/>
                      <w:lang w:eastAsia="ro-MD"/>
                    </w:rPr>
                    <w:t xml:space="preserve">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revânzare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tranzacționat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într</w:t>
                  </w:r>
                  <w:proofErr w:type="spellEnd"/>
                  <w:r w:rsidRPr="005C3300">
                    <w:rPr>
                      <w:rFonts w:ascii="Times New Roman" w:eastAsia="Times New Roman" w:hAnsi="Times New Roman" w:cs="Times New Roman"/>
                      <w:color w:val="000000" w:themeColor="text1"/>
                      <w:sz w:val="20"/>
                      <w:szCs w:val="20"/>
                      <w:lang w:eastAsia="ro-MD"/>
                    </w:rPr>
                    <w:t xml:space="preserve">-un mod similar cu </w:t>
                  </w:r>
                  <w:proofErr w:type="spellStart"/>
                  <w:r w:rsidRPr="005C3300">
                    <w:rPr>
                      <w:rFonts w:ascii="Times New Roman" w:eastAsia="Times New Roman" w:hAnsi="Times New Roman" w:cs="Times New Roman"/>
                      <w:color w:val="000000" w:themeColor="text1"/>
                      <w:sz w:val="20"/>
                      <w:szCs w:val="20"/>
                      <w:lang w:eastAsia="ro-MD"/>
                    </w:rPr>
                    <w:t>luarea</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reverse repo;</w:t>
                  </w:r>
                </w:p>
              </w:tc>
            </w:tr>
          </w:tbl>
          <w:p w14:paraId="00F9CDBC" w14:textId="77777777" w:rsidR="005A06D3" w:rsidRPr="005C3300" w:rsidRDefault="005A06D3" w:rsidP="005A06D3">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93"/>
              <w:gridCol w:w="5407"/>
            </w:tblGrid>
            <w:tr w:rsidR="005A06D3" w:rsidRPr="005C3300" w14:paraId="7076C329" w14:textId="77777777" w:rsidTr="005C3300">
              <w:tc>
                <w:tcPr>
                  <w:tcW w:w="145" w:type="dxa"/>
                  <w:shd w:val="clear" w:color="auto" w:fill="auto"/>
                  <w:hideMark/>
                </w:tcPr>
                <w:p w14:paraId="0A5653C2" w14:textId="77777777" w:rsidR="005A06D3" w:rsidRPr="005C3300" w:rsidRDefault="005A06D3" w:rsidP="005A06D3">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N</w:t>
                  </w:r>
                </w:p>
              </w:tc>
              <w:tc>
                <w:tcPr>
                  <w:tcW w:w="9210" w:type="dxa"/>
                  <w:shd w:val="clear" w:color="auto" w:fill="auto"/>
                  <w:hideMark/>
                </w:tcPr>
                <w:p w14:paraId="2CD7DE45" w14:textId="77777777" w:rsidR="005A06D3" w:rsidRPr="005C3300" w:rsidRDefault="005A06D3" w:rsidP="005A06D3">
                  <w:pPr>
                    <w:spacing w:before="195"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numărul</w:t>
                  </w:r>
                  <w:proofErr w:type="spellEnd"/>
                  <w:r w:rsidRPr="005C3300">
                    <w:rPr>
                      <w:rFonts w:ascii="Times New Roman" w:eastAsia="Times New Roman" w:hAnsi="Times New Roman" w:cs="Times New Roman"/>
                      <w:color w:val="000000" w:themeColor="text1"/>
                      <w:sz w:val="20"/>
                      <w:szCs w:val="20"/>
                      <w:lang w:eastAsia="ro-MD"/>
                    </w:rPr>
                    <w:t xml:space="preserve"> total de </w:t>
                  </w:r>
                  <w:proofErr w:type="spellStart"/>
                  <w:r w:rsidRPr="005C3300">
                    <w:rPr>
                      <w:rFonts w:ascii="Times New Roman" w:eastAsia="Times New Roman" w:hAnsi="Times New Roman" w:cs="Times New Roman"/>
                      <w:color w:val="000000" w:themeColor="text1"/>
                      <w:sz w:val="20"/>
                      <w:szCs w:val="20"/>
                      <w:lang w:eastAsia="ro-MD"/>
                    </w:rPr>
                    <w:t>grupuri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distincte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aceleași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tipuri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distincte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aceleași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scopul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acestui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w:t>
                  </w:r>
                  <w:proofErr w:type="spellEnd"/>
                  <w:r w:rsidRPr="005C3300">
                    <w:rPr>
                      <w:rFonts w:ascii="Times New Roman" w:eastAsia="Times New Roman" w:hAnsi="Times New Roman" w:cs="Times New Roman"/>
                      <w:color w:val="000000" w:themeColor="text1"/>
                      <w:sz w:val="20"/>
                      <w:szCs w:val="20"/>
                      <w:lang w:eastAsia="ro-MD"/>
                    </w:rPr>
                    <w:t xml:space="preserve">, nu se </w:t>
                  </w:r>
                  <w:proofErr w:type="spellStart"/>
                  <w:r w:rsidRPr="005C3300">
                    <w:rPr>
                      <w:rFonts w:ascii="Times New Roman" w:eastAsia="Times New Roman" w:hAnsi="Times New Roman" w:cs="Times New Roman"/>
                      <w:color w:val="000000" w:themeColor="text1"/>
                      <w:sz w:val="20"/>
                      <w:szCs w:val="20"/>
                      <w:lang w:eastAsia="ro-MD"/>
                    </w:rPr>
                    <w:t>iau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considerare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grupurile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tipurile</w:t>
                  </w:r>
                  <w:proofErr w:type="spellEnd"/>
                  <w:r w:rsidRPr="005C3300">
                    <w:rPr>
                      <w:rFonts w:ascii="Times New Roman" w:eastAsia="Times New Roman" w:hAnsi="Times New Roman" w:cs="Times New Roman"/>
                      <w:color w:val="000000" w:themeColor="text1"/>
                      <w:sz w:val="20"/>
                      <w:szCs w:val="20"/>
                      <w:lang w:eastAsia="ro-MD"/>
                    </w:rPr>
                    <w:t> </w:t>
                  </w:r>
                  <w:r w:rsidRPr="005C3300">
                    <w:rPr>
                      <w:rFonts w:ascii="Times New Roman" w:hAnsi="Times New Roman" w:cs="Times New Roman"/>
                      <w:noProof/>
                      <w:color w:val="000000" w:themeColor="text1"/>
                      <w:sz w:val="20"/>
                      <w:szCs w:val="20"/>
                    </w:rPr>
                    <w:drawing>
                      <wp:inline distT="0" distB="0" distL="0" distR="0" wp14:anchorId="6ACAF032" wp14:editId="6687D0B1">
                        <wp:extent cx="361950" cy="276225"/>
                        <wp:effectExtent l="0" t="0" r="0" b="0"/>
                        <wp:docPr id="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care </w:t>
                  </w:r>
                  <w:r w:rsidRPr="005C3300">
                    <w:rPr>
                      <w:rFonts w:ascii="Times New Roman" w:hAnsi="Times New Roman" w:cs="Times New Roman"/>
                      <w:noProof/>
                      <w:color w:val="000000" w:themeColor="text1"/>
                      <w:sz w:val="20"/>
                      <w:szCs w:val="20"/>
                    </w:rPr>
                    <w:drawing>
                      <wp:inline distT="0" distB="0" distL="0" distR="0" wp14:anchorId="372090D5" wp14:editId="6B16D8CB">
                        <wp:extent cx="504825" cy="276225"/>
                        <wp:effectExtent l="0" t="0" r="0"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mai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mică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decât</w:t>
                  </w:r>
                  <w:proofErr w:type="spellEnd"/>
                  <w:r w:rsidRPr="005C3300">
                    <w:rPr>
                      <w:rFonts w:ascii="Times New Roman" w:eastAsia="Times New Roman" w:hAnsi="Times New Roman" w:cs="Times New Roman"/>
                      <w:color w:val="000000" w:themeColor="text1"/>
                      <w:sz w:val="20"/>
                      <w:szCs w:val="20"/>
                      <w:lang w:eastAsia="ro-MD"/>
                    </w:rPr>
                    <w:t> </w:t>
                  </w:r>
                  <w:r w:rsidRPr="005C3300">
                    <w:rPr>
                      <w:rFonts w:ascii="Times New Roman" w:hAnsi="Times New Roman" w:cs="Times New Roman"/>
                      <w:noProof/>
                      <w:color w:val="000000" w:themeColor="text1"/>
                      <w:sz w:val="20"/>
                      <w:szCs w:val="20"/>
                    </w:rPr>
                    <w:drawing>
                      <wp:inline distT="0" distB="0" distL="0" distR="0" wp14:anchorId="613305A1" wp14:editId="7D6BD045">
                        <wp:extent cx="1266825" cy="504825"/>
                        <wp:effectExtent l="0" t="0" r="0" b="0"/>
                        <wp:docPr id="28"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w:t>
                  </w:r>
                </w:p>
              </w:tc>
            </w:tr>
          </w:tbl>
          <w:p w14:paraId="1729E609" w14:textId="77777777" w:rsidR="005A06D3" w:rsidRPr="005C3300" w:rsidRDefault="005A06D3" w:rsidP="005A06D3">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369"/>
              <w:gridCol w:w="5131"/>
            </w:tblGrid>
            <w:tr w:rsidR="005A06D3" w:rsidRPr="005C3300" w14:paraId="25AD0B36" w14:textId="77777777" w:rsidTr="005C3300">
              <w:tc>
                <w:tcPr>
                  <w:tcW w:w="615" w:type="dxa"/>
                  <w:shd w:val="clear" w:color="auto" w:fill="auto"/>
                  <w:hideMark/>
                </w:tcPr>
                <w:p w14:paraId="3D6A92F4" w14:textId="77777777" w:rsidR="005A06D3" w:rsidRPr="005C3300" w:rsidRDefault="005A06D3" w:rsidP="005A06D3">
                  <w:pPr>
                    <w:spacing w:before="195" w:after="0" w:line="312" w:lineRule="atLeast"/>
                    <w:rPr>
                      <w:rFonts w:ascii="Times New Roman" w:eastAsia="Times New Roman" w:hAnsi="Times New Roman" w:cs="Times New Roman"/>
                      <w:color w:val="000000" w:themeColor="text1"/>
                      <w:sz w:val="20"/>
                      <w:szCs w:val="20"/>
                      <w:lang w:eastAsia="ro-MD"/>
                    </w:rPr>
                  </w:pPr>
                  <w:proofErr w:type="spellStart"/>
                  <w:r w:rsidRPr="005C3300">
                    <w:rPr>
                      <w:rFonts w:ascii="Times New Roman" w:eastAsia="Times New Roman" w:hAnsi="Times New Roman" w:cs="Times New Roman"/>
                      <w:i/>
                      <w:iCs/>
                      <w:color w:val="000000" w:themeColor="text1"/>
                      <w:sz w:val="20"/>
                      <w:szCs w:val="20"/>
                      <w:lang w:eastAsia="ro-MD"/>
                    </w:rPr>
                    <w:t>E</w:t>
                  </w:r>
                  <w:r w:rsidRPr="005C3300">
                    <w:rPr>
                      <w:rFonts w:ascii="Times New Roman" w:eastAsia="Times New Roman" w:hAnsi="Times New Roman" w:cs="Times New Roman"/>
                      <w:i/>
                      <w:iCs/>
                      <w:color w:val="000000" w:themeColor="text1"/>
                      <w:sz w:val="20"/>
                      <w:szCs w:val="20"/>
                      <w:vertAlign w:val="subscript"/>
                      <w:lang w:eastAsia="ro-MD"/>
                    </w:rPr>
                    <w:t>brut</w:t>
                  </w:r>
                  <w:proofErr w:type="spellEnd"/>
                </w:p>
              </w:tc>
              <w:tc>
                <w:tcPr>
                  <w:tcW w:w="8740" w:type="dxa"/>
                  <w:shd w:val="clear" w:color="auto" w:fill="auto"/>
                  <w:hideMark/>
                </w:tcPr>
                <w:p w14:paraId="3C947082" w14:textId="77777777" w:rsidR="005A06D3" w:rsidRPr="005C3300" w:rsidRDefault="005A06D3" w:rsidP="005A06D3">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brută</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a</w:t>
                  </w:r>
                  <w:proofErr w:type="gramEnd"/>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calculată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după</w:t>
                  </w:r>
                  <w:proofErr w:type="spellEnd"/>
                  <w:r w:rsidRPr="005C3300">
                    <w:rPr>
                      <w:rFonts w:ascii="Times New Roman" w:eastAsia="Times New Roman" w:hAnsi="Times New Roman" w:cs="Times New Roman"/>
                      <w:color w:val="000000" w:themeColor="text1"/>
                      <w:sz w:val="20"/>
                      <w:szCs w:val="20"/>
                      <w:lang w:eastAsia="ro-MD"/>
                    </w:rPr>
                    <w:t xml:space="preserve"> cum </w:t>
                  </w:r>
                  <w:proofErr w:type="spellStart"/>
                  <w:r w:rsidRPr="005C3300">
                    <w:rPr>
                      <w:rFonts w:ascii="Times New Roman" w:eastAsia="Times New Roman" w:hAnsi="Times New Roman" w:cs="Times New Roman"/>
                      <w:color w:val="000000" w:themeColor="text1"/>
                      <w:sz w:val="20"/>
                      <w:szCs w:val="20"/>
                      <w:lang w:eastAsia="ro-MD"/>
                    </w:rPr>
                    <w:t>urmează</w:t>
                  </w:r>
                  <w:proofErr w:type="spellEnd"/>
                  <w:r w:rsidRPr="005C3300">
                    <w:rPr>
                      <w:rFonts w:ascii="Times New Roman" w:eastAsia="Times New Roman" w:hAnsi="Times New Roman" w:cs="Times New Roman"/>
                      <w:color w:val="000000" w:themeColor="text1"/>
                      <w:sz w:val="20"/>
                      <w:szCs w:val="20"/>
                      <w:lang w:eastAsia="ro-MD"/>
                    </w:rPr>
                    <w:t>:</w:t>
                  </w:r>
                </w:p>
              </w:tc>
            </w:tr>
          </w:tbl>
          <w:p w14:paraId="7A93E43D" w14:textId="77777777" w:rsidR="005A06D3" w:rsidRPr="005C3300" w:rsidRDefault="005A06D3" w:rsidP="005A06D3">
            <w:pPr>
              <w:shd w:val="clear" w:color="auto" w:fill="FFFFFF"/>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2C21DEA7" wp14:editId="6AC03750">
                  <wp:extent cx="1847850" cy="685800"/>
                  <wp:effectExtent l="0" t="0" r="0" b="0"/>
                  <wp:docPr id="30" name="Picture 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w:t>
            </w:r>
          </w:p>
          <w:p w14:paraId="5EE75D08" w14:textId="77777777" w:rsidR="00D62F3C" w:rsidRPr="002C32BA" w:rsidRDefault="00D62F3C" w:rsidP="005A06D3">
            <w:pPr>
              <w:rPr>
                <w:rFonts w:ascii="Times New Roman" w:hAnsi="Times New Roman" w:cs="Times New Roman"/>
                <w:iCs/>
                <w:sz w:val="20"/>
                <w:szCs w:val="20"/>
                <w:lang w:val="ro-RO"/>
              </w:rPr>
            </w:pPr>
          </w:p>
        </w:tc>
        <w:tc>
          <w:tcPr>
            <w:tcW w:w="1636" w:type="pct"/>
            <w:shd w:val="clear" w:color="auto" w:fill="auto"/>
          </w:tcPr>
          <w:p w14:paraId="4321EE5B"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70.</w:t>
            </w:r>
            <w:r w:rsidRPr="005C3300">
              <w:rPr>
                <w:rFonts w:ascii="Times New Roman" w:eastAsia="Times New Roman" w:hAnsi="Times New Roman" w:cs="Times New Roman"/>
                <w:color w:val="000000" w:themeColor="text1"/>
                <w:sz w:val="20"/>
                <w:szCs w:val="20"/>
                <w:lang w:val="ro-RO" w:eastAsia="ro-MD"/>
              </w:rPr>
              <w:t xml:space="preserve"> Băncile trebuie să calculeze valoarea ajustată integral a expunerii (E*) conform următoarei formule:</w:t>
            </w:r>
          </w:p>
          <w:p w14:paraId="07C1E531" w14:textId="77777777" w:rsidR="009F5B2D" w:rsidRPr="005C3300" w:rsidRDefault="009F5B2D" w:rsidP="009F5B2D">
            <w:pPr>
              <w:spacing w:after="0" w:line="240" w:lineRule="auto"/>
              <w:jc w:val="center"/>
              <w:rPr>
                <w:rFonts w:ascii="Times New Roman" w:eastAsia="Times New Roman" w:hAnsi="Times New Roman" w:cs="Times New Roman"/>
                <w:color w:val="000000" w:themeColor="text1"/>
                <w:sz w:val="20"/>
                <w:szCs w:val="20"/>
                <w:lang w:val="ro-RO" w:eastAsia="ro-MD"/>
              </w:rPr>
            </w:pPr>
          </w:p>
          <w:p w14:paraId="34822AE5" w14:textId="77777777" w:rsidR="009F5B2D" w:rsidRPr="005C3300" w:rsidRDefault="009F5B2D" w:rsidP="009F5B2D">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hAnsi="Times New Roman" w:cs="Times New Roman"/>
                <w:noProof/>
                <w:color w:val="000000" w:themeColor="text1"/>
                <w:sz w:val="20"/>
                <w:szCs w:val="20"/>
              </w:rPr>
              <w:drawing>
                <wp:inline distT="0" distB="0" distL="0" distR="0" wp14:anchorId="26C83154" wp14:editId="69191950">
                  <wp:extent cx="5495925" cy="771525"/>
                  <wp:effectExtent l="0" t="0" r="0" b="0"/>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95925" cy="7715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val="ro-RO" w:eastAsia="ro-MD"/>
              </w:rPr>
              <w:t> </w:t>
            </w:r>
          </w:p>
          <w:p w14:paraId="00B45F79"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unde:</w:t>
            </w:r>
          </w:p>
          <w:p w14:paraId="22BF54FD"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 xml:space="preserve">i = indicele care desemnează toate titlurile de valoare, mărfurile sau pozițiile în numerar separate din cadrul acordului care sunt date cu împrumut, vândute cu acordul de a răscumpăra sau furnizate de bancă </w:t>
            </w:r>
            <w:proofErr w:type="spellStart"/>
            <w:r w:rsidRPr="005C3300">
              <w:rPr>
                <w:rFonts w:ascii="Times New Roman" w:eastAsia="Times New Roman" w:hAnsi="Times New Roman" w:cs="Times New Roman"/>
                <w:color w:val="000000" w:themeColor="text1"/>
                <w:sz w:val="20"/>
                <w:szCs w:val="20"/>
                <w:lang w:val="ro-RO" w:eastAsia="ro-MD"/>
              </w:rPr>
              <w:t>contrapărții</w:t>
            </w:r>
            <w:proofErr w:type="spellEnd"/>
            <w:r w:rsidRPr="005C3300">
              <w:rPr>
                <w:rFonts w:ascii="Times New Roman" w:eastAsia="Times New Roman" w:hAnsi="Times New Roman" w:cs="Times New Roman"/>
                <w:color w:val="000000" w:themeColor="text1"/>
                <w:sz w:val="20"/>
                <w:szCs w:val="20"/>
                <w:lang w:val="ro-RO" w:eastAsia="ro-MD"/>
              </w:rPr>
              <w:t>;</w:t>
            </w:r>
          </w:p>
          <w:p w14:paraId="212C31F3"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j = indicele care desemnează toate titlurile de valoare, mărfurile sau pozițiile în numerar separate din cadrul acordului care sunt luate cu împrumut, achiziționate cu acordul de a revinde sau deținute de bancă;</w:t>
            </w:r>
          </w:p>
          <w:p w14:paraId="3784F38F"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k = indicele care desemnează toate monedele separate în care sunt denominate titlurile de valoare, mărfurile sau pozițiile în numerar din cadrul acordului;</w:t>
            </w:r>
          </w:p>
          <w:p w14:paraId="02808098"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E</w:t>
            </w:r>
            <w:r w:rsidRPr="005C3300">
              <w:rPr>
                <w:rFonts w:ascii="Times New Roman" w:eastAsia="Times New Roman" w:hAnsi="Times New Roman" w:cs="Times New Roman"/>
                <w:color w:val="000000" w:themeColor="text1"/>
                <w:sz w:val="20"/>
                <w:szCs w:val="20"/>
                <w:vertAlign w:val="subscript"/>
                <w:lang w:val="ro-RO" w:eastAsia="ro-MD"/>
              </w:rPr>
              <w:t>i</w:t>
            </w:r>
            <w:r w:rsidRPr="005C3300">
              <w:rPr>
                <w:rFonts w:ascii="Times New Roman" w:eastAsia="Times New Roman" w:hAnsi="Times New Roman" w:cs="Times New Roman"/>
                <w:color w:val="000000" w:themeColor="text1"/>
                <w:sz w:val="20"/>
                <w:szCs w:val="20"/>
                <w:lang w:val="ro-RO" w:eastAsia="ro-MD"/>
              </w:rPr>
              <w:t xml:space="preserve"> = valoarea expunerii pentru un anumit titlu de valoare, o anumită marfă sau o anumită poziție în numerar i, care este dat(ă) cu împrumut, vândut(ă) cu un acord de răscumpărare sau furnizat(ă) </w:t>
            </w:r>
            <w:proofErr w:type="spellStart"/>
            <w:r w:rsidRPr="005C3300">
              <w:rPr>
                <w:rFonts w:ascii="Times New Roman" w:eastAsia="Times New Roman" w:hAnsi="Times New Roman" w:cs="Times New Roman"/>
                <w:color w:val="000000" w:themeColor="text1"/>
                <w:sz w:val="20"/>
                <w:szCs w:val="20"/>
                <w:lang w:val="ro-RO" w:eastAsia="ro-MD"/>
              </w:rPr>
              <w:t>contrapărții</w:t>
            </w:r>
            <w:proofErr w:type="spellEnd"/>
            <w:r w:rsidRPr="005C3300">
              <w:rPr>
                <w:rFonts w:ascii="Times New Roman" w:eastAsia="Times New Roman" w:hAnsi="Times New Roman" w:cs="Times New Roman"/>
                <w:color w:val="000000" w:themeColor="text1"/>
                <w:sz w:val="20"/>
                <w:szCs w:val="20"/>
                <w:lang w:val="ro-RO" w:eastAsia="ro-MD"/>
              </w:rPr>
              <w:t xml:space="preserve"> în cadrul acordului, valoare care s-ar aplica în lipsa unei protecții a creditului în cazul în care băncile calculează valorile ponderate la risc ale expunerilor în conformitate cu Regulamentul nr.111/2018 sau actul normativ al Băncii Naționale a Moldovei aferent tratamentului riscului de credit pentru bănci potrivit abordării bazate pe modele interne de rating, după caz;</w:t>
            </w:r>
          </w:p>
          <w:p w14:paraId="16D1F587"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p>
          <w:p w14:paraId="0FC4F944"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proofErr w:type="spellStart"/>
            <w:r w:rsidRPr="005C3300">
              <w:rPr>
                <w:rFonts w:ascii="Times New Roman" w:eastAsia="Times New Roman" w:hAnsi="Times New Roman" w:cs="Times New Roman"/>
                <w:color w:val="000000" w:themeColor="text1"/>
                <w:sz w:val="20"/>
                <w:szCs w:val="20"/>
                <w:lang w:val="ro-RO" w:eastAsia="ro-MD"/>
              </w:rPr>
              <w:t>C</w:t>
            </w:r>
            <w:r w:rsidRPr="005C3300">
              <w:rPr>
                <w:rFonts w:ascii="Times New Roman" w:eastAsia="Times New Roman" w:hAnsi="Times New Roman" w:cs="Times New Roman"/>
                <w:color w:val="000000" w:themeColor="text1"/>
                <w:sz w:val="20"/>
                <w:szCs w:val="20"/>
                <w:vertAlign w:val="subscript"/>
                <w:lang w:val="ro-RO" w:eastAsia="ro-MD"/>
              </w:rPr>
              <w:t>j</w:t>
            </w:r>
            <w:proofErr w:type="spellEnd"/>
            <w:r w:rsidRPr="005C3300">
              <w:rPr>
                <w:rFonts w:ascii="Times New Roman" w:eastAsia="Times New Roman" w:hAnsi="Times New Roman" w:cs="Times New Roman"/>
                <w:color w:val="000000" w:themeColor="text1"/>
                <w:sz w:val="20"/>
                <w:szCs w:val="20"/>
                <w:vertAlign w:val="subscript"/>
                <w:lang w:val="ro-RO" w:eastAsia="ro-MD"/>
              </w:rPr>
              <w:t xml:space="preserve"> </w:t>
            </w:r>
            <w:r w:rsidRPr="005C3300">
              <w:rPr>
                <w:rFonts w:ascii="Times New Roman" w:eastAsia="Times New Roman" w:hAnsi="Times New Roman" w:cs="Times New Roman"/>
                <w:color w:val="000000" w:themeColor="text1"/>
                <w:sz w:val="20"/>
                <w:szCs w:val="20"/>
                <w:lang w:val="ro-RO" w:eastAsia="ro-MD"/>
              </w:rPr>
              <w:t>= valoarea unui anumit titlu de valoare, a unei anumite mărfuri sau a unei anumite poziții în mijloace bănești j, care este luat(ă) cu împrumut, achiziționat(ă) cu un acord de revânzare sau deținut(ă) de bancă în cadrul acordului;</w:t>
            </w:r>
          </w:p>
          <w:p w14:paraId="129B592F"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proofErr w:type="spellStart"/>
            <w:r w:rsidRPr="005C3300">
              <w:rPr>
                <w:rFonts w:ascii="Times New Roman" w:eastAsia="Times New Roman" w:hAnsi="Times New Roman" w:cs="Times New Roman"/>
                <w:color w:val="000000" w:themeColor="text1"/>
                <w:sz w:val="20"/>
                <w:szCs w:val="20"/>
                <w:lang w:val="ro-RO" w:eastAsia="ro-MD"/>
              </w:rPr>
              <w:t>E</w:t>
            </w:r>
            <w:r w:rsidRPr="005C3300">
              <w:rPr>
                <w:rFonts w:ascii="Times New Roman" w:eastAsia="Times New Roman" w:hAnsi="Times New Roman" w:cs="Times New Roman"/>
                <w:color w:val="000000" w:themeColor="text1"/>
                <w:sz w:val="20"/>
                <w:szCs w:val="20"/>
                <w:vertAlign w:val="subscript"/>
                <w:lang w:val="ro-RO" w:eastAsia="ro-MD"/>
              </w:rPr>
              <w:t>k</w:t>
            </w:r>
            <w:r w:rsidRPr="005C3300">
              <w:rPr>
                <w:rFonts w:ascii="Times New Roman" w:eastAsia="Times New Roman" w:hAnsi="Times New Roman" w:cs="Times New Roman"/>
                <w:color w:val="000000" w:themeColor="text1"/>
                <w:sz w:val="20"/>
                <w:szCs w:val="20"/>
                <w:vertAlign w:val="superscript"/>
                <w:lang w:val="ro-RO" w:eastAsia="ro-MD"/>
              </w:rPr>
              <w:t>fx</w:t>
            </w:r>
            <w:proofErr w:type="spellEnd"/>
            <w:r w:rsidRPr="005C3300">
              <w:rPr>
                <w:rFonts w:ascii="Times New Roman" w:eastAsia="Times New Roman" w:hAnsi="Times New Roman" w:cs="Times New Roman"/>
                <w:color w:val="000000" w:themeColor="text1"/>
                <w:sz w:val="20"/>
                <w:szCs w:val="20"/>
                <w:lang w:val="ro-RO" w:eastAsia="ro-MD"/>
              </w:rPr>
              <w:t xml:space="preserve"> = poziția netă (pozitivă sau negativă) într-o monedă dată </w:t>
            </w:r>
            <w:r w:rsidRPr="005C3300">
              <w:rPr>
                <w:rFonts w:ascii="Times New Roman" w:eastAsia="Times New Roman" w:hAnsi="Times New Roman" w:cs="Times New Roman"/>
                <w:i/>
                <w:iCs/>
                <w:color w:val="000000" w:themeColor="text1"/>
                <w:sz w:val="20"/>
                <w:szCs w:val="20"/>
                <w:lang w:val="ro-RO" w:eastAsia="ro-MD"/>
              </w:rPr>
              <w:t>k</w:t>
            </w:r>
            <w:r w:rsidRPr="005C3300">
              <w:rPr>
                <w:rFonts w:ascii="Times New Roman" w:eastAsia="Times New Roman" w:hAnsi="Times New Roman" w:cs="Times New Roman"/>
                <w:color w:val="000000" w:themeColor="text1"/>
                <w:sz w:val="20"/>
                <w:szCs w:val="20"/>
                <w:lang w:val="ro-RO" w:eastAsia="ro-MD"/>
              </w:rPr>
              <w:t>, alta decât moneda de decontare a acordului, astfel cum este calculată în conformitate cu punctul 69 subpunctul 2);</w:t>
            </w:r>
          </w:p>
          <w:p w14:paraId="6CB90B61"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proofErr w:type="spellStart"/>
            <w:r w:rsidRPr="005C3300">
              <w:rPr>
                <w:rFonts w:ascii="Times New Roman" w:eastAsia="Times New Roman" w:hAnsi="Times New Roman" w:cs="Times New Roman"/>
                <w:color w:val="000000" w:themeColor="text1"/>
                <w:sz w:val="20"/>
                <w:szCs w:val="20"/>
                <w:lang w:val="ro-RO" w:eastAsia="ro-MD"/>
              </w:rPr>
              <w:t>H</w:t>
            </w:r>
            <w:r w:rsidRPr="005C3300">
              <w:rPr>
                <w:rFonts w:ascii="Times New Roman" w:eastAsia="Times New Roman" w:hAnsi="Times New Roman" w:cs="Times New Roman"/>
                <w:color w:val="000000" w:themeColor="text1"/>
                <w:sz w:val="20"/>
                <w:szCs w:val="20"/>
                <w:vertAlign w:val="subscript"/>
                <w:lang w:val="ro-RO" w:eastAsia="ro-MD"/>
              </w:rPr>
              <w:t>j</w:t>
            </w:r>
            <w:r w:rsidRPr="005C3300">
              <w:rPr>
                <w:rFonts w:ascii="Times New Roman" w:eastAsia="Times New Roman" w:hAnsi="Times New Roman" w:cs="Times New Roman"/>
                <w:color w:val="000000" w:themeColor="text1"/>
                <w:sz w:val="20"/>
                <w:szCs w:val="20"/>
                <w:vertAlign w:val="superscript"/>
                <w:lang w:val="ro-RO" w:eastAsia="ro-MD"/>
              </w:rPr>
              <w:t>sec</w:t>
            </w:r>
            <w:proofErr w:type="spellEnd"/>
            <w:r w:rsidRPr="005C3300">
              <w:rPr>
                <w:rFonts w:ascii="Times New Roman" w:eastAsia="Times New Roman" w:hAnsi="Times New Roman" w:cs="Times New Roman"/>
                <w:color w:val="000000" w:themeColor="text1"/>
                <w:sz w:val="20"/>
                <w:szCs w:val="20"/>
                <w:lang w:val="ro-RO" w:eastAsia="ro-MD"/>
              </w:rPr>
              <w:t xml:space="preserve"> = ajustarea de volatilitate adecvată unui anumit grup de valori mobiliare </w:t>
            </w:r>
            <w:r w:rsidRPr="005C3300">
              <w:rPr>
                <w:rFonts w:ascii="Times New Roman" w:eastAsia="Times New Roman" w:hAnsi="Times New Roman" w:cs="Times New Roman"/>
                <w:i/>
                <w:iCs/>
                <w:color w:val="000000" w:themeColor="text1"/>
                <w:sz w:val="20"/>
                <w:szCs w:val="20"/>
                <w:lang w:val="ro-RO" w:eastAsia="ro-MD"/>
              </w:rPr>
              <w:t>j</w:t>
            </w:r>
            <w:r w:rsidRPr="005C3300">
              <w:rPr>
                <w:rFonts w:ascii="Times New Roman" w:eastAsia="Times New Roman" w:hAnsi="Times New Roman" w:cs="Times New Roman"/>
                <w:color w:val="000000" w:themeColor="text1"/>
                <w:sz w:val="20"/>
                <w:szCs w:val="20"/>
                <w:lang w:val="ro-RO" w:eastAsia="ro-MD"/>
              </w:rPr>
              <w:t>;</w:t>
            </w:r>
          </w:p>
          <w:p w14:paraId="11F687FF"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val="ro-RO" w:eastAsia="ro-MD"/>
              </w:rPr>
            </w:pPr>
            <w:proofErr w:type="spellStart"/>
            <w:r w:rsidRPr="005C3300">
              <w:rPr>
                <w:rFonts w:ascii="Times New Roman" w:eastAsia="Times New Roman" w:hAnsi="Times New Roman" w:cs="Times New Roman"/>
                <w:color w:val="000000" w:themeColor="text1"/>
                <w:sz w:val="20"/>
                <w:szCs w:val="20"/>
                <w:lang w:val="ro-RO" w:eastAsia="ro-MD"/>
              </w:rPr>
              <w:t>H</w:t>
            </w:r>
            <w:r w:rsidRPr="005C3300">
              <w:rPr>
                <w:rFonts w:ascii="Times New Roman" w:eastAsia="Times New Roman" w:hAnsi="Times New Roman" w:cs="Times New Roman"/>
                <w:color w:val="000000" w:themeColor="text1"/>
                <w:sz w:val="20"/>
                <w:szCs w:val="20"/>
                <w:vertAlign w:val="subscript"/>
                <w:lang w:val="ro-RO" w:eastAsia="ro-MD"/>
              </w:rPr>
              <w:t>k</w:t>
            </w:r>
            <w:r w:rsidRPr="005C3300">
              <w:rPr>
                <w:rFonts w:ascii="Times New Roman" w:eastAsia="Times New Roman" w:hAnsi="Times New Roman" w:cs="Times New Roman"/>
                <w:color w:val="000000" w:themeColor="text1"/>
                <w:sz w:val="20"/>
                <w:szCs w:val="20"/>
                <w:vertAlign w:val="superscript"/>
                <w:lang w:val="ro-RO" w:eastAsia="ro-MD"/>
              </w:rPr>
              <w:t>fx</w:t>
            </w:r>
            <w:proofErr w:type="spellEnd"/>
            <w:r w:rsidRPr="005C3300">
              <w:rPr>
                <w:rFonts w:ascii="Times New Roman" w:eastAsia="Times New Roman" w:hAnsi="Times New Roman" w:cs="Times New Roman"/>
                <w:color w:val="000000" w:themeColor="text1"/>
                <w:sz w:val="20"/>
                <w:szCs w:val="20"/>
                <w:lang w:val="ro-RO" w:eastAsia="ro-MD"/>
              </w:rPr>
              <w:t xml:space="preserve"> = ajustarea de volatilitate aferentă riscului valutar pentru moneda </w:t>
            </w:r>
            <w:r w:rsidRPr="005C3300">
              <w:rPr>
                <w:rFonts w:ascii="Times New Roman" w:eastAsia="Times New Roman" w:hAnsi="Times New Roman" w:cs="Times New Roman"/>
                <w:i/>
                <w:iCs/>
                <w:color w:val="000000" w:themeColor="text1"/>
                <w:sz w:val="20"/>
                <w:szCs w:val="20"/>
                <w:lang w:val="ro-RO" w:eastAsia="ro-MD"/>
              </w:rPr>
              <w:t>k,</w:t>
            </w:r>
            <w:r w:rsidRPr="005C3300">
              <w:rPr>
                <w:rFonts w:ascii="Times New Roman" w:eastAsia="Times New Roman" w:hAnsi="Times New Roman" w:cs="Times New Roman"/>
                <w:color w:val="000000" w:themeColor="text1"/>
                <w:sz w:val="20"/>
                <w:szCs w:val="20"/>
                <w:lang w:val="ro-RO" w:eastAsia="ro-MD"/>
              </w:rPr>
              <w:t xml:space="preserve"> calculată în conformitate cu secțiunea 6 din prezentul capitol.</w:t>
            </w:r>
          </w:p>
          <w:p w14:paraId="39CBE993" w14:textId="77777777" w:rsidR="009F5B2D" w:rsidRPr="005C3300" w:rsidRDefault="009F5B2D" w:rsidP="009F5B2D">
            <w:pPr>
              <w:spacing w:after="0" w:line="240" w:lineRule="auto"/>
              <w:ind w:firstLine="567"/>
              <w:jc w:val="both"/>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02ECFBF1" wp14:editId="1CA11570">
                  <wp:extent cx="323850" cy="276225"/>
                  <wp:effectExtent l="0" t="0" r="0" b="0"/>
                  <wp:docPr id="35"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ajustarea</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volatilitate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corespunzătoare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cursului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schimb</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aferent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monedei</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k;</w:t>
            </w:r>
            <w:proofErr w:type="gramEnd"/>
          </w:p>
          <w:p w14:paraId="5ECC7F1F" w14:textId="77777777" w:rsidR="009F5B2D" w:rsidRPr="005C3300" w:rsidRDefault="009F5B2D" w:rsidP="009F5B2D">
            <w:pPr>
              <w:spacing w:before="195" w:after="0" w:line="312" w:lineRule="atLeast"/>
              <w:ind w:firstLine="567"/>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i/>
                <w:iCs/>
                <w:color w:val="000000" w:themeColor="text1"/>
                <w:sz w:val="20"/>
                <w:szCs w:val="20"/>
                <w:lang w:eastAsia="ro-MD"/>
              </w:rPr>
              <w:t>E</w:t>
            </w:r>
            <w:r w:rsidRPr="005C3300">
              <w:rPr>
                <w:rFonts w:ascii="Times New Roman" w:eastAsia="Times New Roman" w:hAnsi="Times New Roman" w:cs="Times New Roman"/>
                <w:i/>
                <w:iCs/>
                <w:color w:val="000000" w:themeColor="text1"/>
                <w:sz w:val="20"/>
                <w:szCs w:val="20"/>
                <w:vertAlign w:val="subscript"/>
                <w:lang w:eastAsia="ro-MD"/>
              </w:rPr>
              <w:t xml:space="preserve">net = </w:t>
            </w:r>
            <w:proofErr w:type="spellStart"/>
            <w:r w:rsidRPr="005C3300">
              <w:rPr>
                <w:rFonts w:ascii="Times New Roman" w:eastAsia="Times New Roman" w:hAnsi="Times New Roman" w:cs="Times New Roman"/>
                <w:color w:val="000000" w:themeColor="text1"/>
                <w:sz w:val="20"/>
                <w:szCs w:val="20"/>
                <w:lang w:eastAsia="ro-MD"/>
              </w:rPr>
              <w:t>expunerea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netă</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a</w:t>
            </w:r>
            <w:proofErr w:type="gramEnd"/>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calculată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după</w:t>
            </w:r>
            <w:proofErr w:type="spellEnd"/>
            <w:r w:rsidRPr="005C3300">
              <w:rPr>
                <w:rFonts w:ascii="Times New Roman" w:eastAsia="Times New Roman" w:hAnsi="Times New Roman" w:cs="Times New Roman"/>
                <w:color w:val="000000" w:themeColor="text1"/>
                <w:sz w:val="20"/>
                <w:szCs w:val="20"/>
                <w:lang w:eastAsia="ro-MD"/>
              </w:rPr>
              <w:t xml:space="preserve"> cum </w:t>
            </w:r>
            <w:proofErr w:type="spellStart"/>
            <w:r w:rsidRPr="005C3300">
              <w:rPr>
                <w:rFonts w:ascii="Times New Roman" w:eastAsia="Times New Roman" w:hAnsi="Times New Roman" w:cs="Times New Roman"/>
                <w:color w:val="000000" w:themeColor="text1"/>
                <w:sz w:val="20"/>
                <w:szCs w:val="20"/>
                <w:lang w:eastAsia="ro-MD"/>
              </w:rPr>
              <w:t>urmează</w:t>
            </w:r>
            <w:proofErr w:type="spellEnd"/>
            <w:r w:rsidRPr="005C3300">
              <w:rPr>
                <w:rFonts w:ascii="Times New Roman" w:eastAsia="Times New Roman" w:hAnsi="Times New Roman" w:cs="Times New Roman"/>
                <w:color w:val="000000" w:themeColor="text1"/>
                <w:sz w:val="20"/>
                <w:szCs w:val="20"/>
                <w:lang w:eastAsia="ro-MD"/>
              </w:rPr>
              <w:t>:</w:t>
            </w:r>
          </w:p>
          <w:p w14:paraId="6635B67B" w14:textId="77777777" w:rsidR="009F5B2D" w:rsidRPr="005C3300" w:rsidRDefault="009F5B2D" w:rsidP="009F5B2D">
            <w:pPr>
              <w:shd w:val="clear" w:color="auto" w:fill="FFFFFF"/>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3F38D4D9" wp14:editId="024A7183">
                  <wp:extent cx="1847850" cy="685800"/>
                  <wp:effectExtent l="0" t="0" r="0" b="0"/>
                  <wp:docPr id="36"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p>
          <w:p w14:paraId="35A66DF1" w14:textId="77777777" w:rsidR="009F5B2D" w:rsidRPr="005C3300" w:rsidRDefault="009F5B2D" w:rsidP="009F5B2D">
            <w:pPr>
              <w:shd w:val="clear" w:color="auto" w:fill="FFFFFF"/>
              <w:spacing w:before="120" w:after="0" w:line="312" w:lineRule="atLeast"/>
              <w:jc w:val="both"/>
              <w:rPr>
                <w:rFonts w:ascii="Times New Roman" w:eastAsia="Times New Roman" w:hAnsi="Times New Roman" w:cs="Times New Roman"/>
                <w:color w:val="000000" w:themeColor="text1"/>
                <w:sz w:val="20"/>
                <w:szCs w:val="20"/>
                <w:lang w:eastAsia="ro-MD"/>
              </w:rPr>
            </w:pPr>
            <w:proofErr w:type="spellStart"/>
            <w:r w:rsidRPr="005C3300">
              <w:rPr>
                <w:rFonts w:ascii="Times New Roman" w:eastAsia="Times New Roman" w:hAnsi="Times New Roman" w:cs="Times New Roman"/>
                <w:color w:val="000000" w:themeColor="text1"/>
                <w:sz w:val="20"/>
                <w:szCs w:val="20"/>
                <w:lang w:eastAsia="ro-MD"/>
              </w:rPr>
              <w:t>unde</w:t>
            </w:r>
            <w:proofErr w:type="spellEnd"/>
            <w:r w:rsidRPr="005C3300">
              <w:rPr>
                <w:rFonts w:ascii="Times New Roman" w:eastAsia="Times New Roman" w:hAnsi="Times New Roman" w:cs="Times New Roman"/>
                <w:color w:val="000000" w:themeColor="text1"/>
                <w:sz w:val="20"/>
                <w:szCs w:val="20"/>
                <w:lang w:eastAsia="ro-MD"/>
              </w:rPr>
              <w:t>:</w:t>
            </w:r>
          </w:p>
          <w:tbl>
            <w:tblPr>
              <w:tblW w:w="4865" w:type="dxa"/>
              <w:tblLayout w:type="fixed"/>
              <w:tblCellMar>
                <w:left w:w="0" w:type="dxa"/>
                <w:right w:w="0" w:type="dxa"/>
              </w:tblCellMar>
              <w:tblLook w:val="04A0" w:firstRow="1" w:lastRow="0" w:firstColumn="1" w:lastColumn="0" w:noHBand="0" w:noVBand="1"/>
            </w:tblPr>
            <w:tblGrid>
              <w:gridCol w:w="21"/>
              <w:gridCol w:w="4844"/>
            </w:tblGrid>
            <w:tr w:rsidR="009F5B2D" w:rsidRPr="005C3300" w14:paraId="717AF04A" w14:textId="77777777" w:rsidTr="009F5B2D">
              <w:trPr>
                <w:trHeight w:val="1262"/>
              </w:trPr>
              <w:tc>
                <w:tcPr>
                  <w:tcW w:w="22" w:type="pct"/>
                  <w:hideMark/>
                </w:tcPr>
                <w:p w14:paraId="4CD4878C" w14:textId="77777777" w:rsidR="009F5B2D" w:rsidRPr="005C3300" w:rsidRDefault="009F5B2D" w:rsidP="009F5B2D">
                  <w:pPr>
                    <w:spacing w:before="195" w:after="0" w:line="312" w:lineRule="atLeast"/>
                    <w:rPr>
                      <w:rFonts w:ascii="Times New Roman" w:eastAsia="Times New Roman" w:hAnsi="Times New Roman" w:cs="Times New Roman"/>
                      <w:i/>
                      <w:iCs/>
                      <w:color w:val="000000" w:themeColor="text1"/>
                      <w:sz w:val="20"/>
                      <w:szCs w:val="20"/>
                      <w:lang w:eastAsia="ro-MD"/>
                    </w:rPr>
                  </w:pPr>
                  <w:r w:rsidRPr="005C3300">
                    <w:rPr>
                      <w:rFonts w:ascii="Times New Roman" w:eastAsia="Times New Roman" w:hAnsi="Times New Roman" w:cs="Times New Roman"/>
                      <w:i/>
                      <w:iCs/>
                      <w:color w:val="000000" w:themeColor="text1"/>
                      <w:sz w:val="20"/>
                      <w:szCs w:val="20"/>
                      <w:lang w:eastAsia="ro-MD"/>
                    </w:rPr>
                    <w:t>l</w:t>
                  </w:r>
                </w:p>
              </w:tc>
              <w:tc>
                <w:tcPr>
                  <w:tcW w:w="4978" w:type="pct"/>
                  <w:hideMark/>
                </w:tcPr>
                <w:p w14:paraId="1060ED43" w14:textId="1C365FDF" w:rsidR="009F5B2D" w:rsidRPr="005C3300" w:rsidRDefault="009F5B2D" w:rsidP="009F5B2D">
                  <w:pPr>
                    <w:spacing w:before="120" w:after="0" w:line="312" w:lineRule="atLeast"/>
                    <w:jc w:val="both"/>
                    <w:rPr>
                      <w:rFonts w:ascii="Times New Roman" w:eastAsia="Times New Roman" w:hAnsi="Times New Roman" w:cs="Times New Roman"/>
                      <w:color w:val="000000" w:themeColor="text1"/>
                      <w:sz w:val="20"/>
                      <w:szCs w:val="20"/>
                      <w:lang w:eastAsia="ro-MD"/>
                    </w:rPr>
                  </w:pPr>
                  <w:r>
                    <w:rPr>
                      <w:rFonts w:ascii="Times New Roman" w:eastAsia="Times New Roman" w:hAnsi="Times New Roman" w:cs="Times New Roman"/>
                      <w:color w:val="000000" w:themeColor="text1"/>
                      <w:sz w:val="20"/>
                      <w:szCs w:val="20"/>
                      <w:lang w:eastAsia="ro-MD"/>
                    </w:rPr>
                    <w:t>i</w:t>
                  </w:r>
                  <w:r w:rsidRPr="005C3300">
                    <w:rPr>
                      <w:rFonts w:ascii="Times New Roman" w:eastAsia="Times New Roman" w:hAnsi="Times New Roman" w:cs="Times New Roman"/>
                      <w:color w:val="000000" w:themeColor="text1"/>
                      <w:sz w:val="20"/>
                      <w:szCs w:val="20"/>
                      <w:lang w:eastAsia="ro-MD"/>
                    </w:rPr>
                    <w:t xml:space="preserve"> = </w:t>
                  </w:r>
                  <w:proofErr w:type="spellStart"/>
                  <w:r w:rsidRPr="005C3300">
                    <w:rPr>
                      <w:rFonts w:ascii="Times New Roman" w:eastAsia="Times New Roman" w:hAnsi="Times New Roman" w:cs="Times New Roman"/>
                      <w:color w:val="000000" w:themeColor="text1"/>
                      <w:sz w:val="20"/>
                      <w:szCs w:val="20"/>
                      <w:lang w:eastAsia="ro-MD"/>
                    </w:rPr>
                    <w:t>indicele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desemnează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grupurile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distincte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aceleași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tipurile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distincte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aceleași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w:t>
                  </w:r>
                </w:p>
              </w:tc>
            </w:tr>
          </w:tbl>
          <w:p w14:paraId="146135A1" w14:textId="77777777" w:rsidR="009F5B2D" w:rsidRPr="005C3300" w:rsidRDefault="009F5B2D" w:rsidP="009F5B2D">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293"/>
              <w:gridCol w:w="4372"/>
            </w:tblGrid>
            <w:tr w:rsidR="009F5B2D" w:rsidRPr="005C3300" w14:paraId="36D6A3B8" w14:textId="77777777" w:rsidTr="005C3300">
              <w:tc>
                <w:tcPr>
                  <w:tcW w:w="570" w:type="dxa"/>
                  <w:hideMark/>
                </w:tcPr>
                <w:p w14:paraId="705326F2" w14:textId="77777777" w:rsidR="009F5B2D" w:rsidRPr="005C3300" w:rsidRDefault="009F5B2D" w:rsidP="009F5B2D">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7CF1588C" wp14:editId="0BF04C05">
                        <wp:extent cx="361950" cy="276225"/>
                        <wp:effectExtent l="0" t="0" r="0" b="0"/>
                        <wp:docPr id="37" name="Picture 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8785" w:type="dxa"/>
                  <w:hideMark/>
                </w:tcPr>
                <w:p w14:paraId="4109FA5D" w14:textId="77777777" w:rsidR="009F5B2D" w:rsidRPr="005C3300" w:rsidRDefault="009F5B2D" w:rsidP="009F5B2D">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poziția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pozitivă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negativă</w:t>
                  </w:r>
                  <w:proofErr w:type="spellEnd"/>
                  <w:r w:rsidRPr="005C3300">
                    <w:rPr>
                      <w:rFonts w:ascii="Times New Roman" w:eastAsia="Times New Roman" w:hAnsi="Times New Roman" w:cs="Times New Roman"/>
                      <w:color w:val="000000" w:themeColor="text1"/>
                      <w:sz w:val="20"/>
                      <w:szCs w:val="20"/>
                      <w:lang w:eastAsia="ro-MD"/>
                    </w:rPr>
                    <w:t xml:space="preserve">) pe un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grup</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r w:rsidRPr="005C3300">
                    <w:rPr>
                      <w:rFonts w:ascii="Times New Roman" w:eastAsia="Times New Roman" w:hAnsi="Times New Roman" w:cs="Times New Roman"/>
                      <w:i/>
                      <w:iCs/>
                      <w:color w:val="000000" w:themeColor="text1"/>
                      <w:sz w:val="20"/>
                      <w:szCs w:val="20"/>
                      <w:lang w:eastAsia="ro-MD"/>
                    </w:rPr>
                    <w:t>l</w:t>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pe un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tip de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w:t>
                  </w:r>
                  <w:r w:rsidRPr="005C3300">
                    <w:rPr>
                      <w:rFonts w:ascii="Times New Roman" w:eastAsia="Times New Roman" w:hAnsi="Times New Roman" w:cs="Times New Roman"/>
                      <w:i/>
                      <w:iCs/>
                      <w:color w:val="000000" w:themeColor="text1"/>
                      <w:sz w:val="20"/>
                      <w:szCs w:val="20"/>
                      <w:lang w:eastAsia="ro-MD"/>
                    </w:rPr>
                    <w:t>l</w:t>
                  </w:r>
                  <w:r w:rsidRPr="005C3300">
                    <w:rPr>
                      <w:rFonts w:ascii="Times New Roman" w:eastAsia="Times New Roman" w:hAnsi="Times New Roman" w:cs="Times New Roman"/>
                      <w:color w:val="000000" w:themeColor="text1"/>
                      <w:sz w:val="20"/>
                      <w:szCs w:val="20"/>
                      <w:lang w:eastAsia="ro-MD"/>
                    </w:rPr>
                    <w:t xml:space="preserve">,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calculată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conformitate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punctul</w:t>
                  </w:r>
                  <w:proofErr w:type="spellEnd"/>
                  <w:r w:rsidRPr="005C3300">
                    <w:rPr>
                      <w:rFonts w:ascii="Times New Roman" w:eastAsia="Times New Roman" w:hAnsi="Times New Roman" w:cs="Times New Roman"/>
                      <w:color w:val="000000" w:themeColor="text1"/>
                      <w:sz w:val="20"/>
                      <w:szCs w:val="20"/>
                      <w:lang w:eastAsia="ro-MD"/>
                    </w:rPr>
                    <w:t xml:space="preserve"> 69 </w:t>
                  </w:r>
                  <w:proofErr w:type="spellStart"/>
                  <w:r w:rsidRPr="005C3300">
                    <w:rPr>
                      <w:rFonts w:ascii="Times New Roman" w:eastAsia="Times New Roman" w:hAnsi="Times New Roman" w:cs="Times New Roman"/>
                      <w:color w:val="000000" w:themeColor="text1"/>
                      <w:sz w:val="20"/>
                      <w:szCs w:val="20"/>
                      <w:lang w:eastAsia="ro-MD"/>
                    </w:rPr>
                    <w:t>subpunctul</w:t>
                  </w:r>
                  <w:proofErr w:type="spellEnd"/>
                  <w:r w:rsidRPr="005C3300">
                    <w:rPr>
                      <w:rFonts w:ascii="Times New Roman" w:eastAsia="Times New Roman" w:hAnsi="Times New Roman" w:cs="Times New Roman"/>
                      <w:color w:val="000000" w:themeColor="text1"/>
                      <w:sz w:val="20"/>
                      <w:szCs w:val="20"/>
                      <w:lang w:eastAsia="ro-MD"/>
                    </w:rPr>
                    <w:t xml:space="preserve"> 1);</w:t>
                  </w:r>
                </w:p>
              </w:tc>
            </w:tr>
          </w:tbl>
          <w:p w14:paraId="63538CD4" w14:textId="77777777" w:rsidR="009F5B2D" w:rsidRPr="005C3300" w:rsidRDefault="009F5B2D" w:rsidP="009F5B2D">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293"/>
              <w:gridCol w:w="4372"/>
            </w:tblGrid>
            <w:tr w:rsidR="009F5B2D" w:rsidRPr="005C3300" w14:paraId="2C1B4B8E" w14:textId="77777777" w:rsidTr="005C3300">
              <w:tc>
                <w:tcPr>
                  <w:tcW w:w="570" w:type="dxa"/>
                  <w:hideMark/>
                </w:tcPr>
                <w:p w14:paraId="174E89B1" w14:textId="77777777" w:rsidR="009F5B2D" w:rsidRPr="005C3300" w:rsidRDefault="009F5B2D" w:rsidP="009F5B2D">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hAnsi="Times New Roman" w:cs="Times New Roman"/>
                      <w:noProof/>
                      <w:color w:val="000000" w:themeColor="text1"/>
                      <w:sz w:val="20"/>
                      <w:szCs w:val="20"/>
                    </w:rPr>
                    <w:drawing>
                      <wp:inline distT="0" distB="0" distL="0" distR="0" wp14:anchorId="6F81A81C" wp14:editId="1014E05F">
                        <wp:extent cx="361950" cy="276225"/>
                        <wp:effectExtent l="0" t="0" r="0" b="0"/>
                        <wp:docPr id="38" name="Picture 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8785" w:type="dxa"/>
                  <w:hideMark/>
                </w:tcPr>
                <w:p w14:paraId="3B051BA0" w14:textId="77777777" w:rsidR="009F5B2D" w:rsidRPr="005C3300" w:rsidRDefault="009F5B2D" w:rsidP="009F5B2D">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ajustarea</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volatilitate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corespunzătoare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grup</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l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anumit</w:t>
                  </w:r>
                  <w:proofErr w:type="spellEnd"/>
                  <w:r w:rsidRPr="005C3300">
                    <w:rPr>
                      <w:rFonts w:ascii="Times New Roman" w:eastAsia="Times New Roman" w:hAnsi="Times New Roman" w:cs="Times New Roman"/>
                      <w:color w:val="000000" w:themeColor="text1"/>
                      <w:sz w:val="20"/>
                      <w:szCs w:val="20"/>
                      <w:lang w:eastAsia="ro-MD"/>
                    </w:rPr>
                    <w:t xml:space="preserve"> tip de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w:t>
                  </w:r>
                  <w:r w:rsidRPr="005C3300">
                    <w:rPr>
                      <w:rFonts w:ascii="Times New Roman" w:eastAsia="Times New Roman" w:hAnsi="Times New Roman" w:cs="Times New Roman"/>
                      <w:i/>
                      <w:iCs/>
                      <w:color w:val="000000" w:themeColor="text1"/>
                      <w:sz w:val="20"/>
                      <w:szCs w:val="20"/>
                      <w:lang w:eastAsia="ro-MD"/>
                    </w:rPr>
                    <w:t>l</w:t>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stabilită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conformitate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punctul</w:t>
                  </w:r>
                  <w:proofErr w:type="spellEnd"/>
                  <w:r w:rsidRPr="005C3300">
                    <w:rPr>
                      <w:rFonts w:ascii="Times New Roman" w:eastAsia="Times New Roman" w:hAnsi="Times New Roman" w:cs="Times New Roman"/>
                      <w:color w:val="000000" w:themeColor="text1"/>
                      <w:sz w:val="20"/>
                      <w:szCs w:val="20"/>
                      <w:lang w:eastAsia="ro-MD"/>
                    </w:rPr>
                    <w:t xml:space="preserve"> 69 </w:t>
                  </w:r>
                  <w:proofErr w:type="spellStart"/>
                  <w:r w:rsidRPr="005C3300">
                    <w:rPr>
                      <w:rFonts w:ascii="Times New Roman" w:eastAsia="Times New Roman" w:hAnsi="Times New Roman" w:cs="Times New Roman"/>
                      <w:color w:val="000000" w:themeColor="text1"/>
                      <w:sz w:val="20"/>
                      <w:szCs w:val="20"/>
                      <w:lang w:eastAsia="ro-MD"/>
                    </w:rPr>
                    <w:t>subpunctul</w:t>
                  </w:r>
                  <w:proofErr w:type="spellEnd"/>
                  <w:r w:rsidRPr="005C3300">
                    <w:rPr>
                      <w:rFonts w:ascii="Times New Roman" w:eastAsia="Times New Roman" w:hAnsi="Times New Roman" w:cs="Times New Roman"/>
                      <w:color w:val="000000" w:themeColor="text1"/>
                      <w:sz w:val="20"/>
                      <w:szCs w:val="20"/>
                      <w:lang w:eastAsia="ro-MD"/>
                    </w:rPr>
                    <w:t xml:space="preserve"> 3); </w:t>
                  </w:r>
                  <w:proofErr w:type="spellStart"/>
                  <w:r w:rsidRPr="005C3300">
                    <w:rPr>
                      <w:rFonts w:ascii="Times New Roman" w:eastAsia="Times New Roman" w:hAnsi="Times New Roman" w:cs="Times New Roman"/>
                      <w:color w:val="000000" w:themeColor="text1"/>
                      <w:sz w:val="20"/>
                      <w:szCs w:val="20"/>
                      <w:lang w:eastAsia="ro-MD"/>
                    </w:rPr>
                    <w:t>semnul</w:t>
                  </w:r>
                  <w:proofErr w:type="spellEnd"/>
                  <w:r w:rsidRPr="005C3300">
                    <w:rPr>
                      <w:rFonts w:ascii="Times New Roman" w:eastAsia="Times New Roman" w:hAnsi="Times New Roman" w:cs="Times New Roman"/>
                      <w:color w:val="000000" w:themeColor="text1"/>
                      <w:sz w:val="20"/>
                      <w:szCs w:val="20"/>
                      <w:lang w:eastAsia="ro-MD"/>
                    </w:rPr>
                    <w:t> </w:t>
                  </w:r>
                  <w:r w:rsidRPr="005C3300">
                    <w:rPr>
                      <w:rFonts w:ascii="Times New Roman" w:hAnsi="Times New Roman" w:cs="Times New Roman"/>
                      <w:noProof/>
                      <w:color w:val="000000" w:themeColor="text1"/>
                      <w:sz w:val="20"/>
                      <w:szCs w:val="20"/>
                    </w:rPr>
                    <w:drawing>
                      <wp:inline distT="0" distB="0" distL="0" distR="0" wp14:anchorId="17205A27" wp14:editId="21247E7A">
                        <wp:extent cx="361950" cy="276225"/>
                        <wp:effectExtent l="0" t="0" r="0" b="0"/>
                        <wp:docPr id="39" name="Picture 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 xml:space="preserve"> se </w:t>
                  </w:r>
                  <w:proofErr w:type="spellStart"/>
                  <w:r w:rsidRPr="005C3300">
                    <w:rPr>
                      <w:rFonts w:ascii="Times New Roman" w:eastAsia="Times New Roman" w:hAnsi="Times New Roman" w:cs="Times New Roman"/>
                      <w:color w:val="000000" w:themeColor="text1"/>
                      <w:sz w:val="20"/>
                      <w:szCs w:val="20"/>
                      <w:lang w:eastAsia="ro-MD"/>
                    </w:rPr>
                    <w:t>stabilește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după</w:t>
                  </w:r>
                  <w:proofErr w:type="spellEnd"/>
                  <w:r w:rsidRPr="005C3300">
                    <w:rPr>
                      <w:rFonts w:ascii="Times New Roman" w:eastAsia="Times New Roman" w:hAnsi="Times New Roman" w:cs="Times New Roman"/>
                      <w:color w:val="000000" w:themeColor="text1"/>
                      <w:sz w:val="20"/>
                      <w:szCs w:val="20"/>
                      <w:lang w:eastAsia="ro-MD"/>
                    </w:rPr>
                    <w:t xml:space="preserve"> cum </w:t>
                  </w:r>
                  <w:proofErr w:type="spellStart"/>
                  <w:r w:rsidRPr="005C3300">
                    <w:rPr>
                      <w:rFonts w:ascii="Times New Roman" w:eastAsia="Times New Roman" w:hAnsi="Times New Roman" w:cs="Times New Roman"/>
                      <w:color w:val="000000" w:themeColor="text1"/>
                      <w:sz w:val="20"/>
                      <w:szCs w:val="20"/>
                      <w:lang w:eastAsia="ro-MD"/>
                    </w:rPr>
                    <w:t>urmează</w:t>
                  </w:r>
                  <w:proofErr w:type="spellEnd"/>
                  <w:r w:rsidRPr="005C3300">
                    <w:rPr>
                      <w:rFonts w:ascii="Times New Roman" w:eastAsia="Times New Roman" w:hAnsi="Times New Roman" w:cs="Times New Roman"/>
                      <w:color w:val="000000" w:themeColor="text1"/>
                      <w:sz w:val="20"/>
                      <w:szCs w:val="20"/>
                      <w:lang w:eastAsia="ro-MD"/>
                    </w:rPr>
                    <w:t>:</w:t>
                  </w:r>
                </w:p>
                <w:p w14:paraId="4E01982C" w14:textId="77777777" w:rsidR="009F5B2D" w:rsidRPr="005C3300" w:rsidRDefault="009F5B2D" w:rsidP="009F5B2D">
                  <w:pPr>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1) </w:t>
                  </w:r>
                  <w:proofErr w:type="spellStart"/>
                  <w:r w:rsidRPr="005C3300">
                    <w:rPr>
                      <w:rFonts w:ascii="Times New Roman" w:eastAsia="Times New Roman" w:hAnsi="Times New Roman" w:cs="Times New Roman"/>
                      <w:color w:val="000000" w:themeColor="text1"/>
                      <w:sz w:val="20"/>
                      <w:szCs w:val="20"/>
                      <w:lang w:eastAsia="ro-MD"/>
                    </w:rPr>
                    <w:t>semn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pozitiv</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grupul</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r w:rsidRPr="005C3300">
                    <w:rPr>
                      <w:rFonts w:ascii="Times New Roman" w:eastAsia="Times New Roman" w:hAnsi="Times New Roman" w:cs="Times New Roman"/>
                      <w:i/>
                      <w:iCs/>
                      <w:color w:val="000000" w:themeColor="text1"/>
                      <w:sz w:val="20"/>
                      <w:szCs w:val="20"/>
                      <w:lang w:eastAsia="ro-MD"/>
                    </w:rPr>
                    <w:t>l</w:t>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dat</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vândut</w:t>
                  </w:r>
                  <w:proofErr w:type="spellEnd"/>
                  <w:r w:rsidRPr="005C3300">
                    <w:rPr>
                      <w:rFonts w:ascii="Times New Roman" w:eastAsia="Times New Roman" w:hAnsi="Times New Roman" w:cs="Times New Roman"/>
                      <w:color w:val="000000" w:themeColor="text1"/>
                      <w:sz w:val="20"/>
                      <w:szCs w:val="20"/>
                      <w:lang w:eastAsia="ro-MD"/>
                    </w:rPr>
                    <w:t xml:space="preserve">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răscumpărare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tranzacționat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într</w:t>
                  </w:r>
                  <w:proofErr w:type="spellEnd"/>
                  <w:r w:rsidRPr="005C3300">
                    <w:rPr>
                      <w:rFonts w:ascii="Times New Roman" w:eastAsia="Times New Roman" w:hAnsi="Times New Roman" w:cs="Times New Roman"/>
                      <w:color w:val="000000" w:themeColor="text1"/>
                      <w:sz w:val="20"/>
                      <w:szCs w:val="20"/>
                      <w:lang w:eastAsia="ro-MD"/>
                    </w:rPr>
                    <w:t xml:space="preserve">-un mod similar cu </w:t>
                  </w:r>
                  <w:proofErr w:type="spellStart"/>
                  <w:r w:rsidRPr="005C3300">
                    <w:rPr>
                      <w:rFonts w:ascii="Times New Roman" w:eastAsia="Times New Roman" w:hAnsi="Times New Roman" w:cs="Times New Roman"/>
                      <w:color w:val="000000" w:themeColor="text1"/>
                      <w:sz w:val="20"/>
                      <w:szCs w:val="20"/>
                      <w:lang w:eastAsia="ro-MD"/>
                    </w:rPr>
                    <w:t>darea</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repo;</w:t>
                  </w:r>
                  <w:proofErr w:type="gramEnd"/>
                </w:p>
                <w:p w14:paraId="2E37C207" w14:textId="77777777" w:rsidR="009F5B2D" w:rsidRPr="005C3300" w:rsidRDefault="009F5B2D" w:rsidP="009F5B2D">
                  <w:pPr>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2) </w:t>
                  </w:r>
                  <w:proofErr w:type="spellStart"/>
                  <w:r w:rsidRPr="005C3300">
                    <w:rPr>
                      <w:rFonts w:ascii="Times New Roman" w:eastAsia="Times New Roman" w:hAnsi="Times New Roman" w:cs="Times New Roman"/>
                      <w:color w:val="000000" w:themeColor="text1"/>
                      <w:sz w:val="20"/>
                      <w:szCs w:val="20"/>
                      <w:lang w:eastAsia="ro-MD"/>
                    </w:rPr>
                    <w:t>semn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negativ</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grupul</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r w:rsidRPr="005C3300">
                    <w:rPr>
                      <w:rFonts w:ascii="Times New Roman" w:eastAsia="Times New Roman" w:hAnsi="Times New Roman" w:cs="Times New Roman"/>
                      <w:i/>
                      <w:iCs/>
                      <w:color w:val="000000" w:themeColor="text1"/>
                      <w:sz w:val="20"/>
                      <w:szCs w:val="20"/>
                      <w:lang w:eastAsia="ro-MD"/>
                    </w:rPr>
                    <w:t>l</w:t>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luat</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achiziționat</w:t>
                  </w:r>
                  <w:proofErr w:type="spellEnd"/>
                  <w:r w:rsidRPr="005C3300">
                    <w:rPr>
                      <w:rFonts w:ascii="Times New Roman" w:eastAsia="Times New Roman" w:hAnsi="Times New Roman" w:cs="Times New Roman"/>
                      <w:color w:val="000000" w:themeColor="text1"/>
                      <w:sz w:val="20"/>
                      <w:szCs w:val="20"/>
                      <w:lang w:eastAsia="ro-MD"/>
                    </w:rPr>
                    <w:t xml:space="preserve">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revânzare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tranzacționat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într</w:t>
                  </w:r>
                  <w:proofErr w:type="spellEnd"/>
                  <w:r w:rsidRPr="005C3300">
                    <w:rPr>
                      <w:rFonts w:ascii="Times New Roman" w:eastAsia="Times New Roman" w:hAnsi="Times New Roman" w:cs="Times New Roman"/>
                      <w:color w:val="000000" w:themeColor="text1"/>
                      <w:sz w:val="20"/>
                      <w:szCs w:val="20"/>
                      <w:lang w:eastAsia="ro-MD"/>
                    </w:rPr>
                    <w:t xml:space="preserve">-un mod similar cu </w:t>
                  </w:r>
                  <w:proofErr w:type="spellStart"/>
                  <w:r w:rsidRPr="005C3300">
                    <w:rPr>
                      <w:rFonts w:ascii="Times New Roman" w:eastAsia="Times New Roman" w:hAnsi="Times New Roman" w:cs="Times New Roman"/>
                      <w:color w:val="000000" w:themeColor="text1"/>
                      <w:sz w:val="20"/>
                      <w:szCs w:val="20"/>
                      <w:lang w:eastAsia="ro-MD"/>
                    </w:rPr>
                    <w:t>luarea</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cu un </w:t>
                  </w:r>
                  <w:proofErr w:type="spellStart"/>
                  <w:r w:rsidRPr="005C3300">
                    <w:rPr>
                      <w:rFonts w:ascii="Times New Roman" w:eastAsia="Times New Roman" w:hAnsi="Times New Roman" w:cs="Times New Roman"/>
                      <w:color w:val="000000" w:themeColor="text1"/>
                      <w:sz w:val="20"/>
                      <w:szCs w:val="20"/>
                      <w:lang w:eastAsia="ro-MD"/>
                    </w:rPr>
                    <w:t>acord</w:t>
                  </w:r>
                  <w:proofErr w:type="spellEnd"/>
                  <w:r w:rsidRPr="005C3300">
                    <w:rPr>
                      <w:rFonts w:ascii="Times New Roman" w:eastAsia="Times New Roman" w:hAnsi="Times New Roman" w:cs="Times New Roman"/>
                      <w:color w:val="000000" w:themeColor="text1"/>
                      <w:sz w:val="20"/>
                      <w:szCs w:val="20"/>
                      <w:lang w:eastAsia="ro-MD"/>
                    </w:rPr>
                    <w:t xml:space="preserve"> reverse repo;</w:t>
                  </w:r>
                </w:p>
              </w:tc>
            </w:tr>
          </w:tbl>
          <w:p w14:paraId="2E2E453A" w14:textId="77777777" w:rsidR="009F5B2D" w:rsidRPr="005C3300" w:rsidRDefault="009F5B2D" w:rsidP="009F5B2D">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82"/>
              <w:gridCol w:w="4583"/>
            </w:tblGrid>
            <w:tr w:rsidR="009F5B2D" w:rsidRPr="005C3300" w14:paraId="610B8C20" w14:textId="77777777" w:rsidTr="005C3300">
              <w:tc>
                <w:tcPr>
                  <w:tcW w:w="145" w:type="dxa"/>
                  <w:hideMark/>
                </w:tcPr>
                <w:p w14:paraId="40229637" w14:textId="77777777" w:rsidR="009F5B2D" w:rsidRPr="005C3300" w:rsidRDefault="009F5B2D" w:rsidP="009F5B2D">
                  <w:pPr>
                    <w:spacing w:before="195" w:after="0" w:line="312" w:lineRule="atLeast"/>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N</w:t>
                  </w:r>
                </w:p>
              </w:tc>
              <w:tc>
                <w:tcPr>
                  <w:tcW w:w="9210" w:type="dxa"/>
                  <w:hideMark/>
                </w:tcPr>
                <w:p w14:paraId="09E99526" w14:textId="77777777" w:rsidR="009F5B2D" w:rsidRPr="005C3300" w:rsidRDefault="009F5B2D" w:rsidP="009F5B2D">
                  <w:pPr>
                    <w:spacing w:before="195"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numărul</w:t>
                  </w:r>
                  <w:proofErr w:type="spellEnd"/>
                  <w:r w:rsidRPr="005C3300">
                    <w:rPr>
                      <w:rFonts w:ascii="Times New Roman" w:eastAsia="Times New Roman" w:hAnsi="Times New Roman" w:cs="Times New Roman"/>
                      <w:color w:val="000000" w:themeColor="text1"/>
                      <w:sz w:val="20"/>
                      <w:szCs w:val="20"/>
                      <w:lang w:eastAsia="ro-MD"/>
                    </w:rPr>
                    <w:t xml:space="preserve"> total de </w:t>
                  </w:r>
                  <w:proofErr w:type="spellStart"/>
                  <w:r w:rsidRPr="005C3300">
                    <w:rPr>
                      <w:rFonts w:ascii="Times New Roman" w:eastAsia="Times New Roman" w:hAnsi="Times New Roman" w:cs="Times New Roman"/>
                      <w:color w:val="000000" w:themeColor="text1"/>
                      <w:sz w:val="20"/>
                      <w:szCs w:val="20"/>
                      <w:lang w:eastAsia="ro-MD"/>
                    </w:rPr>
                    <w:t>grupuri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distincte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aceleași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valoare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tipuri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distincte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aceleași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scopul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acestui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w:t>
                  </w:r>
                  <w:proofErr w:type="spellEnd"/>
                  <w:r w:rsidRPr="005C3300">
                    <w:rPr>
                      <w:rFonts w:ascii="Times New Roman" w:eastAsia="Times New Roman" w:hAnsi="Times New Roman" w:cs="Times New Roman"/>
                      <w:color w:val="000000" w:themeColor="text1"/>
                      <w:sz w:val="20"/>
                      <w:szCs w:val="20"/>
                      <w:lang w:eastAsia="ro-MD"/>
                    </w:rPr>
                    <w:t xml:space="preserve">, nu se </w:t>
                  </w:r>
                  <w:proofErr w:type="spellStart"/>
                  <w:r w:rsidRPr="005C3300">
                    <w:rPr>
                      <w:rFonts w:ascii="Times New Roman" w:eastAsia="Times New Roman" w:hAnsi="Times New Roman" w:cs="Times New Roman"/>
                      <w:color w:val="000000" w:themeColor="text1"/>
                      <w:sz w:val="20"/>
                      <w:szCs w:val="20"/>
                      <w:lang w:eastAsia="ro-MD"/>
                    </w:rPr>
                    <w:t>iau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considerare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grupurile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tipurile</w:t>
                  </w:r>
                  <w:proofErr w:type="spellEnd"/>
                  <w:r w:rsidRPr="005C3300">
                    <w:rPr>
                      <w:rFonts w:ascii="Times New Roman" w:eastAsia="Times New Roman" w:hAnsi="Times New Roman" w:cs="Times New Roman"/>
                      <w:color w:val="000000" w:themeColor="text1"/>
                      <w:sz w:val="20"/>
                      <w:szCs w:val="20"/>
                      <w:lang w:eastAsia="ro-MD"/>
                    </w:rPr>
                    <w:t> </w:t>
                  </w:r>
                  <w:r w:rsidRPr="005C3300">
                    <w:rPr>
                      <w:rFonts w:ascii="Times New Roman" w:hAnsi="Times New Roman" w:cs="Times New Roman"/>
                      <w:noProof/>
                      <w:color w:val="000000" w:themeColor="text1"/>
                      <w:sz w:val="20"/>
                      <w:szCs w:val="20"/>
                    </w:rPr>
                    <w:drawing>
                      <wp:inline distT="0" distB="0" distL="0" distR="0" wp14:anchorId="617F5E92" wp14:editId="79D5FBA9">
                        <wp:extent cx="361950" cy="276225"/>
                        <wp:effectExtent l="0" t="0" r="0" b="0"/>
                        <wp:docPr id="40" name="Picture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care </w:t>
                  </w:r>
                  <w:r w:rsidRPr="005C3300">
                    <w:rPr>
                      <w:rFonts w:ascii="Times New Roman" w:hAnsi="Times New Roman" w:cs="Times New Roman"/>
                      <w:noProof/>
                      <w:color w:val="000000" w:themeColor="text1"/>
                      <w:sz w:val="20"/>
                      <w:szCs w:val="20"/>
                    </w:rPr>
                    <w:drawing>
                      <wp:inline distT="0" distB="0" distL="0" distR="0" wp14:anchorId="574D3835" wp14:editId="66FC5857">
                        <wp:extent cx="504825" cy="276225"/>
                        <wp:effectExtent l="0" t="0" r="0" b="0"/>
                        <wp:docPr id="41"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mai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mică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decât</w:t>
                  </w:r>
                  <w:proofErr w:type="spellEnd"/>
                  <w:r w:rsidRPr="005C3300">
                    <w:rPr>
                      <w:rFonts w:ascii="Times New Roman" w:eastAsia="Times New Roman" w:hAnsi="Times New Roman" w:cs="Times New Roman"/>
                      <w:color w:val="000000" w:themeColor="text1"/>
                      <w:sz w:val="20"/>
                      <w:szCs w:val="20"/>
                      <w:lang w:eastAsia="ro-MD"/>
                    </w:rPr>
                    <w:t> </w:t>
                  </w:r>
                  <w:r w:rsidRPr="005C3300">
                    <w:rPr>
                      <w:rFonts w:ascii="Times New Roman" w:hAnsi="Times New Roman" w:cs="Times New Roman"/>
                      <w:noProof/>
                      <w:color w:val="000000" w:themeColor="text1"/>
                      <w:sz w:val="20"/>
                      <w:szCs w:val="20"/>
                    </w:rPr>
                    <w:drawing>
                      <wp:inline distT="0" distB="0" distL="0" distR="0" wp14:anchorId="61C3F2D5" wp14:editId="3547BB5B">
                        <wp:extent cx="1266825" cy="504825"/>
                        <wp:effectExtent l="0" t="0" r="0" b="0"/>
                        <wp:docPr id="42"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w:t>
                  </w:r>
                </w:p>
              </w:tc>
            </w:tr>
          </w:tbl>
          <w:p w14:paraId="130B7FBE" w14:textId="77777777" w:rsidR="009F5B2D" w:rsidRPr="005C3300" w:rsidRDefault="009F5B2D" w:rsidP="009F5B2D">
            <w:pPr>
              <w:shd w:val="clear" w:color="auto" w:fill="FFFFFF"/>
              <w:spacing w:after="0" w:line="240" w:lineRule="auto"/>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315"/>
              <w:gridCol w:w="4350"/>
            </w:tblGrid>
            <w:tr w:rsidR="009F5B2D" w:rsidRPr="005C3300" w14:paraId="2FC58643" w14:textId="77777777" w:rsidTr="005C3300">
              <w:tc>
                <w:tcPr>
                  <w:tcW w:w="615" w:type="dxa"/>
                  <w:hideMark/>
                </w:tcPr>
                <w:p w14:paraId="3B3066E1" w14:textId="77777777" w:rsidR="009F5B2D" w:rsidRPr="005C3300" w:rsidRDefault="009F5B2D" w:rsidP="009F5B2D">
                  <w:pPr>
                    <w:spacing w:before="195" w:after="0" w:line="312" w:lineRule="atLeast"/>
                    <w:rPr>
                      <w:rFonts w:ascii="Times New Roman" w:eastAsia="Times New Roman" w:hAnsi="Times New Roman" w:cs="Times New Roman"/>
                      <w:color w:val="000000" w:themeColor="text1"/>
                      <w:sz w:val="20"/>
                      <w:szCs w:val="20"/>
                      <w:lang w:eastAsia="ro-MD"/>
                    </w:rPr>
                  </w:pPr>
                  <w:proofErr w:type="spellStart"/>
                  <w:r w:rsidRPr="005C3300">
                    <w:rPr>
                      <w:rFonts w:ascii="Times New Roman" w:eastAsia="Times New Roman" w:hAnsi="Times New Roman" w:cs="Times New Roman"/>
                      <w:i/>
                      <w:iCs/>
                      <w:color w:val="000000" w:themeColor="text1"/>
                      <w:sz w:val="20"/>
                      <w:szCs w:val="20"/>
                      <w:lang w:eastAsia="ro-MD"/>
                    </w:rPr>
                    <w:t>E</w:t>
                  </w:r>
                  <w:r w:rsidRPr="005C3300">
                    <w:rPr>
                      <w:rFonts w:ascii="Times New Roman" w:eastAsia="Times New Roman" w:hAnsi="Times New Roman" w:cs="Times New Roman"/>
                      <w:i/>
                      <w:iCs/>
                      <w:color w:val="000000" w:themeColor="text1"/>
                      <w:sz w:val="20"/>
                      <w:szCs w:val="20"/>
                      <w:vertAlign w:val="subscript"/>
                      <w:lang w:eastAsia="ro-MD"/>
                    </w:rPr>
                    <w:t>brut</w:t>
                  </w:r>
                  <w:proofErr w:type="spellEnd"/>
                </w:p>
              </w:tc>
              <w:tc>
                <w:tcPr>
                  <w:tcW w:w="8740" w:type="dxa"/>
                  <w:hideMark/>
                </w:tcPr>
                <w:p w14:paraId="4AE78AD2" w14:textId="77777777" w:rsidR="009F5B2D" w:rsidRPr="005C3300" w:rsidRDefault="009F5B2D" w:rsidP="009F5B2D">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brută</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a</w:t>
                  </w:r>
                  <w:proofErr w:type="gramEnd"/>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calculată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după</w:t>
                  </w:r>
                  <w:proofErr w:type="spellEnd"/>
                  <w:r w:rsidRPr="005C3300">
                    <w:rPr>
                      <w:rFonts w:ascii="Times New Roman" w:eastAsia="Times New Roman" w:hAnsi="Times New Roman" w:cs="Times New Roman"/>
                      <w:color w:val="000000" w:themeColor="text1"/>
                      <w:sz w:val="20"/>
                      <w:szCs w:val="20"/>
                      <w:lang w:eastAsia="ro-MD"/>
                    </w:rPr>
                    <w:t xml:space="preserve"> cum </w:t>
                  </w:r>
                  <w:proofErr w:type="spellStart"/>
                  <w:r w:rsidRPr="005C3300">
                    <w:rPr>
                      <w:rFonts w:ascii="Times New Roman" w:eastAsia="Times New Roman" w:hAnsi="Times New Roman" w:cs="Times New Roman"/>
                      <w:color w:val="000000" w:themeColor="text1"/>
                      <w:sz w:val="20"/>
                      <w:szCs w:val="20"/>
                      <w:lang w:eastAsia="ro-MD"/>
                    </w:rPr>
                    <w:t>urmează</w:t>
                  </w:r>
                  <w:proofErr w:type="spellEnd"/>
                  <w:r w:rsidRPr="005C3300">
                    <w:rPr>
                      <w:rFonts w:ascii="Times New Roman" w:eastAsia="Times New Roman" w:hAnsi="Times New Roman" w:cs="Times New Roman"/>
                      <w:color w:val="000000" w:themeColor="text1"/>
                      <w:sz w:val="20"/>
                      <w:szCs w:val="20"/>
                      <w:lang w:eastAsia="ro-MD"/>
                    </w:rPr>
                    <w:t>:</w:t>
                  </w:r>
                </w:p>
              </w:tc>
            </w:tr>
          </w:tbl>
          <w:p w14:paraId="6CE8EA33" w14:textId="47BC885D" w:rsidR="009F5B2D" w:rsidRPr="009F5B2D" w:rsidRDefault="009F5B2D" w:rsidP="009F5B2D">
            <w:pPr>
              <w:jc w:val="both"/>
              <w:rPr>
                <w:rFonts w:ascii="Times New Roman" w:hAnsi="Times New Roman" w:cs="Times New Roman"/>
                <w:sz w:val="20"/>
                <w:szCs w:val="20"/>
                <w:lang w:val="ro-RO"/>
              </w:rPr>
            </w:pPr>
            <w:r w:rsidRPr="005C3300">
              <w:rPr>
                <w:rFonts w:ascii="Times New Roman" w:hAnsi="Times New Roman" w:cs="Times New Roman"/>
                <w:noProof/>
                <w:color w:val="000000" w:themeColor="text1"/>
                <w:sz w:val="20"/>
                <w:szCs w:val="20"/>
              </w:rPr>
              <w:drawing>
                <wp:inline distT="0" distB="0" distL="0" distR="0" wp14:anchorId="1BEB7411" wp14:editId="2436D7AA">
                  <wp:extent cx="1847850" cy="685800"/>
                  <wp:effectExtent l="0" t="0" r="0"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r w:rsidRPr="005C3300">
              <w:rPr>
                <w:rFonts w:ascii="Times New Roman" w:eastAsia="Times New Roman" w:hAnsi="Times New Roman" w:cs="Times New Roman"/>
                <w:color w:val="000000" w:themeColor="text1"/>
                <w:sz w:val="20"/>
                <w:szCs w:val="20"/>
                <w:lang w:eastAsia="ro-MD"/>
              </w:rPr>
              <w:t xml:space="preserve">.  </w:t>
            </w:r>
            <w:r w:rsidRPr="005C3300">
              <w:rPr>
                <w:rFonts w:ascii="Times New Roman" w:eastAsia="Times New Roman" w:hAnsi="Times New Roman" w:cs="Times New Roman"/>
                <w:color w:val="000000" w:themeColor="text1"/>
                <w:sz w:val="20"/>
                <w:szCs w:val="20"/>
                <w:lang w:val="ro-RO" w:eastAsia="ro-MD"/>
              </w:rPr>
              <w:t xml:space="preserve"> </w:t>
            </w:r>
          </w:p>
          <w:p w14:paraId="1D2603E6" w14:textId="582DE1F1" w:rsidR="00D62F3C" w:rsidRPr="00691ED8" w:rsidRDefault="00691ED8" w:rsidP="00691ED8">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567059EE"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F36F553" w14:textId="7EBF73A8"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A6E4046"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4AE564F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3F7CDF1" w14:textId="12A59AF8" w:rsidR="00D62F3C" w:rsidRPr="002C32BA" w:rsidRDefault="00BE4B87" w:rsidP="00D62F3C">
            <w:pPr>
              <w:pStyle w:val="CM4"/>
              <w:tabs>
                <w:tab w:val="left" w:pos="150"/>
              </w:tabs>
              <w:ind w:left="-43"/>
              <w:jc w:val="both"/>
              <w:rPr>
                <w:rFonts w:ascii="Times New Roman" w:hAnsi="Times New Roman"/>
                <w:iCs/>
                <w:sz w:val="20"/>
                <w:szCs w:val="20"/>
                <w:lang w:val="ro-RO" w:eastAsia="ru-RU"/>
              </w:rPr>
            </w:pPr>
            <w:r w:rsidRPr="00BE4B87">
              <w:rPr>
                <w:rFonts w:ascii="Times New Roman" w:hAnsi="Times New Roman"/>
                <w:iCs/>
                <w:sz w:val="20"/>
                <w:szCs w:val="20"/>
                <w:lang w:val="ro-RO" w:eastAsia="ru-RU"/>
              </w:rPr>
              <w:t xml:space="preserve">(4)   În vederea calculării cuantumurilor ponderate la risc ale expunerilor și a cuantumurilor pierderilor așteptate pentru tranzacțiile de răscumpărare, sau pentru operațiunile de dare sau luare de titluri sau mărfuri cu împrumut, sau pentru alte operațiuni ajustate la condițiile pieței de capital, acoperite de acorduri-cadru de compensare, instituțiile utilizează E*, calculată în conformitate cu alineatul (3), ca valoare a expunerii față de </w:t>
            </w:r>
            <w:proofErr w:type="spellStart"/>
            <w:r w:rsidRPr="00BE4B87">
              <w:rPr>
                <w:rFonts w:ascii="Times New Roman" w:hAnsi="Times New Roman"/>
                <w:iCs/>
                <w:sz w:val="20"/>
                <w:szCs w:val="20"/>
                <w:lang w:val="ro-RO" w:eastAsia="ru-RU"/>
              </w:rPr>
              <w:t>contraparte</w:t>
            </w:r>
            <w:proofErr w:type="spellEnd"/>
            <w:r w:rsidRPr="00BE4B87">
              <w:rPr>
                <w:rFonts w:ascii="Times New Roman" w:hAnsi="Times New Roman"/>
                <w:iCs/>
                <w:sz w:val="20"/>
                <w:szCs w:val="20"/>
                <w:lang w:val="ro-RO" w:eastAsia="ru-RU"/>
              </w:rPr>
              <w:t>, care rezultă din tranzacțiile ce fac obiectul acordului-cadru de compensare, în sensul articolului 113 în cadrul abordării standardizate, sau al capitolului 3 în cadrul abordării IRB.</w:t>
            </w:r>
          </w:p>
        </w:tc>
        <w:tc>
          <w:tcPr>
            <w:tcW w:w="1636" w:type="pct"/>
            <w:shd w:val="clear" w:color="auto" w:fill="auto"/>
          </w:tcPr>
          <w:p w14:paraId="5D82B28F" w14:textId="77777777" w:rsidR="00D62F3C" w:rsidRDefault="00BE4B87" w:rsidP="00D62F3C">
            <w:pPr>
              <w:pStyle w:val="CM4"/>
              <w:tabs>
                <w:tab w:val="left" w:pos="150"/>
              </w:tabs>
              <w:ind w:left="-36"/>
              <w:rPr>
                <w:rFonts w:ascii="Times New Roman" w:hAnsi="Times New Roman"/>
                <w:color w:val="000000" w:themeColor="text1"/>
                <w:sz w:val="20"/>
                <w:szCs w:val="20"/>
                <w:lang w:val="ro-RO" w:eastAsia="ro-MD"/>
              </w:rPr>
            </w:pPr>
            <w:r w:rsidRPr="00BE4B87">
              <w:rPr>
                <w:rFonts w:ascii="Times New Roman" w:hAnsi="Times New Roman"/>
                <w:b/>
                <w:bCs/>
                <w:color w:val="000000" w:themeColor="text1"/>
                <w:sz w:val="20"/>
                <w:szCs w:val="20"/>
                <w:lang w:val="ro-RO" w:eastAsia="ro-MD"/>
              </w:rPr>
              <w:t>71.</w:t>
            </w:r>
            <w:r>
              <w:rPr>
                <w:rFonts w:ascii="Times New Roman" w:hAnsi="Times New Roman"/>
                <w:color w:val="000000" w:themeColor="text1"/>
                <w:sz w:val="20"/>
                <w:szCs w:val="20"/>
                <w:lang w:val="ro-RO" w:eastAsia="ro-MD"/>
              </w:rPr>
              <w:t xml:space="preserve"> </w:t>
            </w:r>
            <w:r w:rsidRPr="005C3300">
              <w:rPr>
                <w:rFonts w:ascii="Times New Roman" w:hAnsi="Times New Roman"/>
                <w:color w:val="000000" w:themeColor="text1"/>
                <w:sz w:val="20"/>
                <w:szCs w:val="20"/>
                <w:lang w:val="ro-RO" w:eastAsia="ro-MD"/>
              </w:rPr>
              <w:t xml:space="preserve">În vederea calculării </w:t>
            </w:r>
            <w:bookmarkStart w:id="27" w:name="_Hlk216098924"/>
            <w:r w:rsidRPr="005C3300">
              <w:rPr>
                <w:rFonts w:ascii="Times New Roman" w:hAnsi="Times New Roman"/>
                <w:color w:val="000000" w:themeColor="text1"/>
                <w:sz w:val="20"/>
                <w:szCs w:val="20"/>
                <w:lang w:val="ro-RO" w:eastAsia="ro-MD"/>
              </w:rPr>
              <w:t xml:space="preserve">valorilor ponderate la risc ale expunerilor </w:t>
            </w:r>
            <w:bookmarkStart w:id="28" w:name="_Hlk216098939"/>
            <w:bookmarkEnd w:id="27"/>
            <w:r w:rsidRPr="005C3300">
              <w:rPr>
                <w:rFonts w:ascii="Times New Roman" w:hAnsi="Times New Roman"/>
                <w:color w:val="000000" w:themeColor="text1"/>
                <w:sz w:val="20"/>
                <w:szCs w:val="20"/>
                <w:lang w:val="ro-RO" w:eastAsia="ro-MD"/>
              </w:rPr>
              <w:t xml:space="preserve">și a cuantumurilor pierderilor așteptate </w:t>
            </w:r>
            <w:bookmarkEnd w:id="28"/>
            <w:r w:rsidRPr="005C3300">
              <w:rPr>
                <w:rFonts w:ascii="Times New Roman" w:hAnsi="Times New Roman"/>
                <w:color w:val="000000" w:themeColor="text1"/>
                <w:sz w:val="20"/>
                <w:szCs w:val="20"/>
                <w:lang w:val="ro-RO" w:eastAsia="ro-MD"/>
              </w:rPr>
              <w:t xml:space="preserve">pentru tranzacțiile de răscumpărare, sau pentru operațiunile de dare sau luare de valori mobiliare sau mărfuri cu împrumut, sau pentru alte operațiuni ajustate la condițiile pieței de capital, acoperite de acorduri-cadru de compensare, băncile trebuie să utilizeze valoarea ajustată integral a expunerii (E*), astfel cum este calculată în conformitate cu punctul 70, ca valoare a expunerii față de </w:t>
            </w:r>
            <w:proofErr w:type="spellStart"/>
            <w:r w:rsidRPr="005C3300">
              <w:rPr>
                <w:rFonts w:ascii="Times New Roman" w:hAnsi="Times New Roman"/>
                <w:color w:val="000000" w:themeColor="text1"/>
                <w:sz w:val="20"/>
                <w:szCs w:val="20"/>
                <w:lang w:val="ro-RO" w:eastAsia="ro-MD"/>
              </w:rPr>
              <w:t>contraparte</w:t>
            </w:r>
            <w:proofErr w:type="spellEnd"/>
            <w:r w:rsidRPr="005C3300">
              <w:rPr>
                <w:rFonts w:ascii="Times New Roman" w:hAnsi="Times New Roman"/>
                <w:color w:val="000000" w:themeColor="text1"/>
                <w:sz w:val="20"/>
                <w:szCs w:val="20"/>
                <w:lang w:val="ro-RO" w:eastAsia="ro-MD"/>
              </w:rPr>
              <w:t xml:space="preserve">, care rezultă din tranzacțiile ce fac obiectul acordului-cadru de compensare, în sensul Regulamentului nr.111/2018 </w:t>
            </w:r>
            <w:bookmarkStart w:id="29" w:name="_Hlk216098959"/>
            <w:r w:rsidRPr="005C3300">
              <w:rPr>
                <w:rFonts w:ascii="Times New Roman" w:hAnsi="Times New Roman"/>
                <w:color w:val="000000" w:themeColor="text1"/>
                <w:sz w:val="20"/>
                <w:szCs w:val="20"/>
                <w:lang w:val="ro-RO" w:eastAsia="ro-MD"/>
              </w:rPr>
              <w:t>sau actului normativ al Băncii Naționale a Moldovei aferent tratamentului riscului de credit pentru bănci potrivit abordării IRB</w:t>
            </w:r>
            <w:bookmarkEnd w:id="29"/>
            <w:r>
              <w:rPr>
                <w:rFonts w:ascii="Times New Roman" w:hAnsi="Times New Roman"/>
                <w:color w:val="000000" w:themeColor="text1"/>
                <w:sz w:val="20"/>
                <w:szCs w:val="20"/>
                <w:lang w:val="ro-RO" w:eastAsia="ro-MD"/>
              </w:rPr>
              <w:t>.</w:t>
            </w:r>
          </w:p>
          <w:p w14:paraId="74A45590" w14:textId="7A0903C5" w:rsidR="00BE4B87" w:rsidRPr="00BE4B87" w:rsidRDefault="00BE4B87" w:rsidP="00BE4B87">
            <w:pPr>
              <w:rPr>
                <w:lang w:val="ro-RO" w:eastAsia="ro-MD"/>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5F736C4C"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A0E8A88" w14:textId="490BEACE"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252477B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D5F1E3D" w14:textId="6E9CD1DE" w:rsidR="00D62F3C" w:rsidRPr="002C32BA" w:rsidRDefault="00BE4B87" w:rsidP="00D62F3C">
            <w:pPr>
              <w:pStyle w:val="CM4"/>
              <w:tabs>
                <w:tab w:val="left" w:pos="150"/>
              </w:tabs>
              <w:ind w:left="-43"/>
              <w:jc w:val="both"/>
              <w:rPr>
                <w:rFonts w:ascii="Times New Roman" w:hAnsi="Times New Roman"/>
                <w:iCs/>
                <w:sz w:val="20"/>
                <w:szCs w:val="20"/>
                <w:lang w:val="ro-RO" w:eastAsia="ru-RU"/>
              </w:rPr>
            </w:pPr>
            <w:r w:rsidRPr="00BE4B87">
              <w:rPr>
                <w:rFonts w:ascii="Times New Roman" w:hAnsi="Times New Roman"/>
                <w:iCs/>
                <w:sz w:val="20"/>
                <w:szCs w:val="20"/>
                <w:lang w:val="ro-RO" w:eastAsia="ru-RU"/>
              </w:rPr>
              <w:t>(5)   În sensul alineatelor (2) și (3), „grup de titluri” înseamnă titlurile care sunt emise de aceeași entitate, au aceeași dată de emitere și aceeași scadență și sunt supuse acelorași termeni și condiții și acelorași perioade de deținere indicate la articolul 224 sau la articolul 225, după caz.</w:t>
            </w:r>
          </w:p>
        </w:tc>
        <w:tc>
          <w:tcPr>
            <w:tcW w:w="1636" w:type="pct"/>
            <w:shd w:val="clear" w:color="auto" w:fill="auto"/>
          </w:tcPr>
          <w:p w14:paraId="2517E11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BE4B87">
              <w:rPr>
                <w:rFonts w:ascii="Times New Roman" w:hAnsi="Times New Roman"/>
                <w:b/>
                <w:bCs/>
                <w:sz w:val="20"/>
                <w:szCs w:val="20"/>
                <w:lang w:val="ro-RO" w:eastAsia="ru-RU"/>
              </w:rPr>
              <w:t>72.</w:t>
            </w:r>
            <w:r w:rsidRPr="002C32BA">
              <w:rPr>
                <w:rFonts w:ascii="Times New Roman" w:hAnsi="Times New Roman"/>
                <w:sz w:val="20"/>
                <w:szCs w:val="20"/>
                <w:lang w:val="ro-RO" w:eastAsia="ru-RU"/>
              </w:rPr>
              <w:t xml:space="preserve"> În scopul punctelor 69 și 70, „grup de valori mobiliare” înseamnă valori mobiliare care sunt emise de aceeași entitate, au aceeași dată de emitere și aceeași scadență și sunt supuse acelorași termeni și condiții și acelorași perioade de lichidare cum este indicat la Secțiunea 6 din </w:t>
            </w:r>
            <w:proofErr w:type="spellStart"/>
            <w:r w:rsidRPr="002C32BA">
              <w:rPr>
                <w:rFonts w:ascii="Times New Roman" w:hAnsi="Times New Roman"/>
                <w:sz w:val="20"/>
                <w:szCs w:val="20"/>
                <w:lang w:val="ro-RO" w:eastAsia="ru-RU"/>
              </w:rPr>
              <w:t>prezemtul</w:t>
            </w:r>
            <w:proofErr w:type="spellEnd"/>
            <w:r w:rsidRPr="002C32BA">
              <w:rPr>
                <w:rFonts w:ascii="Times New Roman" w:hAnsi="Times New Roman"/>
                <w:sz w:val="20"/>
                <w:szCs w:val="20"/>
                <w:lang w:val="ro-RO" w:eastAsia="ru-RU"/>
              </w:rPr>
              <w:t xml:space="preserve"> capitol, după caz.</w:t>
            </w:r>
          </w:p>
        </w:tc>
        <w:tc>
          <w:tcPr>
            <w:tcW w:w="562" w:type="pct"/>
          </w:tcPr>
          <w:p w14:paraId="20228AB8"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8306F23" w14:textId="31338A84"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E31ECE" w:rsidRPr="002C32BA" w14:paraId="7BBC9E9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6E5D7D3B" w14:textId="77777777" w:rsidR="00E31ECE" w:rsidRDefault="00E31ECE" w:rsidP="00E31ECE">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Articolul 221</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Utilizarea abordării bazate pe modele interne în cazul acordurilor- cadru de compensare</w:t>
            </w:r>
          </w:p>
          <w:p w14:paraId="07DC98D8" w14:textId="77777777" w:rsidR="00E31ECE" w:rsidRPr="00403CDF" w:rsidRDefault="00E31ECE" w:rsidP="00E31ECE">
            <w:pPr>
              <w:rPr>
                <w:lang w:val="ro-RO" w:eastAsia="ru-RU"/>
              </w:rPr>
            </w:pPr>
            <w:r w:rsidRPr="00403CDF">
              <w:rPr>
                <w:rFonts w:ascii="Arial" w:hAnsi="Arial" w:cs="Arial"/>
                <w:lang w:val="ro-RO" w:eastAsia="ru-RU"/>
              </w:rPr>
              <w:t>▼</w:t>
            </w:r>
            <w:r w:rsidRPr="00403CDF">
              <w:rPr>
                <w:lang w:val="ro-RO" w:eastAsia="ru-RU"/>
              </w:rPr>
              <w:t>M17</w:t>
            </w:r>
          </w:p>
          <w:p w14:paraId="0310A350" w14:textId="1C4231EC" w:rsidR="00E31ECE" w:rsidRPr="00BE4B87" w:rsidRDefault="00E31ECE" w:rsidP="00E31ECE">
            <w:pPr>
              <w:jc w:val="both"/>
              <w:rPr>
                <w:lang w:val="ro-RO" w:eastAsia="ru-RU"/>
              </w:rPr>
            </w:pPr>
            <w:r w:rsidRPr="00403CDF">
              <w:rPr>
                <w:rFonts w:ascii="Times New Roman" w:eastAsia="Times New Roman" w:hAnsi="Times New Roman" w:cs="Times New Roman"/>
                <w:iCs/>
                <w:sz w:val="20"/>
                <w:szCs w:val="20"/>
                <w:lang w:val="ro-RO" w:eastAsia="ru-RU"/>
              </w:rPr>
              <w:t>(1)   În scopul calculării cuantumurilor ponderate la risc ale expunerilor și a cuantumurilor pierderilor așteptate pentru operațiunile de finanțare prin instrumente financiare sau pentru alte operațiuni ajustate la condițiile pieței de capital, altele decât tranzacțiile cu instrumente financiare derivate acoperite de un acord-cadru de compensare eligibil care îndeplinește cerințele prevăzute în capitolul 6 secțiunea 7, o instituție poate calcula valoarea ajustată integral a expunerii (E * ) acordului utilizând abordarea bazată pe modele interne, cu condiția ca instituția să îndeplinească condițiile prevăzute la alineatul (2).</w:t>
            </w:r>
          </w:p>
        </w:tc>
        <w:tc>
          <w:tcPr>
            <w:tcW w:w="1636" w:type="pct"/>
            <w:shd w:val="clear" w:color="auto" w:fill="auto"/>
          </w:tcPr>
          <w:p w14:paraId="79362E9E" w14:textId="77777777" w:rsidR="00E31ECE" w:rsidRPr="005C3300" w:rsidRDefault="00E31ECE" w:rsidP="00E31ECE">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Secțiunea a 2</w:t>
            </w:r>
            <w:r w:rsidRPr="005C3300">
              <w:rPr>
                <w:rFonts w:ascii="Times New Roman" w:eastAsia="Times New Roman" w:hAnsi="Times New Roman" w:cs="Times New Roman"/>
                <w:b/>
                <w:bCs/>
                <w:i/>
                <w:iCs/>
                <w:color w:val="000000" w:themeColor="text1"/>
                <w:sz w:val="20"/>
                <w:szCs w:val="20"/>
                <w:vertAlign w:val="superscript"/>
                <w:lang w:val="ro-RO" w:eastAsia="ro-MD"/>
              </w:rPr>
              <w:t>1</w:t>
            </w:r>
            <w:r w:rsidRPr="005C3300">
              <w:rPr>
                <w:rFonts w:ascii="Times New Roman" w:eastAsia="Times New Roman" w:hAnsi="Times New Roman" w:cs="Times New Roman"/>
                <w:b/>
                <w:bCs/>
                <w:i/>
                <w:iCs/>
                <w:color w:val="000000" w:themeColor="text1"/>
                <w:sz w:val="20"/>
                <w:szCs w:val="20"/>
                <w:lang w:val="ro-RO" w:eastAsia="ro-MD"/>
              </w:rPr>
              <w:t>-a</w:t>
            </w:r>
          </w:p>
          <w:p w14:paraId="2EA7616E" w14:textId="77777777" w:rsidR="00E31ECE" w:rsidRPr="005C3300" w:rsidRDefault="00E31ECE" w:rsidP="00E31ECE">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Utilizarea abordării bazate pe modele interne în cazul acordurilor-cadru de compensare</w:t>
            </w:r>
          </w:p>
          <w:p w14:paraId="32412751" w14:textId="004BD82D" w:rsidR="00E31ECE" w:rsidRDefault="00E31ECE" w:rsidP="00E31ECE">
            <w:pPr>
              <w:pStyle w:val="CM4"/>
              <w:tabs>
                <w:tab w:val="left" w:pos="150"/>
              </w:tabs>
              <w:ind w:left="-36"/>
              <w:rPr>
                <w:rFonts w:ascii="Times New Roman" w:hAnsi="Times New Roman"/>
                <w:color w:val="000000" w:themeColor="text1"/>
                <w:sz w:val="20"/>
                <w:szCs w:val="20"/>
                <w:lang w:eastAsia="ro-MD"/>
              </w:rPr>
            </w:pPr>
            <w:r w:rsidRPr="005C3300">
              <w:rPr>
                <w:rFonts w:ascii="Times New Roman" w:hAnsi="Times New Roman"/>
                <w:b/>
                <w:bCs/>
                <w:color w:val="000000" w:themeColor="text1"/>
                <w:sz w:val="20"/>
                <w:szCs w:val="20"/>
                <w:lang w:val="ro-RO" w:eastAsia="ro-MD"/>
              </w:rPr>
              <w:t>72</w:t>
            </w:r>
            <w:r w:rsidRPr="005C3300">
              <w:rPr>
                <w:rFonts w:ascii="Times New Roman" w:hAnsi="Times New Roman"/>
                <w:b/>
                <w:bCs/>
                <w:color w:val="000000" w:themeColor="text1"/>
                <w:sz w:val="20"/>
                <w:szCs w:val="20"/>
                <w:vertAlign w:val="superscript"/>
                <w:lang w:val="ro-RO" w:eastAsia="ro-MD"/>
              </w:rPr>
              <w:t>1</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w:t>
            </w:r>
            <w:proofErr w:type="spellStart"/>
            <w:r w:rsidRPr="005C3300">
              <w:rPr>
                <w:rFonts w:ascii="Times New Roman" w:hAnsi="Times New Roman"/>
                <w:color w:val="000000" w:themeColor="text1"/>
                <w:sz w:val="20"/>
                <w:szCs w:val="20"/>
                <w:lang w:eastAsia="ro-MD"/>
              </w:rPr>
              <w:t>În</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scopul</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calculării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valorilor</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ponderate</w:t>
            </w:r>
            <w:proofErr w:type="spellEnd"/>
            <w:r w:rsidRPr="005C3300">
              <w:rPr>
                <w:rFonts w:ascii="Times New Roman" w:hAnsi="Times New Roman"/>
                <w:color w:val="000000" w:themeColor="text1"/>
                <w:sz w:val="20"/>
                <w:szCs w:val="20"/>
                <w:lang w:eastAsia="ro-MD"/>
              </w:rPr>
              <w:t xml:space="preserve"> la </w:t>
            </w:r>
            <w:proofErr w:type="spellStart"/>
            <w:r w:rsidRPr="005C3300">
              <w:rPr>
                <w:rFonts w:ascii="Times New Roman" w:hAnsi="Times New Roman"/>
                <w:color w:val="000000" w:themeColor="text1"/>
                <w:sz w:val="20"/>
                <w:szCs w:val="20"/>
                <w:lang w:eastAsia="ro-MD"/>
              </w:rPr>
              <w:t>risc</w:t>
            </w:r>
            <w:proofErr w:type="spellEnd"/>
            <w:r w:rsidRPr="005C3300">
              <w:rPr>
                <w:rFonts w:ascii="Times New Roman" w:hAnsi="Times New Roman"/>
                <w:color w:val="000000" w:themeColor="text1"/>
                <w:sz w:val="20"/>
                <w:szCs w:val="20"/>
                <w:lang w:eastAsia="ro-MD"/>
              </w:rPr>
              <w:t xml:space="preserve"> ale </w:t>
            </w:r>
            <w:proofErr w:type="spellStart"/>
            <w:r w:rsidRPr="005C3300">
              <w:rPr>
                <w:rFonts w:ascii="Times New Roman" w:hAnsi="Times New Roman"/>
                <w:color w:val="000000" w:themeColor="text1"/>
                <w:sz w:val="20"/>
                <w:szCs w:val="20"/>
                <w:lang w:eastAsia="ro-MD"/>
              </w:rPr>
              <w:t>expunerilor</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și</w:t>
            </w:r>
            <w:proofErr w:type="spellEnd"/>
            <w:r w:rsidRPr="005C3300">
              <w:rPr>
                <w:rFonts w:ascii="Times New Roman" w:hAnsi="Times New Roman"/>
                <w:color w:val="000000" w:themeColor="text1"/>
                <w:sz w:val="20"/>
                <w:szCs w:val="20"/>
                <w:lang w:eastAsia="ro-MD"/>
              </w:rPr>
              <w:t xml:space="preserve"> a </w:t>
            </w:r>
            <w:proofErr w:type="spellStart"/>
            <w:r w:rsidRPr="005C3300">
              <w:rPr>
                <w:rFonts w:ascii="Times New Roman" w:hAnsi="Times New Roman"/>
                <w:color w:val="000000" w:themeColor="text1"/>
                <w:sz w:val="20"/>
                <w:szCs w:val="20"/>
                <w:lang w:eastAsia="ro-MD"/>
              </w:rPr>
              <w:t>valorilor</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pierderilor</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așteptate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pentru</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operațiunile</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finanțare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prin</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instrumente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financiare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sau</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pentru</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alte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operațiuni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ajustate</w:t>
            </w:r>
            <w:proofErr w:type="spellEnd"/>
            <w:r w:rsidRPr="005C3300">
              <w:rPr>
                <w:rFonts w:ascii="Times New Roman" w:hAnsi="Times New Roman"/>
                <w:color w:val="000000" w:themeColor="text1"/>
                <w:sz w:val="20"/>
                <w:szCs w:val="20"/>
                <w:lang w:eastAsia="ro-MD"/>
              </w:rPr>
              <w:t xml:space="preserve"> la </w:t>
            </w:r>
            <w:proofErr w:type="spellStart"/>
            <w:r w:rsidRPr="005C3300">
              <w:rPr>
                <w:rFonts w:ascii="Times New Roman" w:hAnsi="Times New Roman"/>
                <w:color w:val="000000" w:themeColor="text1"/>
                <w:sz w:val="20"/>
                <w:szCs w:val="20"/>
                <w:lang w:eastAsia="ro-MD"/>
              </w:rPr>
              <w:t>condițiile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pieței</w:t>
            </w:r>
            <w:proofErr w:type="spellEnd"/>
            <w:r w:rsidRPr="005C3300">
              <w:rPr>
                <w:rFonts w:ascii="Times New Roman" w:hAnsi="Times New Roman"/>
                <w:color w:val="000000" w:themeColor="text1"/>
                <w:sz w:val="20"/>
                <w:szCs w:val="20"/>
                <w:lang w:eastAsia="ro-MD"/>
              </w:rPr>
              <w:t xml:space="preserve"> de capital, </w:t>
            </w:r>
            <w:proofErr w:type="spellStart"/>
            <w:r w:rsidRPr="005C3300">
              <w:rPr>
                <w:rFonts w:ascii="Times New Roman" w:hAnsi="Times New Roman"/>
                <w:color w:val="000000" w:themeColor="text1"/>
                <w:sz w:val="20"/>
                <w:szCs w:val="20"/>
                <w:lang w:eastAsia="ro-MD"/>
              </w:rPr>
              <w:t>altele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decât</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tranzacțiile</w:t>
            </w:r>
            <w:proofErr w:type="spellEnd"/>
            <w:r w:rsidRPr="005C3300">
              <w:rPr>
                <w:rFonts w:ascii="Times New Roman" w:hAnsi="Times New Roman"/>
                <w:color w:val="000000" w:themeColor="text1"/>
                <w:sz w:val="20"/>
                <w:szCs w:val="20"/>
                <w:lang w:eastAsia="ro-MD"/>
              </w:rPr>
              <w:t xml:space="preserve"> cu </w:t>
            </w:r>
            <w:proofErr w:type="spellStart"/>
            <w:r w:rsidRPr="005C3300">
              <w:rPr>
                <w:rFonts w:ascii="Times New Roman" w:hAnsi="Times New Roman"/>
                <w:color w:val="000000" w:themeColor="text1"/>
                <w:sz w:val="20"/>
                <w:szCs w:val="20"/>
                <w:lang w:eastAsia="ro-MD"/>
              </w:rPr>
              <w:t>instrumente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financiare</w:t>
            </w:r>
            <w:proofErr w:type="spellEnd"/>
            <w:r w:rsidRPr="005C3300">
              <w:rPr>
                <w:rFonts w:ascii="Times New Roman" w:hAnsi="Times New Roman"/>
                <w:color w:val="000000" w:themeColor="text1"/>
                <w:sz w:val="20"/>
                <w:szCs w:val="20"/>
                <w:lang w:eastAsia="ro-MD"/>
              </w:rPr>
              <w:t xml:space="preserve"> derivate </w:t>
            </w:r>
            <w:proofErr w:type="spellStart"/>
            <w:r w:rsidRPr="005C3300">
              <w:rPr>
                <w:rFonts w:ascii="Times New Roman" w:hAnsi="Times New Roman"/>
                <w:color w:val="000000" w:themeColor="text1"/>
                <w:sz w:val="20"/>
                <w:szCs w:val="20"/>
                <w:lang w:eastAsia="ro-MD"/>
              </w:rPr>
              <w:t>acoperite</w:t>
            </w:r>
            <w:proofErr w:type="spellEnd"/>
            <w:r w:rsidRPr="005C3300">
              <w:rPr>
                <w:rFonts w:ascii="Times New Roman" w:hAnsi="Times New Roman"/>
                <w:color w:val="000000" w:themeColor="text1"/>
                <w:sz w:val="20"/>
                <w:szCs w:val="20"/>
                <w:lang w:eastAsia="ro-MD"/>
              </w:rPr>
              <w:t xml:space="preserve"> de un </w:t>
            </w:r>
            <w:proofErr w:type="spellStart"/>
            <w:r w:rsidRPr="005C3300">
              <w:rPr>
                <w:rFonts w:ascii="Times New Roman" w:hAnsi="Times New Roman"/>
                <w:color w:val="000000" w:themeColor="text1"/>
                <w:sz w:val="20"/>
                <w:szCs w:val="20"/>
                <w:lang w:eastAsia="ro-MD"/>
              </w:rPr>
              <w:t>acord-cadru</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compensare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eligibil</w:t>
            </w:r>
            <w:proofErr w:type="spellEnd"/>
            <w:r w:rsidRPr="005C3300">
              <w:rPr>
                <w:rFonts w:ascii="Times New Roman" w:hAnsi="Times New Roman"/>
                <w:color w:val="000000" w:themeColor="text1"/>
                <w:sz w:val="20"/>
                <w:szCs w:val="20"/>
                <w:lang w:eastAsia="ro-MD"/>
              </w:rPr>
              <w:t xml:space="preserve"> care </w:t>
            </w:r>
            <w:proofErr w:type="spellStart"/>
            <w:r w:rsidRPr="005C3300">
              <w:rPr>
                <w:rFonts w:ascii="Times New Roman" w:hAnsi="Times New Roman"/>
                <w:color w:val="000000" w:themeColor="text1"/>
                <w:sz w:val="20"/>
                <w:szCs w:val="20"/>
                <w:lang w:eastAsia="ro-MD"/>
              </w:rPr>
              <w:t>îndeplinește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cerințele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aferente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compensării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contractuale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prevăzute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în</w:t>
            </w:r>
            <w:proofErr w:type="spellEnd"/>
            <w:r w:rsidRPr="005C3300">
              <w:rPr>
                <w:rFonts w:ascii="Times New Roman" w:hAnsi="Times New Roman"/>
                <w:color w:val="000000" w:themeColor="text1"/>
                <w:sz w:val="20"/>
                <w:szCs w:val="20"/>
                <w:lang w:eastAsia="ro-MD"/>
              </w:rPr>
              <w:t xml:space="preserve"> </w:t>
            </w:r>
            <w:proofErr w:type="spellStart"/>
            <w:r w:rsidR="004B635C" w:rsidRPr="004B635C">
              <w:rPr>
                <w:rFonts w:ascii="Times New Roman" w:hAnsi="Times New Roman"/>
                <w:color w:val="000000" w:themeColor="text1"/>
                <w:sz w:val="20"/>
                <w:szCs w:val="20"/>
                <w:lang w:eastAsia="ro-MD"/>
              </w:rPr>
              <w:t>Regulamentul</w:t>
            </w:r>
            <w:proofErr w:type="spellEnd"/>
            <w:r w:rsidR="004B635C" w:rsidRPr="004B635C">
              <w:rPr>
                <w:rFonts w:ascii="Times New Roman" w:hAnsi="Times New Roman"/>
                <w:color w:val="000000" w:themeColor="text1"/>
                <w:sz w:val="20"/>
                <w:szCs w:val="20"/>
                <w:lang w:eastAsia="ro-MD"/>
              </w:rPr>
              <w:t xml:space="preserve"> nr.220/2025</w:t>
            </w:r>
            <w:r w:rsidRPr="005C3300">
              <w:rPr>
                <w:rFonts w:ascii="Times New Roman" w:hAnsi="Times New Roman"/>
                <w:color w:val="000000" w:themeColor="text1"/>
                <w:sz w:val="20"/>
                <w:szCs w:val="20"/>
                <w:lang w:eastAsia="ro-MD"/>
              </w:rPr>
              <w:t>, o banc</w:t>
            </w:r>
            <w:r w:rsidRPr="005C3300">
              <w:rPr>
                <w:rFonts w:ascii="Times New Roman" w:hAnsi="Times New Roman"/>
                <w:color w:val="000000" w:themeColor="text1"/>
                <w:sz w:val="20"/>
                <w:szCs w:val="20"/>
                <w:lang w:val="ro-RO" w:eastAsia="ro-MD"/>
              </w:rPr>
              <w:t>ă</w:t>
            </w:r>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poate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calcula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valoarea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ajustată</w:t>
            </w:r>
            <w:proofErr w:type="spellEnd"/>
            <w:r w:rsidRPr="005C3300">
              <w:rPr>
                <w:rFonts w:ascii="Times New Roman" w:hAnsi="Times New Roman"/>
                <w:color w:val="000000" w:themeColor="text1"/>
                <w:sz w:val="20"/>
                <w:szCs w:val="20"/>
                <w:lang w:eastAsia="ro-MD"/>
              </w:rPr>
              <w:t xml:space="preserve"> integral a </w:t>
            </w:r>
            <w:proofErr w:type="spellStart"/>
            <w:r w:rsidRPr="005C3300">
              <w:rPr>
                <w:rFonts w:ascii="Times New Roman" w:hAnsi="Times New Roman"/>
                <w:color w:val="000000" w:themeColor="text1"/>
                <w:sz w:val="20"/>
                <w:szCs w:val="20"/>
                <w:lang w:eastAsia="ro-MD"/>
              </w:rPr>
              <w:t>expunerii</w:t>
            </w:r>
            <w:proofErr w:type="spellEnd"/>
            <w:r w:rsidRPr="005C3300">
              <w:rPr>
                <w:rFonts w:ascii="Times New Roman" w:hAnsi="Times New Roman"/>
                <w:color w:val="000000" w:themeColor="text1"/>
                <w:sz w:val="20"/>
                <w:szCs w:val="20"/>
                <w:lang w:eastAsia="ro-MD"/>
              </w:rPr>
              <w:t xml:space="preserve"> (E*) </w:t>
            </w:r>
            <w:proofErr w:type="spellStart"/>
            <w:r w:rsidRPr="005C3300">
              <w:rPr>
                <w:rFonts w:ascii="Times New Roman" w:hAnsi="Times New Roman"/>
                <w:color w:val="000000" w:themeColor="text1"/>
                <w:sz w:val="20"/>
                <w:szCs w:val="20"/>
                <w:lang w:eastAsia="ro-MD"/>
              </w:rPr>
              <w:t>acordului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utilizând</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abordarea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bazată</w:t>
            </w:r>
            <w:proofErr w:type="spellEnd"/>
            <w:r w:rsidRPr="005C3300">
              <w:rPr>
                <w:rFonts w:ascii="Times New Roman" w:hAnsi="Times New Roman"/>
                <w:color w:val="000000" w:themeColor="text1"/>
                <w:sz w:val="20"/>
                <w:szCs w:val="20"/>
                <w:lang w:eastAsia="ro-MD"/>
              </w:rPr>
              <w:t xml:space="preserve"> pe </w:t>
            </w:r>
            <w:proofErr w:type="spellStart"/>
            <w:r w:rsidRPr="005C3300">
              <w:rPr>
                <w:rFonts w:ascii="Times New Roman" w:hAnsi="Times New Roman"/>
                <w:color w:val="000000" w:themeColor="text1"/>
                <w:sz w:val="20"/>
                <w:szCs w:val="20"/>
                <w:lang w:eastAsia="ro-MD"/>
              </w:rPr>
              <w:t>modele</w:t>
            </w:r>
            <w:proofErr w:type="spellEnd"/>
            <w:r w:rsidRPr="005C3300">
              <w:rPr>
                <w:rFonts w:ascii="Times New Roman" w:hAnsi="Times New Roman"/>
                <w:color w:val="000000" w:themeColor="text1"/>
                <w:sz w:val="20"/>
                <w:szCs w:val="20"/>
                <w:lang w:eastAsia="ro-MD"/>
              </w:rPr>
              <w:t xml:space="preserve"> interne, </w:t>
            </w:r>
            <w:proofErr w:type="spellStart"/>
            <w:r w:rsidRPr="005C3300">
              <w:rPr>
                <w:rFonts w:ascii="Times New Roman" w:hAnsi="Times New Roman"/>
                <w:color w:val="000000" w:themeColor="text1"/>
                <w:sz w:val="20"/>
                <w:szCs w:val="20"/>
                <w:lang w:eastAsia="ro-MD"/>
              </w:rPr>
              <w:t>dacă</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îndeplinește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condițiile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prevăzute</w:t>
            </w:r>
            <w:proofErr w:type="spellEnd"/>
            <w:r w:rsidRPr="005C3300">
              <w:rPr>
                <w:rFonts w:ascii="Times New Roman" w:hAnsi="Times New Roman"/>
                <w:color w:val="000000" w:themeColor="text1"/>
                <w:sz w:val="20"/>
                <w:szCs w:val="20"/>
                <w:lang w:eastAsia="ro-MD"/>
              </w:rPr>
              <w:t xml:space="preserve"> la </w:t>
            </w:r>
            <w:proofErr w:type="spellStart"/>
            <w:r w:rsidRPr="005C3300">
              <w:rPr>
                <w:rFonts w:ascii="Times New Roman" w:hAnsi="Times New Roman"/>
                <w:color w:val="000000" w:themeColor="text1"/>
                <w:sz w:val="20"/>
                <w:szCs w:val="20"/>
                <w:lang w:eastAsia="ro-MD"/>
              </w:rPr>
              <w:t>punctul</w:t>
            </w:r>
            <w:proofErr w:type="spellEnd"/>
            <w:r w:rsidRPr="005C3300">
              <w:rPr>
                <w:rFonts w:ascii="Times New Roman" w:hAnsi="Times New Roman"/>
                <w:color w:val="000000" w:themeColor="text1"/>
                <w:sz w:val="20"/>
                <w:szCs w:val="20"/>
                <w:lang w:eastAsia="ro-MD"/>
              </w:rPr>
              <w:t xml:space="preserve"> 72</w:t>
            </w:r>
            <w:r w:rsidRPr="005C3300">
              <w:rPr>
                <w:rFonts w:ascii="Times New Roman" w:hAnsi="Times New Roman"/>
                <w:color w:val="000000" w:themeColor="text1"/>
                <w:sz w:val="20"/>
                <w:szCs w:val="20"/>
                <w:vertAlign w:val="superscript"/>
                <w:lang w:eastAsia="ro-MD"/>
              </w:rPr>
              <w:t>2</w:t>
            </w:r>
            <w:r w:rsidRPr="005C3300">
              <w:rPr>
                <w:rFonts w:ascii="Times New Roman" w:hAnsi="Times New Roman"/>
                <w:color w:val="000000" w:themeColor="text1"/>
                <w:sz w:val="20"/>
                <w:szCs w:val="20"/>
                <w:lang w:eastAsia="ro-MD"/>
              </w:rPr>
              <w:t>.</w:t>
            </w:r>
          </w:p>
          <w:p w14:paraId="362B1637" w14:textId="77777777" w:rsidR="00E31ECE" w:rsidRPr="00E31ECE" w:rsidRDefault="00E31ECE" w:rsidP="00E31ECE">
            <w:pPr>
              <w:rPr>
                <w:lang w:eastAsia="ro-MD"/>
              </w:rPr>
            </w:pPr>
          </w:p>
          <w:p w14:paraId="3055D7A8" w14:textId="40832245" w:rsidR="00E31ECE" w:rsidRPr="00E31ECE" w:rsidRDefault="00E31ECE" w:rsidP="00E31ECE">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683F0639" w14:textId="7DC1F025" w:rsidR="00E31ECE" w:rsidRPr="002C32BA" w:rsidRDefault="00E31ECE" w:rsidP="00E31ECE">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4DEA068" w14:textId="273A6A07" w:rsidR="00E31ECE" w:rsidRPr="002C32BA" w:rsidRDefault="00E31ECE" w:rsidP="00E31ECE">
            <w:pPr>
              <w:jc w:val="both"/>
              <w:rPr>
                <w:rFonts w:ascii="Times New Roman" w:hAnsi="Times New Roman" w:cs="Times New Roman"/>
                <w:sz w:val="20"/>
                <w:szCs w:val="20"/>
                <w:lang w:val="ro-RO"/>
              </w:rPr>
            </w:pPr>
          </w:p>
        </w:tc>
      </w:tr>
      <w:tr w:rsidR="00BE4B87" w:rsidRPr="002C32BA" w14:paraId="0498FC1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3871B67F" w14:textId="77777777" w:rsidR="00403CDF" w:rsidRPr="00403CDF" w:rsidRDefault="00403CDF" w:rsidP="00403CDF">
            <w:pPr>
              <w:jc w:val="both"/>
              <w:rPr>
                <w:rFonts w:ascii="Times New Roman" w:hAnsi="Times New Roman"/>
                <w:sz w:val="20"/>
                <w:szCs w:val="20"/>
                <w:lang w:val="ro-RO" w:eastAsia="ru-RU"/>
              </w:rPr>
            </w:pPr>
            <w:r w:rsidRPr="00403CDF">
              <w:rPr>
                <w:rFonts w:ascii="Times New Roman" w:hAnsi="Times New Roman"/>
                <w:sz w:val="20"/>
                <w:szCs w:val="20"/>
                <w:lang w:val="ro-RO" w:eastAsia="ru-RU"/>
              </w:rPr>
              <w:t>(2)   O instituție poate utiliza abordarea bazată pe modele interne dacă sunt îndeplinite toate condițiile următoare:</w:t>
            </w:r>
          </w:p>
          <w:p w14:paraId="3D1B4ACA" w14:textId="7A0F4817" w:rsidR="00403CDF" w:rsidRPr="00403CDF" w:rsidRDefault="00403CDF" w:rsidP="00403CDF">
            <w:pPr>
              <w:jc w:val="both"/>
              <w:rPr>
                <w:rFonts w:ascii="Times New Roman" w:hAnsi="Times New Roman"/>
                <w:sz w:val="20"/>
                <w:szCs w:val="20"/>
                <w:lang w:val="ro-RO" w:eastAsia="ru-RU"/>
              </w:rPr>
            </w:pPr>
            <w:r w:rsidRPr="00403CDF">
              <w:rPr>
                <w:rFonts w:ascii="Times New Roman" w:hAnsi="Times New Roman"/>
                <w:sz w:val="20"/>
                <w:szCs w:val="20"/>
                <w:lang w:val="ro-RO" w:eastAsia="ru-RU"/>
              </w:rPr>
              <w:t>(a) instituția utilizează această abordare numai pentru expunerile pentru care cuantumurile ponderate la risc ale expunerilor sunt calculate conform abordării IRB prevăzute în capitolul 3;</w:t>
            </w:r>
          </w:p>
          <w:p w14:paraId="728A9C63" w14:textId="374D8248" w:rsidR="00BE4B87" w:rsidRPr="00BE4B87" w:rsidRDefault="00403CDF" w:rsidP="00403CDF">
            <w:pPr>
              <w:jc w:val="both"/>
              <w:rPr>
                <w:rFonts w:ascii="Times New Roman" w:hAnsi="Times New Roman"/>
                <w:sz w:val="20"/>
                <w:szCs w:val="20"/>
                <w:lang w:val="ro-RO" w:eastAsia="ru-RU"/>
              </w:rPr>
            </w:pPr>
            <w:r w:rsidRPr="00403CDF">
              <w:rPr>
                <w:rFonts w:ascii="Times New Roman" w:hAnsi="Times New Roman"/>
                <w:sz w:val="20"/>
                <w:szCs w:val="20"/>
                <w:lang w:val="ro-RO" w:eastAsia="ru-RU"/>
              </w:rPr>
              <w:t>(b) instituția primește aprobarea de a utiliza această abordare din partea autorității sale competente.</w:t>
            </w:r>
          </w:p>
        </w:tc>
        <w:tc>
          <w:tcPr>
            <w:tcW w:w="1636" w:type="pct"/>
            <w:shd w:val="clear" w:color="auto" w:fill="auto"/>
          </w:tcPr>
          <w:p w14:paraId="32D4C21D" w14:textId="77777777" w:rsidR="00E31ECE" w:rsidRPr="005C3300" w:rsidRDefault="00E31ECE" w:rsidP="00E31ECE">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b/>
                <w:bCs/>
                <w:color w:val="000000" w:themeColor="text1"/>
                <w:sz w:val="20"/>
                <w:szCs w:val="20"/>
                <w:lang w:eastAsia="ro-MD"/>
              </w:rPr>
              <w:t>72</w:t>
            </w:r>
            <w:r w:rsidRPr="005C3300">
              <w:rPr>
                <w:rFonts w:ascii="Times New Roman" w:eastAsia="Times New Roman" w:hAnsi="Times New Roman" w:cs="Times New Roman"/>
                <w:b/>
                <w:bCs/>
                <w:color w:val="000000" w:themeColor="text1"/>
                <w:sz w:val="20"/>
                <w:szCs w:val="20"/>
                <w:vertAlign w:val="superscript"/>
                <w:lang w:eastAsia="ro-MD"/>
              </w:rPr>
              <w:t>2</w:t>
            </w:r>
            <w:r w:rsidRPr="005C3300">
              <w:rPr>
                <w:rFonts w:ascii="Times New Roman" w:eastAsia="Times New Roman" w:hAnsi="Times New Roman" w:cs="Times New Roman"/>
                <w:b/>
                <w:bCs/>
                <w:color w:val="000000" w:themeColor="text1"/>
                <w:sz w:val="20"/>
                <w:szCs w:val="20"/>
                <w:lang w:eastAsia="ro-MD"/>
              </w:rPr>
              <w:t>.</w:t>
            </w:r>
            <w:r w:rsidRPr="005C3300">
              <w:rPr>
                <w:rFonts w:ascii="Times New Roman" w:eastAsia="Times New Roman" w:hAnsi="Times New Roman" w:cs="Times New Roman"/>
                <w:color w:val="000000" w:themeColor="text1"/>
                <w:sz w:val="20"/>
                <w:szCs w:val="20"/>
                <w:lang w:eastAsia="ro-MD"/>
              </w:rPr>
              <w:t xml:space="preserve"> Banca </w:t>
            </w:r>
            <w:proofErr w:type="spellStart"/>
            <w:r w:rsidRPr="005C3300">
              <w:rPr>
                <w:rFonts w:ascii="Times New Roman" w:eastAsia="Times New Roman" w:hAnsi="Times New Roman" w:cs="Times New Roman"/>
                <w:color w:val="000000" w:themeColor="text1"/>
                <w:sz w:val="20"/>
                <w:szCs w:val="20"/>
                <w:lang w:eastAsia="ro-MD"/>
              </w:rPr>
              <w:t>poate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utiliza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abordarea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bazată</w:t>
            </w:r>
            <w:proofErr w:type="spellEnd"/>
            <w:r w:rsidRPr="005C3300">
              <w:rPr>
                <w:rFonts w:ascii="Times New Roman" w:eastAsia="Times New Roman" w:hAnsi="Times New Roman" w:cs="Times New Roman"/>
                <w:color w:val="000000" w:themeColor="text1"/>
                <w:sz w:val="20"/>
                <w:szCs w:val="20"/>
                <w:lang w:eastAsia="ro-MD"/>
              </w:rPr>
              <w:t xml:space="preserve"> pe </w:t>
            </w:r>
            <w:proofErr w:type="spellStart"/>
            <w:r w:rsidRPr="005C3300">
              <w:rPr>
                <w:rFonts w:ascii="Times New Roman" w:eastAsia="Times New Roman" w:hAnsi="Times New Roman" w:cs="Times New Roman"/>
                <w:color w:val="000000" w:themeColor="text1"/>
                <w:sz w:val="20"/>
                <w:szCs w:val="20"/>
                <w:lang w:eastAsia="ro-MD"/>
              </w:rPr>
              <w:t>modele</w:t>
            </w:r>
            <w:proofErr w:type="spellEnd"/>
            <w:r w:rsidRPr="005C3300">
              <w:rPr>
                <w:rFonts w:ascii="Times New Roman" w:eastAsia="Times New Roman" w:hAnsi="Times New Roman" w:cs="Times New Roman"/>
                <w:color w:val="000000" w:themeColor="text1"/>
                <w:sz w:val="20"/>
                <w:szCs w:val="20"/>
                <w:lang w:eastAsia="ro-MD"/>
              </w:rPr>
              <w:t xml:space="preserve"> interne </w:t>
            </w:r>
            <w:proofErr w:type="spellStart"/>
            <w:r w:rsidRPr="005C3300">
              <w:rPr>
                <w:rFonts w:ascii="Times New Roman" w:eastAsia="Times New Roman" w:hAnsi="Times New Roman" w:cs="Times New Roman"/>
                <w:color w:val="000000" w:themeColor="text1"/>
                <w:sz w:val="20"/>
                <w:szCs w:val="20"/>
                <w:lang w:eastAsia="ro-MD"/>
              </w:rPr>
              <w:t>dacă</w:t>
            </w:r>
            <w:proofErr w:type="spellEnd"/>
            <w:r w:rsidRPr="005C3300">
              <w:rPr>
                <w:rFonts w:ascii="Times New Roman" w:eastAsia="Times New Roman" w:hAnsi="Times New Roman" w:cs="Times New Roman"/>
                <w:color w:val="000000" w:themeColor="text1"/>
                <w:sz w:val="20"/>
                <w:szCs w:val="20"/>
                <w:lang w:eastAsia="ro-MD"/>
              </w:rPr>
              <w:t xml:space="preserve"> sunt </w:t>
            </w:r>
            <w:proofErr w:type="spellStart"/>
            <w:r w:rsidRPr="005C3300">
              <w:rPr>
                <w:rFonts w:ascii="Times New Roman" w:eastAsia="Times New Roman" w:hAnsi="Times New Roman" w:cs="Times New Roman"/>
                <w:color w:val="000000" w:themeColor="text1"/>
                <w:sz w:val="20"/>
                <w:szCs w:val="20"/>
                <w:lang w:eastAsia="ro-MD"/>
              </w:rPr>
              <w:t>îndeplinite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cumulativ</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următoarele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condiții</w:t>
            </w:r>
            <w:proofErr w:type="spellEnd"/>
            <w:r w:rsidRPr="005C3300">
              <w:rPr>
                <w:rFonts w:ascii="Times New Roman" w:eastAsia="Times New Roman" w:hAnsi="Times New Roman" w:cs="Times New Roman"/>
                <w:color w:val="000000" w:themeColor="text1"/>
                <w:sz w:val="20"/>
                <w:szCs w:val="20"/>
                <w:lang w:eastAsia="ro-MD"/>
              </w:rPr>
              <w:t>:</w:t>
            </w:r>
          </w:p>
          <w:p w14:paraId="2727A316" w14:textId="77777777" w:rsidR="00E31ECE" w:rsidRPr="005C3300" w:rsidRDefault="00E31ECE" w:rsidP="00E31ECE">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1) banca </w:t>
            </w:r>
            <w:proofErr w:type="spellStart"/>
            <w:r w:rsidRPr="005C3300">
              <w:rPr>
                <w:rFonts w:ascii="Times New Roman" w:eastAsia="Times New Roman" w:hAnsi="Times New Roman" w:cs="Times New Roman"/>
                <w:color w:val="000000" w:themeColor="text1"/>
                <w:sz w:val="20"/>
                <w:szCs w:val="20"/>
                <w:lang w:eastAsia="ro-MD"/>
              </w:rPr>
              <w:t>utilizează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această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abordare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numai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valorile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ponderate</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risc</w:t>
            </w:r>
            <w:proofErr w:type="spellEnd"/>
            <w:r w:rsidRPr="005C3300">
              <w:rPr>
                <w:rFonts w:ascii="Times New Roman" w:eastAsia="Times New Roman" w:hAnsi="Times New Roman" w:cs="Times New Roman"/>
                <w:color w:val="000000" w:themeColor="text1"/>
                <w:sz w:val="20"/>
                <w:szCs w:val="20"/>
                <w:lang w:eastAsia="ro-MD"/>
              </w:rPr>
              <w:t xml:space="preserve"> ale </w:t>
            </w:r>
            <w:proofErr w:type="spellStart"/>
            <w:r w:rsidRPr="005C3300">
              <w:rPr>
                <w:rFonts w:ascii="Times New Roman" w:eastAsia="Times New Roman" w:hAnsi="Times New Roman" w:cs="Times New Roman"/>
                <w:color w:val="000000" w:themeColor="text1"/>
                <w:sz w:val="20"/>
                <w:szCs w:val="20"/>
                <w:lang w:eastAsia="ro-MD"/>
              </w:rPr>
              <w:t>expunerilor</w:t>
            </w:r>
            <w:proofErr w:type="spellEnd"/>
            <w:r w:rsidRPr="005C3300">
              <w:rPr>
                <w:rFonts w:ascii="Times New Roman" w:eastAsia="Times New Roman" w:hAnsi="Times New Roman" w:cs="Times New Roman"/>
                <w:color w:val="000000" w:themeColor="text1"/>
                <w:sz w:val="20"/>
                <w:szCs w:val="20"/>
                <w:lang w:eastAsia="ro-MD"/>
              </w:rPr>
              <w:t xml:space="preserve"> sunt calculate conform </w:t>
            </w:r>
            <w:proofErr w:type="spellStart"/>
            <w:r w:rsidRPr="005C3300">
              <w:rPr>
                <w:rFonts w:ascii="Times New Roman" w:eastAsia="Times New Roman" w:hAnsi="Times New Roman" w:cs="Times New Roman"/>
                <w:color w:val="000000" w:themeColor="text1"/>
                <w:sz w:val="20"/>
                <w:szCs w:val="20"/>
                <w:lang w:eastAsia="ro-MD"/>
              </w:rPr>
              <w:t>abordării</w:t>
            </w:r>
            <w:proofErr w:type="spellEnd"/>
            <w:r w:rsidRPr="005C3300">
              <w:rPr>
                <w:rFonts w:ascii="Times New Roman" w:eastAsia="Times New Roman" w:hAnsi="Times New Roman" w:cs="Times New Roman"/>
                <w:color w:val="000000" w:themeColor="text1"/>
                <w:sz w:val="20"/>
                <w:szCs w:val="20"/>
                <w:lang w:eastAsia="ro-MD"/>
              </w:rPr>
              <w:t xml:space="preserve"> IRB </w:t>
            </w:r>
            <w:proofErr w:type="spellStart"/>
            <w:r w:rsidRPr="005C3300">
              <w:rPr>
                <w:rFonts w:ascii="Times New Roman" w:eastAsia="Times New Roman" w:hAnsi="Times New Roman" w:cs="Times New Roman"/>
                <w:color w:val="000000" w:themeColor="text1"/>
                <w:sz w:val="20"/>
                <w:szCs w:val="20"/>
                <w:lang w:eastAsia="ro-MD"/>
              </w:rPr>
              <w:t>prevăzute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actul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normativ</w:t>
            </w:r>
            <w:proofErr w:type="spellEnd"/>
            <w:r w:rsidRPr="005C3300">
              <w:rPr>
                <w:rFonts w:ascii="Times New Roman" w:eastAsia="Times New Roman" w:hAnsi="Times New Roman" w:cs="Times New Roman"/>
                <w:color w:val="000000" w:themeColor="text1"/>
                <w:sz w:val="20"/>
                <w:szCs w:val="20"/>
                <w:lang w:eastAsia="ro-MD"/>
              </w:rPr>
              <w:t xml:space="preserve"> al Băncii </w:t>
            </w:r>
            <w:proofErr w:type="spellStart"/>
            <w:r w:rsidRPr="005C3300">
              <w:rPr>
                <w:rFonts w:ascii="Times New Roman" w:eastAsia="Times New Roman" w:hAnsi="Times New Roman" w:cs="Times New Roman"/>
                <w:color w:val="000000" w:themeColor="text1"/>
                <w:sz w:val="20"/>
                <w:szCs w:val="20"/>
                <w:lang w:eastAsia="ro-MD"/>
              </w:rPr>
              <w:t>Naționale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Moldovei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aferent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tratamentului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riscului</w:t>
            </w:r>
            <w:proofErr w:type="spellEnd"/>
            <w:r w:rsidRPr="005C3300">
              <w:rPr>
                <w:rFonts w:ascii="Times New Roman" w:eastAsia="Times New Roman" w:hAnsi="Times New Roman" w:cs="Times New Roman"/>
                <w:color w:val="000000" w:themeColor="text1"/>
                <w:sz w:val="20"/>
                <w:szCs w:val="20"/>
                <w:lang w:eastAsia="ro-MD"/>
              </w:rPr>
              <w:t xml:space="preserve"> de credit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bănci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potrivit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abordării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bazate</w:t>
            </w:r>
            <w:proofErr w:type="spellEnd"/>
            <w:r w:rsidRPr="005C3300">
              <w:rPr>
                <w:rFonts w:ascii="Times New Roman" w:eastAsia="Times New Roman" w:hAnsi="Times New Roman" w:cs="Times New Roman"/>
                <w:color w:val="000000" w:themeColor="text1"/>
                <w:sz w:val="20"/>
                <w:szCs w:val="20"/>
                <w:lang w:eastAsia="ro-MD"/>
              </w:rPr>
              <w:t xml:space="preserve"> pe </w:t>
            </w:r>
            <w:proofErr w:type="spellStart"/>
            <w:r w:rsidRPr="005C3300">
              <w:rPr>
                <w:rFonts w:ascii="Times New Roman" w:eastAsia="Times New Roman" w:hAnsi="Times New Roman" w:cs="Times New Roman"/>
                <w:color w:val="000000" w:themeColor="text1"/>
                <w:sz w:val="20"/>
                <w:szCs w:val="20"/>
                <w:lang w:eastAsia="ro-MD"/>
              </w:rPr>
              <w:t>modele</w:t>
            </w:r>
            <w:proofErr w:type="spellEnd"/>
            <w:r w:rsidRPr="005C3300">
              <w:rPr>
                <w:rFonts w:ascii="Times New Roman" w:eastAsia="Times New Roman" w:hAnsi="Times New Roman" w:cs="Times New Roman"/>
                <w:color w:val="000000" w:themeColor="text1"/>
                <w:sz w:val="20"/>
                <w:szCs w:val="20"/>
                <w:lang w:eastAsia="ro-MD"/>
              </w:rPr>
              <w:t xml:space="preserve"> interne de </w:t>
            </w:r>
            <w:proofErr w:type="gramStart"/>
            <w:r w:rsidRPr="005C3300">
              <w:rPr>
                <w:rFonts w:ascii="Times New Roman" w:eastAsia="Times New Roman" w:hAnsi="Times New Roman" w:cs="Times New Roman"/>
                <w:color w:val="000000" w:themeColor="text1"/>
                <w:sz w:val="20"/>
                <w:szCs w:val="20"/>
                <w:lang w:eastAsia="ro-MD"/>
              </w:rPr>
              <w:t>rating;</w:t>
            </w:r>
            <w:proofErr w:type="gramEnd"/>
          </w:p>
          <w:p w14:paraId="55627269" w14:textId="77777777" w:rsidR="00BE4B87" w:rsidRDefault="00E31ECE" w:rsidP="00E31ECE">
            <w:pPr>
              <w:pStyle w:val="CM4"/>
              <w:tabs>
                <w:tab w:val="left" w:pos="150"/>
              </w:tabs>
              <w:ind w:left="-36"/>
              <w:rPr>
                <w:rFonts w:ascii="Times New Roman" w:hAnsi="Times New Roman"/>
                <w:color w:val="000000" w:themeColor="text1"/>
                <w:sz w:val="20"/>
                <w:szCs w:val="20"/>
                <w:lang w:eastAsia="ro-MD"/>
              </w:rPr>
            </w:pPr>
            <w:r w:rsidRPr="005C3300">
              <w:rPr>
                <w:rFonts w:ascii="Times New Roman" w:hAnsi="Times New Roman"/>
                <w:color w:val="000000" w:themeColor="text1"/>
                <w:sz w:val="20"/>
                <w:szCs w:val="20"/>
                <w:lang w:eastAsia="ro-MD"/>
              </w:rPr>
              <w:t xml:space="preserve">2) banca </w:t>
            </w:r>
            <w:proofErr w:type="spellStart"/>
            <w:r w:rsidRPr="005C3300">
              <w:rPr>
                <w:rFonts w:ascii="Times New Roman" w:hAnsi="Times New Roman"/>
                <w:color w:val="000000" w:themeColor="text1"/>
                <w:sz w:val="20"/>
                <w:szCs w:val="20"/>
                <w:lang w:eastAsia="ro-MD"/>
              </w:rPr>
              <w:t>primește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aprobarea</w:t>
            </w:r>
            <w:proofErr w:type="spellEnd"/>
            <w:r w:rsidRPr="005C3300">
              <w:rPr>
                <w:rFonts w:ascii="Times New Roman" w:hAnsi="Times New Roman"/>
                <w:color w:val="000000" w:themeColor="text1"/>
                <w:sz w:val="20"/>
                <w:szCs w:val="20"/>
                <w:lang w:eastAsia="ro-MD"/>
              </w:rPr>
              <w:t xml:space="preserve"> de a </w:t>
            </w:r>
            <w:proofErr w:type="spellStart"/>
            <w:r w:rsidRPr="005C3300">
              <w:rPr>
                <w:rFonts w:ascii="Times New Roman" w:hAnsi="Times New Roman"/>
                <w:color w:val="000000" w:themeColor="text1"/>
                <w:sz w:val="20"/>
                <w:szCs w:val="20"/>
                <w:lang w:eastAsia="ro-MD"/>
              </w:rPr>
              <w:t>utiliza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această</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abordare</w:t>
            </w:r>
            <w:proofErr w:type="spellEnd"/>
            <w:r w:rsidRPr="005C3300">
              <w:rPr>
                <w:rFonts w:ascii="Times New Roman" w:hAnsi="Times New Roman"/>
                <w:color w:val="000000" w:themeColor="text1"/>
                <w:sz w:val="20"/>
                <w:szCs w:val="20"/>
                <w:lang w:eastAsia="ro-MD"/>
              </w:rPr>
              <w:t xml:space="preserve"> din </w:t>
            </w:r>
            <w:proofErr w:type="spellStart"/>
            <w:r w:rsidRPr="005C3300">
              <w:rPr>
                <w:rFonts w:ascii="Times New Roman" w:hAnsi="Times New Roman"/>
                <w:color w:val="000000" w:themeColor="text1"/>
                <w:sz w:val="20"/>
                <w:szCs w:val="20"/>
                <w:lang w:eastAsia="ro-MD"/>
              </w:rPr>
              <w:t>partea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Băncii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Naționale</w:t>
            </w:r>
            <w:proofErr w:type="spellEnd"/>
            <w:r w:rsidRPr="005C3300">
              <w:rPr>
                <w:rFonts w:ascii="Times New Roman" w:hAnsi="Times New Roman"/>
                <w:color w:val="000000" w:themeColor="text1"/>
                <w:sz w:val="20"/>
                <w:szCs w:val="20"/>
                <w:lang w:eastAsia="ro-MD"/>
              </w:rPr>
              <w:t xml:space="preserve"> a </w:t>
            </w:r>
            <w:proofErr w:type="spellStart"/>
            <w:r w:rsidRPr="005C3300">
              <w:rPr>
                <w:rFonts w:ascii="Times New Roman" w:hAnsi="Times New Roman"/>
                <w:color w:val="000000" w:themeColor="text1"/>
                <w:sz w:val="20"/>
                <w:szCs w:val="20"/>
                <w:lang w:eastAsia="ro-MD"/>
              </w:rPr>
              <w:t>Moldovei</w:t>
            </w:r>
            <w:proofErr w:type="spellEnd"/>
            <w:r w:rsidRPr="005C3300">
              <w:rPr>
                <w:rFonts w:ascii="Times New Roman" w:hAnsi="Times New Roman"/>
                <w:color w:val="000000" w:themeColor="text1"/>
                <w:sz w:val="20"/>
                <w:szCs w:val="20"/>
                <w:lang w:eastAsia="ro-MD"/>
              </w:rPr>
              <w:t>.</w:t>
            </w:r>
          </w:p>
          <w:p w14:paraId="4A9E65FE" w14:textId="3CCBF678" w:rsidR="00E31ECE" w:rsidRPr="00E31ECE" w:rsidRDefault="00E31ECE" w:rsidP="00E31ECE">
            <w:pPr>
              <w:rPr>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9BBADFF" w14:textId="20434A98" w:rsidR="00BE4B87" w:rsidRPr="002C32BA" w:rsidDel="00FB5884" w:rsidRDefault="00DA2AC9"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00ED89D" w14:textId="77777777" w:rsidR="00BE4B87" w:rsidRPr="002C32BA" w:rsidRDefault="00BE4B87" w:rsidP="00D62F3C">
            <w:pPr>
              <w:jc w:val="both"/>
              <w:rPr>
                <w:rFonts w:ascii="Times New Roman" w:hAnsi="Times New Roman" w:cs="Times New Roman"/>
                <w:sz w:val="20"/>
                <w:szCs w:val="20"/>
                <w:lang w:val="ro-RO"/>
              </w:rPr>
            </w:pPr>
          </w:p>
        </w:tc>
      </w:tr>
      <w:tr w:rsidR="00DA2AC9" w:rsidRPr="002C32BA" w14:paraId="08E7366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3D92071C" w14:textId="5F5AD043" w:rsidR="00DA2AC9" w:rsidRPr="00BE4B87"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 xml:space="preserve">(3)   O instituție care utilizează o abordare bazată pe modele interne utilizează această abordare pentru toate </w:t>
            </w:r>
            <w:proofErr w:type="spellStart"/>
            <w:r w:rsidRPr="00403CDF">
              <w:rPr>
                <w:rFonts w:ascii="Times New Roman" w:hAnsi="Times New Roman"/>
                <w:sz w:val="20"/>
                <w:szCs w:val="20"/>
                <w:lang w:val="ro-RO" w:eastAsia="ru-RU"/>
              </w:rPr>
              <w:t>contrapărțile</w:t>
            </w:r>
            <w:proofErr w:type="spellEnd"/>
            <w:r w:rsidRPr="00403CDF">
              <w:rPr>
                <w:rFonts w:ascii="Times New Roman" w:hAnsi="Times New Roman"/>
                <w:sz w:val="20"/>
                <w:szCs w:val="20"/>
                <w:lang w:val="ro-RO" w:eastAsia="ru-RU"/>
              </w:rPr>
              <w:t xml:space="preserve"> și titlurile de valoare, cu excepția portofoliilor nesemnificative, pentru care poate utiliza abordarea bazată pe ajustări de volatilitate reglementate prevăzută la articolul 220.</w:t>
            </w:r>
          </w:p>
        </w:tc>
        <w:tc>
          <w:tcPr>
            <w:tcW w:w="1636" w:type="pct"/>
            <w:shd w:val="clear" w:color="auto" w:fill="auto"/>
          </w:tcPr>
          <w:p w14:paraId="13856010" w14:textId="77777777" w:rsidR="00DA2AC9" w:rsidRDefault="00DA2AC9" w:rsidP="00DA2AC9">
            <w:pPr>
              <w:pStyle w:val="CM4"/>
              <w:tabs>
                <w:tab w:val="left" w:pos="150"/>
              </w:tabs>
              <w:ind w:left="-36"/>
              <w:rPr>
                <w:rFonts w:ascii="Times New Roman" w:hAnsi="Times New Roman"/>
                <w:color w:val="000000" w:themeColor="text1"/>
                <w:sz w:val="20"/>
                <w:szCs w:val="20"/>
                <w:lang w:eastAsia="ro-MD"/>
              </w:rPr>
            </w:pPr>
            <w:r w:rsidRPr="005C3300">
              <w:rPr>
                <w:rFonts w:ascii="Times New Roman" w:hAnsi="Times New Roman"/>
                <w:b/>
                <w:bCs/>
                <w:color w:val="000000" w:themeColor="text1"/>
                <w:sz w:val="20"/>
                <w:szCs w:val="20"/>
                <w:lang w:eastAsia="ro-MD"/>
              </w:rPr>
              <w:t>72</w:t>
            </w:r>
            <w:r w:rsidRPr="005C3300">
              <w:rPr>
                <w:rFonts w:ascii="Times New Roman" w:hAnsi="Times New Roman"/>
                <w:b/>
                <w:bCs/>
                <w:color w:val="000000" w:themeColor="text1"/>
                <w:sz w:val="20"/>
                <w:szCs w:val="20"/>
                <w:vertAlign w:val="superscript"/>
                <w:lang w:eastAsia="ro-MD"/>
              </w:rPr>
              <w:t>3</w:t>
            </w:r>
            <w:r w:rsidRPr="005C3300">
              <w:rPr>
                <w:rFonts w:ascii="Times New Roman" w:hAnsi="Times New Roman"/>
                <w:b/>
                <w:bCs/>
                <w:color w:val="000000" w:themeColor="text1"/>
                <w:sz w:val="20"/>
                <w:szCs w:val="20"/>
                <w:lang w:eastAsia="ro-MD"/>
              </w:rPr>
              <w:t>.</w:t>
            </w:r>
            <w:r w:rsidRPr="005C3300">
              <w:rPr>
                <w:rFonts w:ascii="Times New Roman" w:hAnsi="Times New Roman"/>
                <w:color w:val="000000" w:themeColor="text1"/>
                <w:sz w:val="20"/>
                <w:szCs w:val="20"/>
                <w:lang w:eastAsia="ro-MD"/>
              </w:rPr>
              <w:t xml:space="preserve"> O </w:t>
            </w:r>
            <w:proofErr w:type="spellStart"/>
            <w:r w:rsidRPr="005C3300">
              <w:rPr>
                <w:rFonts w:ascii="Times New Roman" w:hAnsi="Times New Roman"/>
                <w:color w:val="000000" w:themeColor="text1"/>
                <w:sz w:val="20"/>
                <w:szCs w:val="20"/>
                <w:lang w:eastAsia="ro-MD"/>
              </w:rPr>
              <w:t>bancă</w:t>
            </w:r>
            <w:proofErr w:type="spellEnd"/>
            <w:r w:rsidRPr="005C3300">
              <w:rPr>
                <w:rFonts w:ascii="Times New Roman" w:hAnsi="Times New Roman"/>
                <w:color w:val="000000" w:themeColor="text1"/>
                <w:sz w:val="20"/>
                <w:szCs w:val="20"/>
                <w:lang w:eastAsia="ro-MD"/>
              </w:rPr>
              <w:t xml:space="preserve"> care </w:t>
            </w:r>
            <w:proofErr w:type="spellStart"/>
            <w:r w:rsidRPr="005C3300">
              <w:rPr>
                <w:rFonts w:ascii="Times New Roman" w:hAnsi="Times New Roman"/>
                <w:color w:val="000000" w:themeColor="text1"/>
                <w:sz w:val="20"/>
                <w:szCs w:val="20"/>
                <w:lang w:eastAsia="ro-MD"/>
              </w:rPr>
              <w:t>utilizează</w:t>
            </w:r>
            <w:proofErr w:type="spellEnd"/>
            <w:r w:rsidRPr="005C3300">
              <w:rPr>
                <w:rFonts w:ascii="Times New Roman" w:hAnsi="Times New Roman"/>
                <w:color w:val="000000" w:themeColor="text1"/>
                <w:sz w:val="20"/>
                <w:szCs w:val="20"/>
                <w:lang w:eastAsia="ro-MD"/>
              </w:rPr>
              <w:t xml:space="preserve"> o </w:t>
            </w:r>
            <w:proofErr w:type="spellStart"/>
            <w:r w:rsidRPr="005C3300">
              <w:rPr>
                <w:rFonts w:ascii="Times New Roman" w:hAnsi="Times New Roman"/>
                <w:color w:val="000000" w:themeColor="text1"/>
                <w:sz w:val="20"/>
                <w:szCs w:val="20"/>
                <w:lang w:eastAsia="ro-MD"/>
              </w:rPr>
              <w:t>abordare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bazată</w:t>
            </w:r>
            <w:proofErr w:type="spellEnd"/>
            <w:r w:rsidRPr="005C3300">
              <w:rPr>
                <w:rFonts w:ascii="Times New Roman" w:hAnsi="Times New Roman"/>
                <w:color w:val="000000" w:themeColor="text1"/>
                <w:sz w:val="20"/>
                <w:szCs w:val="20"/>
                <w:lang w:eastAsia="ro-MD"/>
              </w:rPr>
              <w:t xml:space="preserve"> pe </w:t>
            </w:r>
            <w:proofErr w:type="spellStart"/>
            <w:r w:rsidRPr="005C3300">
              <w:rPr>
                <w:rFonts w:ascii="Times New Roman" w:hAnsi="Times New Roman"/>
                <w:color w:val="000000" w:themeColor="text1"/>
                <w:sz w:val="20"/>
                <w:szCs w:val="20"/>
                <w:lang w:eastAsia="ro-MD"/>
              </w:rPr>
              <w:t>modele</w:t>
            </w:r>
            <w:proofErr w:type="spellEnd"/>
            <w:r w:rsidRPr="005C3300">
              <w:rPr>
                <w:rFonts w:ascii="Times New Roman" w:hAnsi="Times New Roman"/>
                <w:color w:val="000000" w:themeColor="text1"/>
                <w:sz w:val="20"/>
                <w:szCs w:val="20"/>
                <w:lang w:eastAsia="ro-MD"/>
              </w:rPr>
              <w:t xml:space="preserve"> interne </w:t>
            </w:r>
            <w:proofErr w:type="spellStart"/>
            <w:r w:rsidRPr="005C3300">
              <w:rPr>
                <w:rFonts w:ascii="Times New Roman" w:hAnsi="Times New Roman"/>
                <w:color w:val="000000" w:themeColor="text1"/>
                <w:sz w:val="20"/>
                <w:szCs w:val="20"/>
                <w:lang w:eastAsia="ro-MD"/>
              </w:rPr>
              <w:t>utilizează</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această</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abordare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pentru</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toate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contrapărțile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și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titlurile</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valoare</w:t>
            </w:r>
            <w:proofErr w:type="spellEnd"/>
            <w:r w:rsidRPr="005C3300">
              <w:rPr>
                <w:rFonts w:ascii="Times New Roman" w:hAnsi="Times New Roman"/>
                <w:color w:val="000000" w:themeColor="text1"/>
                <w:sz w:val="20"/>
                <w:szCs w:val="20"/>
                <w:lang w:eastAsia="ro-MD"/>
              </w:rPr>
              <w:t xml:space="preserve">, cu </w:t>
            </w:r>
            <w:proofErr w:type="spellStart"/>
            <w:r w:rsidRPr="005C3300">
              <w:rPr>
                <w:rFonts w:ascii="Times New Roman" w:hAnsi="Times New Roman"/>
                <w:color w:val="000000" w:themeColor="text1"/>
                <w:sz w:val="20"/>
                <w:szCs w:val="20"/>
                <w:lang w:eastAsia="ro-MD"/>
              </w:rPr>
              <w:t>excepția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portofoliilor</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nesemnificative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pentru</w:t>
            </w:r>
            <w:proofErr w:type="spellEnd"/>
            <w:r w:rsidRPr="005C3300">
              <w:rPr>
                <w:rFonts w:ascii="Times New Roman" w:hAnsi="Times New Roman"/>
                <w:color w:val="000000" w:themeColor="text1"/>
                <w:sz w:val="20"/>
                <w:szCs w:val="20"/>
                <w:lang w:eastAsia="ro-MD"/>
              </w:rPr>
              <w:t xml:space="preserve"> care </w:t>
            </w:r>
            <w:proofErr w:type="spellStart"/>
            <w:r w:rsidRPr="005C3300">
              <w:rPr>
                <w:rFonts w:ascii="Times New Roman" w:hAnsi="Times New Roman"/>
                <w:color w:val="000000" w:themeColor="text1"/>
                <w:sz w:val="20"/>
                <w:szCs w:val="20"/>
                <w:lang w:eastAsia="ro-MD"/>
              </w:rPr>
              <w:t>poate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utiliza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abordarea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bazată</w:t>
            </w:r>
            <w:proofErr w:type="spellEnd"/>
            <w:r w:rsidRPr="005C3300">
              <w:rPr>
                <w:rFonts w:ascii="Times New Roman" w:hAnsi="Times New Roman"/>
                <w:color w:val="000000" w:themeColor="text1"/>
                <w:sz w:val="20"/>
                <w:szCs w:val="20"/>
                <w:lang w:eastAsia="ro-MD"/>
              </w:rPr>
              <w:t xml:space="preserve"> pe </w:t>
            </w:r>
            <w:proofErr w:type="spellStart"/>
            <w:r w:rsidRPr="005C3300">
              <w:rPr>
                <w:rFonts w:ascii="Times New Roman" w:hAnsi="Times New Roman"/>
                <w:color w:val="000000" w:themeColor="text1"/>
                <w:sz w:val="20"/>
                <w:szCs w:val="20"/>
                <w:lang w:eastAsia="ro-MD"/>
              </w:rPr>
              <w:t>ajustări</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volatilitate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reglementate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prevăzută</w:t>
            </w:r>
            <w:proofErr w:type="spellEnd"/>
            <w:r w:rsidRPr="005C3300">
              <w:rPr>
                <w:rFonts w:ascii="Times New Roman" w:hAnsi="Times New Roman"/>
                <w:color w:val="000000" w:themeColor="text1"/>
                <w:sz w:val="20"/>
                <w:szCs w:val="20"/>
                <w:lang w:eastAsia="ro-MD"/>
              </w:rPr>
              <w:t xml:space="preserve"> la </w:t>
            </w:r>
            <w:proofErr w:type="spellStart"/>
            <w:r w:rsidRPr="005C3300">
              <w:rPr>
                <w:rFonts w:ascii="Times New Roman" w:hAnsi="Times New Roman"/>
                <w:color w:val="000000" w:themeColor="text1"/>
                <w:sz w:val="20"/>
                <w:szCs w:val="20"/>
                <w:lang w:eastAsia="ro-MD"/>
              </w:rPr>
              <w:t>punctele</w:t>
            </w:r>
            <w:proofErr w:type="spellEnd"/>
            <w:r w:rsidRPr="005C3300">
              <w:rPr>
                <w:rFonts w:ascii="Times New Roman" w:hAnsi="Times New Roman"/>
                <w:color w:val="000000" w:themeColor="text1"/>
                <w:sz w:val="20"/>
                <w:szCs w:val="20"/>
                <w:lang w:eastAsia="ro-MD"/>
              </w:rPr>
              <w:t xml:space="preserve"> 68-72.</w:t>
            </w:r>
          </w:p>
          <w:p w14:paraId="26277F43" w14:textId="0189CBA6" w:rsidR="00DA2AC9" w:rsidRPr="00E31ECE" w:rsidRDefault="00DA2AC9" w:rsidP="00DA2AC9">
            <w:pPr>
              <w:rPr>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5449E8C2" w14:textId="60062BA5" w:rsidR="00DA2AC9" w:rsidRPr="002C32BA" w:rsidDel="00FB5884" w:rsidRDefault="00DA2AC9" w:rsidP="00DA2AC9">
            <w:pPr>
              <w:rPr>
                <w:rFonts w:ascii="Times New Roman" w:hAnsi="Times New Roman" w:cs="Times New Roman"/>
                <w:sz w:val="20"/>
                <w:szCs w:val="20"/>
                <w:lang w:val="ro-RO"/>
              </w:rPr>
            </w:pPr>
            <w:r w:rsidRPr="007D5AD4">
              <w:rPr>
                <w:rFonts w:ascii="Times New Roman" w:hAnsi="Times New Roman" w:cs="Times New Roman"/>
                <w:sz w:val="20"/>
                <w:szCs w:val="20"/>
                <w:lang w:val="ro-RO"/>
              </w:rPr>
              <w:t>Compatibil</w:t>
            </w:r>
          </w:p>
        </w:tc>
        <w:tc>
          <w:tcPr>
            <w:tcW w:w="885" w:type="pct"/>
          </w:tcPr>
          <w:p w14:paraId="327335E4" w14:textId="77777777" w:rsidR="00DA2AC9" w:rsidRPr="002C32BA" w:rsidRDefault="00DA2AC9" w:rsidP="00DA2AC9">
            <w:pPr>
              <w:jc w:val="both"/>
              <w:rPr>
                <w:rFonts w:ascii="Times New Roman" w:hAnsi="Times New Roman" w:cs="Times New Roman"/>
                <w:sz w:val="20"/>
                <w:szCs w:val="20"/>
                <w:lang w:val="ro-RO"/>
              </w:rPr>
            </w:pPr>
          </w:p>
        </w:tc>
      </w:tr>
      <w:tr w:rsidR="00DA2AC9" w:rsidRPr="002C32BA" w14:paraId="6033D93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3E94EFE3" w14:textId="77777777"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(4)   Autoritățile competente permit unei instituții să utilizeze o abordare bazată pe modele interne numai dacă au dovezi satisfăcătoare ale faptului că sistemul folosit de instituție pentru gestionarea riscurilor decurgând din tranzacțiile acoperite de acordul-cadru de compensare este solid din punct de vedere conceptual și aplicat corect și dacă sunt îndeplinite următoarele cerințe calitative:</w:t>
            </w:r>
          </w:p>
          <w:p w14:paraId="56032B33" w14:textId="4F493657"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(a) modelul intern de măsurare a riscurilor utilizat pentru calcularea volatilității potențiale a prețurilor tranzacțiilor este strâns integrat în procesul zilnic de gestionare a riscurilor și servește drept bază pentru raportarea expunerilor la risc către conducerea superioară a instituției;</w:t>
            </w:r>
          </w:p>
          <w:p w14:paraId="0A370AF1" w14:textId="65C19A4C"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(b) instituția dispune de o unitate de control al riscurilor care îndeplinește toate cerințele următoare:</w:t>
            </w:r>
          </w:p>
          <w:p w14:paraId="4FA1F375" w14:textId="74907ABD"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(i) este independentă de unitățile care derulează tranzacții și raportează direct conducerii superioare;</w:t>
            </w:r>
          </w:p>
          <w:p w14:paraId="1F308566" w14:textId="37A94A34"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(ii) răspunde de conceperea și implementarea sistemului de gestionare a riscurilor al instituției;</w:t>
            </w:r>
          </w:p>
          <w:p w14:paraId="334723BA" w14:textId="5619D265"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(iii) elaborează și analizează rapoarte zilnice cu privire la rezultatele modelului de măsurare a riscurilor și la măsurile adecvate care trebuie luate în privința limitelor pozițiilor;</w:t>
            </w:r>
          </w:p>
          <w:p w14:paraId="3C093294" w14:textId="68AD2964"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(c) rapoartele zilnice elaborate de unitatea de control al riscurilor sunt analizate de către un nivel al conducerii care are suficientă autoritate pentru a impune reduceri ale pozițiilor luate și ale expunerii globale la risc;</w:t>
            </w:r>
          </w:p>
          <w:p w14:paraId="0E64F0DD" w14:textId="5EAB3215"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(d) instituția dispune, în cadrul unității de control al riscurilor, de suficient personal competent pentru utilizarea modelelor sofisticate;</w:t>
            </w:r>
          </w:p>
          <w:p w14:paraId="5CF60C58" w14:textId="66E79E27"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(e) instituția a stabilit proceduri pentru monitorizarea și asigurarea respectării unui set formalizat de politici și controale interne privind funcționarea generală a sistemului de măsurare a riscurilor;</w:t>
            </w:r>
          </w:p>
          <w:p w14:paraId="4E572A27" w14:textId="6DB2294F"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(f) modelele instituției au un istoric care arată o acuratețe rezonabilă în măsurarea riscurilor, demonstrată prin testarea ulterioară a rezultatelor acestora, pentru care se utilizează date aferente cel puțin unui an;</w:t>
            </w:r>
          </w:p>
          <w:p w14:paraId="1A50C528" w14:textId="538E256E"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(g) instituția desfășoară în mod frecvent un program riguros de simulare de criză, iar rezultatele acestor teste sunt examinate de către conducerea superioară și se reflectă în politicile și în limitele pe care aceasta le stabilește;</w:t>
            </w:r>
          </w:p>
          <w:p w14:paraId="646CD32C" w14:textId="16584650"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(h) instituția efectuează, în cadrul procesului său periodic de audit intern, o reexaminare independentă a sistemului de măsurare a riscurilor. Această reexaminare include atât activitatea unităților care derulează tranzacții, cât și pe cea a unității independente de control al riscurilor;</w:t>
            </w:r>
          </w:p>
          <w:p w14:paraId="07263330" w14:textId="7538927A"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(i) instituția efectuează o reexaminare a sistemului său de gestionare a riscurilor, cel puțin o dată pe an;</w:t>
            </w:r>
          </w:p>
          <w:p w14:paraId="0986D954" w14:textId="1388768C" w:rsidR="00DA2AC9" w:rsidRPr="00BE4B87"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(j) modelul intern îndeplinește cerințele stabilite la articolul 292 alineatele (8) și (9) și la articolul 294.</w:t>
            </w:r>
          </w:p>
        </w:tc>
        <w:tc>
          <w:tcPr>
            <w:tcW w:w="1636" w:type="pct"/>
            <w:shd w:val="clear" w:color="auto" w:fill="auto"/>
          </w:tcPr>
          <w:p w14:paraId="0B64337B" w14:textId="77777777"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b/>
                <w:bCs/>
                <w:color w:val="000000" w:themeColor="text1"/>
                <w:sz w:val="20"/>
                <w:szCs w:val="20"/>
                <w:lang w:eastAsia="ro-MD"/>
              </w:rPr>
              <w:t>72</w:t>
            </w:r>
            <w:r w:rsidRPr="005C3300">
              <w:rPr>
                <w:rFonts w:ascii="Times New Roman" w:eastAsia="Times New Roman" w:hAnsi="Times New Roman" w:cs="Times New Roman"/>
                <w:b/>
                <w:bCs/>
                <w:color w:val="000000" w:themeColor="text1"/>
                <w:sz w:val="20"/>
                <w:szCs w:val="20"/>
                <w:vertAlign w:val="superscript"/>
                <w:lang w:eastAsia="ro-MD"/>
              </w:rPr>
              <w:t>4</w:t>
            </w:r>
            <w:r w:rsidRPr="005C3300">
              <w:rPr>
                <w:rFonts w:ascii="Times New Roman" w:eastAsia="Times New Roman" w:hAnsi="Times New Roman" w:cs="Times New Roman"/>
                <w:b/>
                <w:bCs/>
                <w:color w:val="000000" w:themeColor="text1"/>
                <w:sz w:val="20"/>
                <w:szCs w:val="20"/>
                <w:lang w:eastAsia="ro-MD"/>
              </w:rPr>
              <w:t>.</w:t>
            </w:r>
            <w:r w:rsidRPr="005C3300">
              <w:rPr>
                <w:rFonts w:ascii="Times New Roman" w:eastAsia="Times New Roman" w:hAnsi="Times New Roman" w:cs="Times New Roman"/>
                <w:color w:val="000000" w:themeColor="text1"/>
                <w:sz w:val="20"/>
                <w:szCs w:val="20"/>
                <w:lang w:eastAsia="ro-MD"/>
              </w:rPr>
              <w:t xml:space="preserve"> Banca </w:t>
            </w:r>
            <w:proofErr w:type="spellStart"/>
            <w:r w:rsidRPr="005C3300">
              <w:rPr>
                <w:rFonts w:ascii="Times New Roman" w:eastAsia="Times New Roman" w:hAnsi="Times New Roman" w:cs="Times New Roman"/>
                <w:color w:val="000000" w:themeColor="text1"/>
                <w:sz w:val="20"/>
                <w:szCs w:val="20"/>
                <w:lang w:eastAsia="ro-MD"/>
              </w:rPr>
              <w:t>Națională</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Moldovei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permite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bănci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utilizeze</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abordare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bazată</w:t>
            </w:r>
            <w:proofErr w:type="spellEnd"/>
            <w:r w:rsidRPr="005C3300">
              <w:rPr>
                <w:rFonts w:ascii="Times New Roman" w:eastAsia="Times New Roman" w:hAnsi="Times New Roman" w:cs="Times New Roman"/>
                <w:color w:val="000000" w:themeColor="text1"/>
                <w:sz w:val="20"/>
                <w:szCs w:val="20"/>
                <w:lang w:eastAsia="ro-MD"/>
              </w:rPr>
              <w:t xml:space="preserve"> pe </w:t>
            </w:r>
            <w:proofErr w:type="spellStart"/>
            <w:r w:rsidRPr="005C3300">
              <w:rPr>
                <w:rFonts w:ascii="Times New Roman" w:eastAsia="Times New Roman" w:hAnsi="Times New Roman" w:cs="Times New Roman"/>
                <w:color w:val="000000" w:themeColor="text1"/>
                <w:sz w:val="20"/>
                <w:szCs w:val="20"/>
                <w:lang w:eastAsia="ro-MD"/>
              </w:rPr>
              <w:t>modele</w:t>
            </w:r>
            <w:proofErr w:type="spellEnd"/>
            <w:r w:rsidRPr="005C3300">
              <w:rPr>
                <w:rFonts w:ascii="Times New Roman" w:eastAsia="Times New Roman" w:hAnsi="Times New Roman" w:cs="Times New Roman"/>
                <w:color w:val="000000" w:themeColor="text1"/>
                <w:sz w:val="20"/>
                <w:szCs w:val="20"/>
                <w:lang w:eastAsia="ro-MD"/>
              </w:rPr>
              <w:t xml:space="preserve"> interne </w:t>
            </w:r>
            <w:proofErr w:type="spellStart"/>
            <w:r w:rsidRPr="005C3300">
              <w:rPr>
                <w:rFonts w:ascii="Times New Roman" w:eastAsia="Times New Roman" w:hAnsi="Times New Roman" w:cs="Times New Roman"/>
                <w:color w:val="000000" w:themeColor="text1"/>
                <w:sz w:val="20"/>
                <w:szCs w:val="20"/>
                <w:lang w:eastAsia="ro-MD"/>
              </w:rPr>
              <w:t>numai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dacă</w:t>
            </w:r>
            <w:proofErr w:type="spellEnd"/>
            <w:r w:rsidRPr="005C3300">
              <w:rPr>
                <w:rFonts w:ascii="Times New Roman" w:eastAsia="Times New Roman" w:hAnsi="Times New Roman" w:cs="Times New Roman"/>
                <w:color w:val="000000" w:themeColor="text1"/>
                <w:sz w:val="20"/>
                <w:szCs w:val="20"/>
                <w:lang w:eastAsia="ro-MD"/>
              </w:rPr>
              <w:t xml:space="preserve"> au </w:t>
            </w:r>
            <w:proofErr w:type="spellStart"/>
            <w:r w:rsidRPr="005C3300">
              <w:rPr>
                <w:rFonts w:ascii="Times New Roman" w:eastAsia="Times New Roman" w:hAnsi="Times New Roman" w:cs="Times New Roman"/>
                <w:color w:val="000000" w:themeColor="text1"/>
                <w:sz w:val="20"/>
                <w:szCs w:val="20"/>
                <w:lang w:eastAsia="ro-MD"/>
              </w:rPr>
              <w:t>dovezi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satisfăcătoare</w:t>
            </w:r>
            <w:proofErr w:type="spellEnd"/>
            <w:r w:rsidRPr="005C3300">
              <w:rPr>
                <w:rFonts w:ascii="Times New Roman" w:eastAsia="Times New Roman" w:hAnsi="Times New Roman" w:cs="Times New Roman"/>
                <w:color w:val="000000" w:themeColor="text1"/>
                <w:sz w:val="20"/>
                <w:szCs w:val="20"/>
                <w:lang w:eastAsia="ro-MD"/>
              </w:rPr>
              <w:t xml:space="preserve"> ale </w:t>
            </w:r>
            <w:proofErr w:type="spellStart"/>
            <w:r w:rsidRPr="005C3300">
              <w:rPr>
                <w:rFonts w:ascii="Times New Roman" w:eastAsia="Times New Roman" w:hAnsi="Times New Roman" w:cs="Times New Roman"/>
                <w:color w:val="000000" w:themeColor="text1"/>
                <w:sz w:val="20"/>
                <w:szCs w:val="20"/>
                <w:lang w:eastAsia="ro-MD"/>
              </w:rPr>
              <w:t>faptului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sistemul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folosit</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bancă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gestionarea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decurgând</w:t>
            </w:r>
            <w:proofErr w:type="spellEnd"/>
            <w:r w:rsidRPr="005C3300">
              <w:rPr>
                <w:rFonts w:ascii="Times New Roman" w:eastAsia="Times New Roman" w:hAnsi="Times New Roman" w:cs="Times New Roman"/>
                <w:color w:val="000000" w:themeColor="text1"/>
                <w:sz w:val="20"/>
                <w:szCs w:val="20"/>
                <w:lang w:eastAsia="ro-MD"/>
              </w:rPr>
              <w:t xml:space="preserve"> din </w:t>
            </w:r>
            <w:proofErr w:type="spellStart"/>
            <w:r w:rsidRPr="005C3300">
              <w:rPr>
                <w:rFonts w:ascii="Times New Roman" w:eastAsia="Times New Roman" w:hAnsi="Times New Roman" w:cs="Times New Roman"/>
                <w:color w:val="000000" w:themeColor="text1"/>
                <w:sz w:val="20"/>
                <w:szCs w:val="20"/>
                <w:lang w:eastAsia="ro-MD"/>
              </w:rPr>
              <w:t>tranzacțiile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acoperite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acordul-cadru</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compensare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solid din </w:t>
            </w:r>
            <w:proofErr w:type="spellStart"/>
            <w:r w:rsidRPr="005C3300">
              <w:rPr>
                <w:rFonts w:ascii="Times New Roman" w:eastAsia="Times New Roman" w:hAnsi="Times New Roman" w:cs="Times New Roman"/>
                <w:color w:val="000000" w:themeColor="text1"/>
                <w:sz w:val="20"/>
                <w:szCs w:val="20"/>
                <w:lang w:eastAsia="ro-MD"/>
              </w:rPr>
              <w:t>punct</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vedere</w:t>
            </w:r>
            <w:proofErr w:type="spellEnd"/>
            <w:r w:rsidRPr="005C3300">
              <w:rPr>
                <w:rFonts w:ascii="Times New Roman" w:eastAsia="Times New Roman" w:hAnsi="Times New Roman" w:cs="Times New Roman"/>
                <w:color w:val="000000" w:themeColor="text1"/>
                <w:sz w:val="20"/>
                <w:szCs w:val="20"/>
                <w:lang w:eastAsia="ro-MD"/>
              </w:rPr>
              <w:t xml:space="preserve"> conceptual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aplicat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corect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dacă</w:t>
            </w:r>
            <w:proofErr w:type="spellEnd"/>
            <w:r w:rsidRPr="005C3300">
              <w:rPr>
                <w:rFonts w:ascii="Times New Roman" w:eastAsia="Times New Roman" w:hAnsi="Times New Roman" w:cs="Times New Roman"/>
                <w:color w:val="000000" w:themeColor="text1"/>
                <w:sz w:val="20"/>
                <w:szCs w:val="20"/>
                <w:lang w:eastAsia="ro-MD"/>
              </w:rPr>
              <w:t xml:space="preserve"> sunt </w:t>
            </w:r>
            <w:proofErr w:type="spellStart"/>
            <w:r w:rsidRPr="005C3300">
              <w:rPr>
                <w:rFonts w:ascii="Times New Roman" w:eastAsia="Times New Roman" w:hAnsi="Times New Roman" w:cs="Times New Roman"/>
                <w:color w:val="000000" w:themeColor="text1"/>
                <w:sz w:val="20"/>
                <w:szCs w:val="20"/>
                <w:lang w:eastAsia="ro-MD"/>
              </w:rPr>
              <w:t>îndeplinite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următoarele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cerințe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calitative</w:t>
            </w:r>
            <w:proofErr w:type="spellEnd"/>
            <w:r w:rsidRPr="005C3300">
              <w:rPr>
                <w:rFonts w:ascii="Times New Roman" w:eastAsia="Times New Roman" w:hAnsi="Times New Roman" w:cs="Times New Roman"/>
                <w:color w:val="000000" w:themeColor="text1"/>
                <w:sz w:val="20"/>
                <w:szCs w:val="20"/>
                <w:lang w:eastAsia="ro-MD"/>
              </w:rPr>
              <w:t>:</w:t>
            </w:r>
          </w:p>
          <w:p w14:paraId="1E17BA65" w14:textId="6206B9D5"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1) </w:t>
            </w:r>
            <w:proofErr w:type="spellStart"/>
            <w:r w:rsidRPr="005C3300">
              <w:rPr>
                <w:rFonts w:ascii="Times New Roman" w:eastAsia="Times New Roman" w:hAnsi="Times New Roman" w:cs="Times New Roman"/>
                <w:color w:val="000000" w:themeColor="text1"/>
                <w:sz w:val="20"/>
                <w:szCs w:val="20"/>
                <w:lang w:eastAsia="ro-MD"/>
              </w:rPr>
              <w:t>modelul</w:t>
            </w:r>
            <w:proofErr w:type="spellEnd"/>
            <w:r w:rsidRPr="005C3300">
              <w:rPr>
                <w:rFonts w:ascii="Times New Roman" w:eastAsia="Times New Roman" w:hAnsi="Times New Roman" w:cs="Times New Roman"/>
                <w:color w:val="000000" w:themeColor="text1"/>
                <w:sz w:val="20"/>
                <w:szCs w:val="20"/>
                <w:lang w:eastAsia="ro-MD"/>
              </w:rPr>
              <w:t xml:space="preserve"> intern de </w:t>
            </w:r>
            <w:proofErr w:type="spellStart"/>
            <w:r w:rsidRPr="005C3300">
              <w:rPr>
                <w:rFonts w:ascii="Times New Roman" w:eastAsia="Times New Roman" w:hAnsi="Times New Roman" w:cs="Times New Roman"/>
                <w:color w:val="000000" w:themeColor="text1"/>
                <w:sz w:val="20"/>
                <w:szCs w:val="20"/>
                <w:lang w:eastAsia="ro-MD"/>
              </w:rPr>
              <w:t>măsurare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utilizat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volatilității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potențiale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prețurilor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strâns</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integrat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procesul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zilnic</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gestionare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servește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drept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raportarea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expunerilor</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risc</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către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conducerea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superioară</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proofErr w:type="gramStart"/>
            <w:r w:rsidRPr="005C3300">
              <w:rPr>
                <w:rFonts w:ascii="Times New Roman" w:eastAsia="Times New Roman" w:hAnsi="Times New Roman" w:cs="Times New Roman"/>
                <w:color w:val="000000" w:themeColor="text1"/>
                <w:sz w:val="20"/>
                <w:szCs w:val="20"/>
                <w:lang w:eastAsia="ro-MD"/>
              </w:rPr>
              <w:t>băncii</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14BDC4A8" w14:textId="77777777" w:rsidR="00DA2AC9" w:rsidRDefault="00DA2AC9" w:rsidP="00DA2AC9">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o-MD"/>
              </w:rPr>
            </w:pPr>
          </w:p>
          <w:p w14:paraId="0F567DD3" w14:textId="3713FC2B"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2) banca </w:t>
            </w:r>
            <w:proofErr w:type="spellStart"/>
            <w:r w:rsidRPr="005C3300">
              <w:rPr>
                <w:rFonts w:ascii="Times New Roman" w:eastAsia="Times New Roman" w:hAnsi="Times New Roman" w:cs="Times New Roman"/>
                <w:color w:val="000000" w:themeColor="text1"/>
                <w:sz w:val="20"/>
                <w:szCs w:val="20"/>
                <w:lang w:eastAsia="ro-MD"/>
              </w:rPr>
              <w:t>dispune</w:t>
            </w:r>
            <w:proofErr w:type="spellEnd"/>
            <w:r w:rsidRPr="005C3300">
              <w:rPr>
                <w:rFonts w:ascii="Times New Roman" w:eastAsia="Times New Roman" w:hAnsi="Times New Roman" w:cs="Times New Roman"/>
                <w:color w:val="000000" w:themeColor="text1"/>
                <w:sz w:val="20"/>
                <w:szCs w:val="20"/>
                <w:lang w:eastAsia="ro-MD"/>
              </w:rPr>
              <w:t xml:space="preserve"> de o </w:t>
            </w:r>
            <w:proofErr w:type="spellStart"/>
            <w:r w:rsidRPr="005C3300">
              <w:rPr>
                <w:rFonts w:ascii="Times New Roman" w:eastAsia="Times New Roman" w:hAnsi="Times New Roman" w:cs="Times New Roman"/>
                <w:color w:val="000000" w:themeColor="text1"/>
                <w:sz w:val="20"/>
                <w:szCs w:val="20"/>
                <w:lang w:eastAsia="ro-MD"/>
              </w:rPr>
              <w:t>unitate</w:t>
            </w:r>
            <w:proofErr w:type="spellEnd"/>
            <w:r w:rsidRPr="005C3300">
              <w:rPr>
                <w:rFonts w:ascii="Times New Roman" w:eastAsia="Times New Roman" w:hAnsi="Times New Roman" w:cs="Times New Roman"/>
                <w:color w:val="000000" w:themeColor="text1"/>
                <w:sz w:val="20"/>
                <w:szCs w:val="20"/>
                <w:lang w:eastAsia="ro-MD"/>
              </w:rPr>
              <w:t xml:space="preserve"> de control al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îndeplinește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cumulativ</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următoarele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cerințe</w:t>
            </w:r>
            <w:proofErr w:type="spellEnd"/>
            <w:r w:rsidRPr="005C3300">
              <w:rPr>
                <w:rFonts w:ascii="Times New Roman" w:eastAsia="Times New Roman" w:hAnsi="Times New Roman" w:cs="Times New Roman"/>
                <w:color w:val="000000" w:themeColor="text1"/>
                <w:sz w:val="20"/>
                <w:szCs w:val="20"/>
                <w:lang w:eastAsia="ro-MD"/>
              </w:rPr>
              <w:t>:</w:t>
            </w:r>
          </w:p>
          <w:p w14:paraId="0425C5EC" w14:textId="77777777" w:rsidR="00DA2AC9" w:rsidRPr="005C3300" w:rsidRDefault="00DA2AC9" w:rsidP="00DA2AC9">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a) </w:t>
            </w:r>
            <w:proofErr w:type="spellStart"/>
            <w:r w:rsidRPr="005C3300">
              <w:rPr>
                <w:rFonts w:ascii="Times New Roman" w:eastAsia="Times New Roman" w:hAnsi="Times New Roman" w:cs="Times New Roman"/>
                <w:color w:val="000000" w:themeColor="text1"/>
                <w:sz w:val="20"/>
                <w:szCs w:val="20"/>
                <w:lang w:eastAsia="ro-MD"/>
              </w:rPr>
              <w:t>este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independentă</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unitățile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derulează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raportează</w:t>
            </w:r>
            <w:proofErr w:type="spellEnd"/>
            <w:r w:rsidRPr="005C3300">
              <w:rPr>
                <w:rFonts w:ascii="Times New Roman" w:eastAsia="Times New Roman" w:hAnsi="Times New Roman" w:cs="Times New Roman"/>
                <w:color w:val="000000" w:themeColor="text1"/>
                <w:sz w:val="20"/>
                <w:szCs w:val="20"/>
                <w:lang w:eastAsia="ro-MD"/>
              </w:rPr>
              <w:t xml:space="preserve"> direct </w:t>
            </w:r>
            <w:proofErr w:type="spellStart"/>
            <w:r w:rsidRPr="005C3300">
              <w:rPr>
                <w:rFonts w:ascii="Times New Roman" w:eastAsia="Times New Roman" w:hAnsi="Times New Roman" w:cs="Times New Roman"/>
                <w:color w:val="000000" w:themeColor="text1"/>
                <w:sz w:val="20"/>
                <w:szCs w:val="20"/>
                <w:lang w:eastAsia="ro-MD"/>
              </w:rPr>
              <w:t>conducerii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proofErr w:type="gramStart"/>
            <w:r w:rsidRPr="005C3300">
              <w:rPr>
                <w:rFonts w:ascii="Times New Roman" w:eastAsia="Times New Roman" w:hAnsi="Times New Roman" w:cs="Times New Roman"/>
                <w:color w:val="000000" w:themeColor="text1"/>
                <w:sz w:val="20"/>
                <w:szCs w:val="20"/>
                <w:lang w:eastAsia="ro-MD"/>
              </w:rPr>
              <w:t>superioare</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3826A00A" w14:textId="77777777" w:rsidR="00DA2AC9" w:rsidRPr="005C3300" w:rsidRDefault="00DA2AC9" w:rsidP="00DA2AC9">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b) </w:t>
            </w:r>
            <w:proofErr w:type="spellStart"/>
            <w:r w:rsidRPr="005C3300">
              <w:rPr>
                <w:rFonts w:ascii="Times New Roman" w:eastAsia="Times New Roman" w:hAnsi="Times New Roman" w:cs="Times New Roman"/>
                <w:color w:val="000000" w:themeColor="text1"/>
                <w:sz w:val="20"/>
                <w:szCs w:val="20"/>
                <w:lang w:eastAsia="ro-MD"/>
              </w:rPr>
              <w:t>răspunde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conceperea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implementarea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sistemului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gestionare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al </w:t>
            </w:r>
            <w:proofErr w:type="spellStart"/>
            <w:proofErr w:type="gramStart"/>
            <w:r w:rsidRPr="005C3300">
              <w:rPr>
                <w:rFonts w:ascii="Times New Roman" w:eastAsia="Times New Roman" w:hAnsi="Times New Roman" w:cs="Times New Roman"/>
                <w:color w:val="000000" w:themeColor="text1"/>
                <w:sz w:val="20"/>
                <w:szCs w:val="20"/>
                <w:lang w:eastAsia="ro-MD"/>
              </w:rPr>
              <w:t>băncii</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3CD6670A" w14:textId="70A5FE02" w:rsidR="00DA2AC9" w:rsidRPr="005C3300" w:rsidRDefault="00DA2AC9" w:rsidP="00DA2AC9">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c) </w:t>
            </w:r>
            <w:proofErr w:type="spellStart"/>
            <w:r w:rsidRPr="005C3300">
              <w:rPr>
                <w:rFonts w:ascii="Times New Roman" w:eastAsia="Times New Roman" w:hAnsi="Times New Roman" w:cs="Times New Roman"/>
                <w:color w:val="000000" w:themeColor="text1"/>
                <w:sz w:val="20"/>
                <w:szCs w:val="20"/>
                <w:lang w:eastAsia="ro-MD"/>
              </w:rPr>
              <w:t>elaborează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analizează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rapoarte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zilnice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privire</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rezultatele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modelului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măsurare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măsurile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adecvate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trebuie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privința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limitelor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proofErr w:type="gramStart"/>
            <w:r w:rsidRPr="005C3300">
              <w:rPr>
                <w:rFonts w:ascii="Times New Roman" w:eastAsia="Times New Roman" w:hAnsi="Times New Roman" w:cs="Times New Roman"/>
                <w:color w:val="000000" w:themeColor="text1"/>
                <w:sz w:val="20"/>
                <w:szCs w:val="20"/>
                <w:lang w:eastAsia="ro-MD"/>
              </w:rPr>
              <w:t>pozițiilor</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3C628C00" w14:textId="77777777" w:rsidR="00DA2AC9" w:rsidRDefault="00DA2AC9" w:rsidP="00DA2AC9">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o-MD"/>
              </w:rPr>
            </w:pPr>
          </w:p>
          <w:p w14:paraId="083BC872" w14:textId="67477BBA" w:rsidR="00DA2AC9" w:rsidRDefault="00DA2AC9" w:rsidP="00CB5953">
            <w:pPr>
              <w:shd w:val="clear" w:color="auto" w:fill="FFFFFF"/>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eastAsia="ro-MD"/>
              </w:rPr>
              <w:t>3) </w:t>
            </w:r>
            <w:proofErr w:type="spellStart"/>
            <w:r w:rsidRPr="005C3300">
              <w:rPr>
                <w:rFonts w:ascii="Times New Roman" w:eastAsia="Times New Roman" w:hAnsi="Times New Roman" w:cs="Times New Roman"/>
                <w:color w:val="000000" w:themeColor="text1"/>
                <w:sz w:val="20"/>
                <w:szCs w:val="20"/>
                <w:lang w:eastAsia="ro-MD"/>
              </w:rPr>
              <w:t>rapoartele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zilnice</w:t>
            </w:r>
            <w:proofErr w:type="spellEnd"/>
            <w:r w:rsidRPr="005C3300">
              <w:rPr>
                <w:rFonts w:ascii="Times New Roman" w:eastAsia="Times New Roman" w:hAnsi="Times New Roman" w:cs="Times New Roman"/>
                <w:color w:val="000000" w:themeColor="text1"/>
                <w:sz w:val="20"/>
                <w:szCs w:val="20"/>
                <w:lang w:eastAsia="ro-MD"/>
              </w:rPr>
              <w:t xml:space="preserve"> elaborate de </w:t>
            </w:r>
            <w:proofErr w:type="spellStart"/>
            <w:r w:rsidRPr="005C3300">
              <w:rPr>
                <w:rFonts w:ascii="Times New Roman" w:eastAsia="Times New Roman" w:hAnsi="Times New Roman" w:cs="Times New Roman"/>
                <w:color w:val="000000" w:themeColor="text1"/>
                <w:sz w:val="20"/>
                <w:szCs w:val="20"/>
                <w:lang w:eastAsia="ro-MD"/>
              </w:rPr>
              <w:t>unitatea</w:t>
            </w:r>
            <w:proofErr w:type="spellEnd"/>
            <w:r w:rsidRPr="005C3300">
              <w:rPr>
                <w:rFonts w:ascii="Times New Roman" w:eastAsia="Times New Roman" w:hAnsi="Times New Roman" w:cs="Times New Roman"/>
                <w:color w:val="000000" w:themeColor="text1"/>
                <w:sz w:val="20"/>
                <w:szCs w:val="20"/>
                <w:lang w:eastAsia="ro-MD"/>
              </w:rPr>
              <w:t xml:space="preserve"> de control al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sunt </w:t>
            </w:r>
            <w:proofErr w:type="spellStart"/>
            <w:r w:rsidRPr="005C3300">
              <w:rPr>
                <w:rFonts w:ascii="Times New Roman" w:eastAsia="Times New Roman" w:hAnsi="Times New Roman" w:cs="Times New Roman"/>
                <w:color w:val="000000" w:themeColor="text1"/>
                <w:sz w:val="20"/>
                <w:szCs w:val="20"/>
                <w:lang w:eastAsia="ro-MD"/>
              </w:rPr>
              <w:t>analizate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către</w:t>
            </w:r>
            <w:proofErr w:type="spellEnd"/>
            <w:r w:rsidRPr="005C3300">
              <w:rPr>
                <w:rFonts w:ascii="Times New Roman" w:eastAsia="Times New Roman" w:hAnsi="Times New Roman" w:cs="Times New Roman"/>
                <w:color w:val="000000" w:themeColor="text1"/>
                <w:sz w:val="20"/>
                <w:szCs w:val="20"/>
                <w:lang w:eastAsia="ro-MD"/>
              </w:rPr>
              <w:t xml:space="preserve"> un </w:t>
            </w:r>
            <w:proofErr w:type="spellStart"/>
            <w:r w:rsidRPr="005C3300">
              <w:rPr>
                <w:rFonts w:ascii="Times New Roman" w:eastAsia="Times New Roman" w:hAnsi="Times New Roman" w:cs="Times New Roman"/>
                <w:color w:val="000000" w:themeColor="text1"/>
                <w:sz w:val="20"/>
                <w:szCs w:val="20"/>
                <w:lang w:eastAsia="ro-MD"/>
              </w:rPr>
              <w:t>nivel</w:t>
            </w:r>
            <w:proofErr w:type="spellEnd"/>
            <w:r w:rsidRPr="005C3300">
              <w:rPr>
                <w:rFonts w:ascii="Times New Roman" w:eastAsia="Times New Roman" w:hAnsi="Times New Roman" w:cs="Times New Roman"/>
                <w:color w:val="000000" w:themeColor="text1"/>
                <w:sz w:val="20"/>
                <w:szCs w:val="20"/>
                <w:lang w:eastAsia="ro-MD"/>
              </w:rPr>
              <w:t xml:space="preserve"> al </w:t>
            </w:r>
            <w:proofErr w:type="spellStart"/>
            <w:r w:rsidRPr="005C3300">
              <w:rPr>
                <w:rFonts w:ascii="Times New Roman" w:eastAsia="Times New Roman" w:hAnsi="Times New Roman" w:cs="Times New Roman"/>
                <w:color w:val="000000" w:themeColor="text1"/>
                <w:sz w:val="20"/>
                <w:szCs w:val="20"/>
                <w:lang w:eastAsia="ro-MD"/>
              </w:rPr>
              <w:t>conducerii</w:t>
            </w:r>
            <w:proofErr w:type="spellEnd"/>
            <w:r w:rsidRPr="005C3300">
              <w:rPr>
                <w:rFonts w:ascii="Times New Roman" w:eastAsia="Times New Roman" w:hAnsi="Times New Roman" w:cs="Times New Roman"/>
                <w:color w:val="000000" w:themeColor="text1"/>
                <w:sz w:val="20"/>
                <w:szCs w:val="20"/>
                <w:lang w:eastAsia="ro-MD"/>
              </w:rPr>
              <w:t xml:space="preserve"> care are </w:t>
            </w:r>
            <w:proofErr w:type="spellStart"/>
            <w:r w:rsidRPr="005C3300">
              <w:rPr>
                <w:rFonts w:ascii="Times New Roman" w:eastAsia="Times New Roman" w:hAnsi="Times New Roman" w:cs="Times New Roman"/>
                <w:color w:val="000000" w:themeColor="text1"/>
                <w:sz w:val="20"/>
                <w:szCs w:val="20"/>
                <w:lang w:eastAsia="ro-MD"/>
              </w:rPr>
              <w:t>suficientă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autoritate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a</w:t>
            </w:r>
            <w:proofErr w:type="gram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impune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reduceri</w:t>
            </w:r>
            <w:proofErr w:type="spellEnd"/>
            <w:r w:rsidRPr="005C3300">
              <w:rPr>
                <w:rFonts w:ascii="Times New Roman" w:eastAsia="Times New Roman" w:hAnsi="Times New Roman" w:cs="Times New Roman"/>
                <w:color w:val="000000" w:themeColor="text1"/>
                <w:sz w:val="20"/>
                <w:szCs w:val="20"/>
                <w:lang w:eastAsia="ro-MD"/>
              </w:rPr>
              <w:t xml:space="preserve"> ale </w:t>
            </w:r>
            <w:proofErr w:type="spellStart"/>
            <w:r w:rsidRPr="005C3300">
              <w:rPr>
                <w:rFonts w:ascii="Times New Roman" w:eastAsia="Times New Roman" w:hAnsi="Times New Roman" w:cs="Times New Roman"/>
                <w:color w:val="000000" w:themeColor="text1"/>
                <w:sz w:val="20"/>
                <w:szCs w:val="20"/>
                <w:lang w:eastAsia="ro-MD"/>
              </w:rPr>
              <w:t>pozițiilor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ale </w:t>
            </w:r>
            <w:proofErr w:type="spellStart"/>
            <w:r w:rsidRPr="005C3300">
              <w:rPr>
                <w:rFonts w:ascii="Times New Roman" w:eastAsia="Times New Roman" w:hAnsi="Times New Roman" w:cs="Times New Roman"/>
                <w:color w:val="000000" w:themeColor="text1"/>
                <w:sz w:val="20"/>
                <w:szCs w:val="20"/>
                <w:lang w:eastAsia="ro-MD"/>
              </w:rPr>
              <w:t>expunerii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globale</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proofErr w:type="gramStart"/>
            <w:r w:rsidRPr="005C3300">
              <w:rPr>
                <w:rFonts w:ascii="Times New Roman" w:eastAsia="Times New Roman" w:hAnsi="Times New Roman" w:cs="Times New Roman"/>
                <w:color w:val="000000" w:themeColor="text1"/>
                <w:sz w:val="20"/>
                <w:szCs w:val="20"/>
                <w:lang w:eastAsia="ro-MD"/>
              </w:rPr>
              <w:t>risc</w:t>
            </w:r>
            <w:proofErr w:type="spellEnd"/>
            <w:r w:rsidRPr="005C3300">
              <w:rPr>
                <w:rFonts w:ascii="Times New Roman" w:eastAsia="Times New Roman" w:hAnsi="Times New Roman" w:cs="Times New Roman"/>
                <w:color w:val="000000" w:themeColor="text1"/>
                <w:sz w:val="20"/>
                <w:szCs w:val="20"/>
                <w:lang w:eastAsia="ro-MD"/>
              </w:rPr>
              <w:t>;</w:t>
            </w:r>
            <w:proofErr w:type="gramEnd"/>
            <w:r w:rsidRPr="00A86C07">
              <w:rPr>
                <w:rFonts w:ascii="Times New Roman" w:eastAsia="Times New Roman" w:hAnsi="Times New Roman" w:cs="Times New Roman"/>
                <w:color w:val="000000" w:themeColor="text1"/>
                <w:sz w:val="20"/>
                <w:szCs w:val="20"/>
                <w:highlight w:val="lightGray"/>
                <w:lang w:val="ro-RO" w:eastAsia="ro-MD"/>
              </w:rPr>
              <w:t xml:space="preserve"> </w:t>
            </w:r>
          </w:p>
          <w:p w14:paraId="762B8661" w14:textId="77777777" w:rsidR="00DA2AC9" w:rsidRPr="005C3300" w:rsidRDefault="00DA2AC9" w:rsidP="00DA2AC9">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o-MD"/>
              </w:rPr>
            </w:pPr>
          </w:p>
          <w:p w14:paraId="788580C5" w14:textId="31D94FBE" w:rsidR="00DA2AC9"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4) banca </w:t>
            </w:r>
            <w:proofErr w:type="spellStart"/>
            <w:r w:rsidRPr="005C3300">
              <w:rPr>
                <w:rFonts w:ascii="Times New Roman" w:eastAsia="Times New Roman" w:hAnsi="Times New Roman" w:cs="Times New Roman"/>
                <w:color w:val="000000" w:themeColor="text1"/>
                <w:sz w:val="20"/>
                <w:szCs w:val="20"/>
                <w:lang w:eastAsia="ro-MD"/>
              </w:rPr>
              <w:t>dispune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unității</w:t>
            </w:r>
            <w:proofErr w:type="spellEnd"/>
            <w:r w:rsidRPr="005C3300">
              <w:rPr>
                <w:rFonts w:ascii="Times New Roman" w:eastAsia="Times New Roman" w:hAnsi="Times New Roman" w:cs="Times New Roman"/>
                <w:color w:val="000000" w:themeColor="text1"/>
                <w:sz w:val="20"/>
                <w:szCs w:val="20"/>
                <w:lang w:eastAsia="ro-MD"/>
              </w:rPr>
              <w:t xml:space="preserve"> de control al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suficient</w:t>
            </w:r>
            <w:proofErr w:type="spellEnd"/>
            <w:r w:rsidRPr="005C3300">
              <w:rPr>
                <w:rFonts w:ascii="Times New Roman" w:eastAsia="Times New Roman" w:hAnsi="Times New Roman" w:cs="Times New Roman"/>
                <w:color w:val="000000" w:themeColor="text1"/>
                <w:sz w:val="20"/>
                <w:szCs w:val="20"/>
                <w:lang w:eastAsia="ro-MD"/>
              </w:rPr>
              <w:t xml:space="preserve"> personal competent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utilizarea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modelelor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proofErr w:type="gramStart"/>
            <w:r w:rsidRPr="005C3300">
              <w:rPr>
                <w:rFonts w:ascii="Times New Roman" w:eastAsia="Times New Roman" w:hAnsi="Times New Roman" w:cs="Times New Roman"/>
                <w:color w:val="000000" w:themeColor="text1"/>
                <w:sz w:val="20"/>
                <w:szCs w:val="20"/>
                <w:lang w:eastAsia="ro-MD"/>
              </w:rPr>
              <w:t>sofisticate</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7271E30B" w14:textId="77777777"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p>
          <w:p w14:paraId="34AA1115" w14:textId="6963B9BC" w:rsidR="00DA2AC9"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5) banca a </w:t>
            </w:r>
            <w:proofErr w:type="spellStart"/>
            <w:r w:rsidRPr="005C3300">
              <w:rPr>
                <w:rFonts w:ascii="Times New Roman" w:eastAsia="Times New Roman" w:hAnsi="Times New Roman" w:cs="Times New Roman"/>
                <w:color w:val="000000" w:themeColor="text1"/>
                <w:sz w:val="20"/>
                <w:szCs w:val="20"/>
                <w:lang w:eastAsia="ro-MD"/>
              </w:rPr>
              <w:t>stabilit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proceduri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monitorizarea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asigurarea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respectării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unui</w:t>
            </w:r>
            <w:proofErr w:type="spellEnd"/>
            <w:r w:rsidRPr="005C3300">
              <w:rPr>
                <w:rFonts w:ascii="Times New Roman" w:eastAsia="Times New Roman" w:hAnsi="Times New Roman" w:cs="Times New Roman"/>
                <w:color w:val="000000" w:themeColor="text1"/>
                <w:sz w:val="20"/>
                <w:szCs w:val="20"/>
                <w:lang w:eastAsia="ro-MD"/>
              </w:rPr>
              <w:t xml:space="preserve"> set </w:t>
            </w:r>
            <w:proofErr w:type="spellStart"/>
            <w:r w:rsidRPr="005C3300">
              <w:rPr>
                <w:rFonts w:ascii="Times New Roman" w:eastAsia="Times New Roman" w:hAnsi="Times New Roman" w:cs="Times New Roman"/>
                <w:color w:val="000000" w:themeColor="text1"/>
                <w:sz w:val="20"/>
                <w:szCs w:val="20"/>
                <w:lang w:eastAsia="ro-MD"/>
              </w:rPr>
              <w:t>formalizat</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politici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controale</w:t>
            </w:r>
            <w:proofErr w:type="spellEnd"/>
            <w:r w:rsidRPr="005C3300">
              <w:rPr>
                <w:rFonts w:ascii="Times New Roman" w:eastAsia="Times New Roman" w:hAnsi="Times New Roman" w:cs="Times New Roman"/>
                <w:color w:val="000000" w:themeColor="text1"/>
                <w:sz w:val="20"/>
                <w:szCs w:val="20"/>
                <w:lang w:eastAsia="ro-MD"/>
              </w:rPr>
              <w:t xml:space="preserve"> interne </w:t>
            </w:r>
            <w:proofErr w:type="spellStart"/>
            <w:r w:rsidRPr="005C3300">
              <w:rPr>
                <w:rFonts w:ascii="Times New Roman" w:eastAsia="Times New Roman" w:hAnsi="Times New Roman" w:cs="Times New Roman"/>
                <w:color w:val="000000" w:themeColor="text1"/>
                <w:sz w:val="20"/>
                <w:szCs w:val="20"/>
                <w:lang w:eastAsia="ro-MD"/>
              </w:rPr>
              <w:t>privind</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funcționarea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generală</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sistemului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măsurare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proofErr w:type="gram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658947D3" w14:textId="77777777"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p>
          <w:p w14:paraId="7B5E34DB" w14:textId="78D4FBD2" w:rsidR="00DA2AC9"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6) </w:t>
            </w:r>
            <w:proofErr w:type="spellStart"/>
            <w:r w:rsidRPr="005C3300">
              <w:rPr>
                <w:rFonts w:ascii="Times New Roman" w:eastAsia="Times New Roman" w:hAnsi="Times New Roman" w:cs="Times New Roman"/>
                <w:color w:val="000000" w:themeColor="text1"/>
                <w:sz w:val="20"/>
                <w:szCs w:val="20"/>
                <w:lang w:eastAsia="ro-MD"/>
              </w:rPr>
              <w:t>modelele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băncii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au</w:t>
            </w:r>
            <w:proofErr w:type="spellEnd"/>
            <w:r w:rsidRPr="005C3300">
              <w:rPr>
                <w:rFonts w:ascii="Times New Roman" w:eastAsia="Times New Roman" w:hAnsi="Times New Roman" w:cs="Times New Roman"/>
                <w:color w:val="000000" w:themeColor="text1"/>
                <w:sz w:val="20"/>
                <w:szCs w:val="20"/>
                <w:lang w:eastAsia="ro-MD"/>
              </w:rPr>
              <w:t xml:space="preserve"> un </w:t>
            </w:r>
            <w:proofErr w:type="spellStart"/>
            <w:r w:rsidRPr="005C3300">
              <w:rPr>
                <w:rFonts w:ascii="Times New Roman" w:eastAsia="Times New Roman" w:hAnsi="Times New Roman" w:cs="Times New Roman"/>
                <w:color w:val="000000" w:themeColor="text1"/>
                <w:sz w:val="20"/>
                <w:szCs w:val="20"/>
                <w:lang w:eastAsia="ro-MD"/>
              </w:rPr>
              <w:t>istoric</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arată</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acuratețe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rezonabilă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măsurarea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demonstrată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prin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testarea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ulterioară</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rezultatelor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acestora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care se </w:t>
            </w:r>
            <w:proofErr w:type="spellStart"/>
            <w:r w:rsidRPr="005C3300">
              <w:rPr>
                <w:rFonts w:ascii="Times New Roman" w:eastAsia="Times New Roman" w:hAnsi="Times New Roman" w:cs="Times New Roman"/>
                <w:color w:val="000000" w:themeColor="text1"/>
                <w:sz w:val="20"/>
                <w:szCs w:val="20"/>
                <w:lang w:eastAsia="ro-MD"/>
              </w:rPr>
              <w:t>utilizează</w:t>
            </w:r>
            <w:proofErr w:type="spellEnd"/>
            <w:r w:rsidRPr="005C3300">
              <w:rPr>
                <w:rFonts w:ascii="Times New Roman" w:eastAsia="Times New Roman" w:hAnsi="Times New Roman" w:cs="Times New Roman"/>
                <w:color w:val="000000" w:themeColor="text1"/>
                <w:sz w:val="20"/>
                <w:szCs w:val="20"/>
                <w:lang w:eastAsia="ro-MD"/>
              </w:rPr>
              <w:t xml:space="preserve"> date </w:t>
            </w:r>
            <w:proofErr w:type="spellStart"/>
            <w:r w:rsidRPr="005C3300">
              <w:rPr>
                <w:rFonts w:ascii="Times New Roman" w:eastAsia="Times New Roman" w:hAnsi="Times New Roman" w:cs="Times New Roman"/>
                <w:color w:val="000000" w:themeColor="text1"/>
                <w:sz w:val="20"/>
                <w:szCs w:val="20"/>
                <w:lang w:eastAsia="ro-MD"/>
              </w:rPr>
              <w:t>aferente</w:t>
            </w:r>
            <w:proofErr w:type="spellEnd"/>
            <w:r w:rsidRPr="005C3300">
              <w:rPr>
                <w:rFonts w:ascii="Times New Roman" w:eastAsia="Times New Roman" w:hAnsi="Times New Roman" w:cs="Times New Roman"/>
                <w:color w:val="000000" w:themeColor="text1"/>
                <w:sz w:val="20"/>
                <w:szCs w:val="20"/>
                <w:lang w:eastAsia="ro-MD"/>
              </w:rPr>
              <w:t xml:space="preserve"> cel </w:t>
            </w:r>
            <w:proofErr w:type="spellStart"/>
            <w:r w:rsidRPr="005C3300">
              <w:rPr>
                <w:rFonts w:ascii="Times New Roman" w:eastAsia="Times New Roman" w:hAnsi="Times New Roman" w:cs="Times New Roman"/>
                <w:color w:val="000000" w:themeColor="text1"/>
                <w:sz w:val="20"/>
                <w:szCs w:val="20"/>
                <w:lang w:eastAsia="ro-MD"/>
              </w:rPr>
              <w:t>puțin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unui</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an;</w:t>
            </w:r>
            <w:proofErr w:type="gramEnd"/>
          </w:p>
          <w:p w14:paraId="24E569EA" w14:textId="77777777"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p>
          <w:p w14:paraId="681EBAC7" w14:textId="426C523E" w:rsidR="00DA2AC9"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eastAsia="ro-MD"/>
              </w:rPr>
              <w:t xml:space="preserve">7) banca </w:t>
            </w:r>
            <w:proofErr w:type="spellStart"/>
            <w:r w:rsidRPr="005C3300">
              <w:rPr>
                <w:rFonts w:ascii="Times New Roman" w:eastAsia="Times New Roman" w:hAnsi="Times New Roman" w:cs="Times New Roman"/>
                <w:color w:val="000000" w:themeColor="text1"/>
                <w:sz w:val="20"/>
                <w:szCs w:val="20"/>
                <w:lang w:eastAsia="ro-MD"/>
              </w:rPr>
              <w:t>desfășoară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mod </w:t>
            </w:r>
            <w:proofErr w:type="spellStart"/>
            <w:r w:rsidRPr="005C3300">
              <w:rPr>
                <w:rFonts w:ascii="Times New Roman" w:eastAsia="Times New Roman" w:hAnsi="Times New Roman" w:cs="Times New Roman"/>
                <w:color w:val="000000" w:themeColor="text1"/>
                <w:sz w:val="20"/>
                <w:szCs w:val="20"/>
                <w:lang w:eastAsia="ro-MD"/>
              </w:rPr>
              <w:t>frecvent</w:t>
            </w:r>
            <w:proofErr w:type="spellEnd"/>
            <w:r w:rsidRPr="005C3300">
              <w:rPr>
                <w:rFonts w:ascii="Times New Roman" w:eastAsia="Times New Roman" w:hAnsi="Times New Roman" w:cs="Times New Roman"/>
                <w:color w:val="000000" w:themeColor="text1"/>
                <w:sz w:val="20"/>
                <w:szCs w:val="20"/>
                <w:lang w:eastAsia="ro-MD"/>
              </w:rPr>
              <w:t xml:space="preserve"> un program </w:t>
            </w:r>
            <w:proofErr w:type="spellStart"/>
            <w:r w:rsidRPr="005C3300">
              <w:rPr>
                <w:rFonts w:ascii="Times New Roman" w:eastAsia="Times New Roman" w:hAnsi="Times New Roman" w:cs="Times New Roman"/>
                <w:color w:val="000000" w:themeColor="text1"/>
                <w:sz w:val="20"/>
                <w:szCs w:val="20"/>
                <w:lang w:eastAsia="ro-MD"/>
              </w:rPr>
              <w:t>riguros</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simulare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criză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iar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rezultatele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acestor</w:t>
            </w:r>
            <w:proofErr w:type="spellEnd"/>
            <w:r w:rsidRPr="005C3300">
              <w:rPr>
                <w:rFonts w:ascii="Times New Roman" w:eastAsia="Times New Roman" w:hAnsi="Times New Roman" w:cs="Times New Roman"/>
                <w:color w:val="000000" w:themeColor="text1"/>
                <w:sz w:val="20"/>
                <w:szCs w:val="20"/>
                <w:lang w:eastAsia="ro-MD"/>
              </w:rPr>
              <w:t xml:space="preserve"> teste sunt examinate de </w:t>
            </w:r>
            <w:proofErr w:type="spellStart"/>
            <w:r w:rsidRPr="005C3300">
              <w:rPr>
                <w:rFonts w:ascii="Times New Roman" w:eastAsia="Times New Roman" w:hAnsi="Times New Roman" w:cs="Times New Roman"/>
                <w:color w:val="000000" w:themeColor="text1"/>
                <w:sz w:val="20"/>
                <w:szCs w:val="20"/>
                <w:lang w:eastAsia="ro-MD"/>
              </w:rPr>
              <w:t>către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conducerea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superioară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se </w:t>
            </w:r>
            <w:proofErr w:type="spellStart"/>
            <w:r w:rsidRPr="005C3300">
              <w:rPr>
                <w:rFonts w:ascii="Times New Roman" w:eastAsia="Times New Roman" w:hAnsi="Times New Roman" w:cs="Times New Roman"/>
                <w:color w:val="000000" w:themeColor="text1"/>
                <w:sz w:val="20"/>
                <w:szCs w:val="20"/>
                <w:lang w:eastAsia="ro-MD"/>
              </w:rPr>
              <w:t>reflectă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politicile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limitele</w:t>
            </w:r>
            <w:proofErr w:type="spellEnd"/>
            <w:r w:rsidRPr="005C3300">
              <w:rPr>
                <w:rFonts w:ascii="Times New Roman" w:eastAsia="Times New Roman" w:hAnsi="Times New Roman" w:cs="Times New Roman"/>
                <w:color w:val="000000" w:themeColor="text1"/>
                <w:sz w:val="20"/>
                <w:szCs w:val="20"/>
                <w:lang w:eastAsia="ro-MD"/>
              </w:rPr>
              <w:t xml:space="preserve"> pe care </w:t>
            </w:r>
            <w:proofErr w:type="spellStart"/>
            <w:r w:rsidRPr="005C3300">
              <w:rPr>
                <w:rFonts w:ascii="Times New Roman" w:eastAsia="Times New Roman" w:hAnsi="Times New Roman" w:cs="Times New Roman"/>
                <w:color w:val="000000" w:themeColor="text1"/>
                <w:sz w:val="20"/>
                <w:szCs w:val="20"/>
                <w:lang w:eastAsia="ro-MD"/>
              </w:rPr>
              <w:t>aceasta</w:t>
            </w:r>
            <w:proofErr w:type="spellEnd"/>
            <w:r w:rsidRPr="005C3300">
              <w:rPr>
                <w:rFonts w:ascii="Times New Roman" w:eastAsia="Times New Roman" w:hAnsi="Times New Roman" w:cs="Times New Roman"/>
                <w:color w:val="000000" w:themeColor="text1"/>
                <w:sz w:val="20"/>
                <w:szCs w:val="20"/>
                <w:lang w:eastAsia="ro-MD"/>
              </w:rPr>
              <w:t xml:space="preserve"> le </w:t>
            </w:r>
            <w:proofErr w:type="spellStart"/>
            <w:proofErr w:type="gramStart"/>
            <w:r w:rsidRPr="005C3300">
              <w:rPr>
                <w:rFonts w:ascii="Times New Roman" w:eastAsia="Times New Roman" w:hAnsi="Times New Roman" w:cs="Times New Roman"/>
                <w:color w:val="000000" w:themeColor="text1"/>
                <w:sz w:val="20"/>
                <w:szCs w:val="20"/>
                <w:lang w:eastAsia="ro-MD"/>
              </w:rPr>
              <w:t>stabilește</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081462F9" w14:textId="77777777"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p>
          <w:p w14:paraId="7DF062FE" w14:textId="11258CA1" w:rsidR="00DA2AC9"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eastAsia="ro-MD"/>
              </w:rPr>
              <w:t xml:space="preserve">8) banca </w:t>
            </w:r>
            <w:proofErr w:type="spellStart"/>
            <w:r w:rsidRPr="005C3300">
              <w:rPr>
                <w:rFonts w:ascii="Times New Roman" w:eastAsia="Times New Roman" w:hAnsi="Times New Roman" w:cs="Times New Roman"/>
                <w:color w:val="000000" w:themeColor="text1"/>
                <w:sz w:val="20"/>
                <w:szCs w:val="20"/>
                <w:lang w:eastAsia="ro-MD"/>
              </w:rPr>
              <w:t>efectuează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procesului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său</w:t>
            </w:r>
            <w:proofErr w:type="spellEnd"/>
            <w:r w:rsidRPr="005C3300">
              <w:rPr>
                <w:rFonts w:ascii="Times New Roman" w:eastAsia="Times New Roman" w:hAnsi="Times New Roman" w:cs="Times New Roman"/>
                <w:color w:val="000000" w:themeColor="text1"/>
                <w:sz w:val="20"/>
                <w:szCs w:val="20"/>
                <w:lang w:eastAsia="ro-MD"/>
              </w:rPr>
              <w:t xml:space="preserve"> periodic de audit intern, o </w:t>
            </w:r>
            <w:proofErr w:type="spellStart"/>
            <w:r w:rsidRPr="005C3300">
              <w:rPr>
                <w:rFonts w:ascii="Times New Roman" w:eastAsia="Times New Roman" w:hAnsi="Times New Roman" w:cs="Times New Roman"/>
                <w:color w:val="000000" w:themeColor="text1"/>
                <w:sz w:val="20"/>
                <w:szCs w:val="20"/>
                <w:lang w:eastAsia="ro-MD"/>
              </w:rPr>
              <w:t>reexaminare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independentă</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sistemului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măsurare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Această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reexaminare</w:t>
            </w:r>
            <w:proofErr w:type="spellEnd"/>
            <w:r w:rsidRPr="005C3300">
              <w:rPr>
                <w:rFonts w:ascii="Times New Roman" w:eastAsia="Times New Roman" w:hAnsi="Times New Roman" w:cs="Times New Roman"/>
                <w:color w:val="000000" w:themeColor="text1"/>
                <w:sz w:val="20"/>
                <w:szCs w:val="20"/>
                <w:lang w:eastAsia="ro-MD"/>
              </w:rPr>
              <w:t xml:space="preserve"> include </w:t>
            </w:r>
            <w:proofErr w:type="spellStart"/>
            <w:r w:rsidRPr="005C3300">
              <w:rPr>
                <w:rFonts w:ascii="Times New Roman" w:eastAsia="Times New Roman" w:hAnsi="Times New Roman" w:cs="Times New Roman"/>
                <w:color w:val="000000" w:themeColor="text1"/>
                <w:sz w:val="20"/>
                <w:szCs w:val="20"/>
                <w:lang w:eastAsia="ro-MD"/>
              </w:rPr>
              <w:t>atât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activitatea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unităților</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derulează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cât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pe </w:t>
            </w:r>
            <w:proofErr w:type="spellStart"/>
            <w:r w:rsidRPr="005C3300">
              <w:rPr>
                <w:rFonts w:ascii="Times New Roman" w:eastAsia="Times New Roman" w:hAnsi="Times New Roman" w:cs="Times New Roman"/>
                <w:color w:val="000000" w:themeColor="text1"/>
                <w:sz w:val="20"/>
                <w:szCs w:val="20"/>
                <w:lang w:eastAsia="ro-MD"/>
              </w:rPr>
              <w:t>cea</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unității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independente</w:t>
            </w:r>
            <w:proofErr w:type="spellEnd"/>
            <w:r w:rsidRPr="005C3300">
              <w:rPr>
                <w:rFonts w:ascii="Times New Roman" w:eastAsia="Times New Roman" w:hAnsi="Times New Roman" w:cs="Times New Roman"/>
                <w:color w:val="000000" w:themeColor="text1"/>
                <w:sz w:val="20"/>
                <w:szCs w:val="20"/>
                <w:lang w:eastAsia="ro-MD"/>
              </w:rPr>
              <w:t xml:space="preserve"> de control al </w:t>
            </w:r>
            <w:proofErr w:type="spellStart"/>
            <w:proofErr w:type="gram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10BE73C9" w14:textId="77777777"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p>
          <w:p w14:paraId="0A12B066" w14:textId="756CAA6D" w:rsidR="00DA2AC9"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eastAsia="ro-MD"/>
              </w:rPr>
              <w:t xml:space="preserve">9) banca </w:t>
            </w:r>
            <w:proofErr w:type="spellStart"/>
            <w:r w:rsidRPr="005C3300">
              <w:rPr>
                <w:rFonts w:ascii="Times New Roman" w:eastAsia="Times New Roman" w:hAnsi="Times New Roman" w:cs="Times New Roman"/>
                <w:color w:val="000000" w:themeColor="text1"/>
                <w:sz w:val="20"/>
                <w:szCs w:val="20"/>
                <w:lang w:eastAsia="ro-MD"/>
              </w:rPr>
              <w:t>efectuează</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reexaminare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sistemului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său</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gestionare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cel </w:t>
            </w:r>
            <w:proofErr w:type="spellStart"/>
            <w:r w:rsidRPr="005C3300">
              <w:rPr>
                <w:rFonts w:ascii="Times New Roman" w:eastAsia="Times New Roman" w:hAnsi="Times New Roman" w:cs="Times New Roman"/>
                <w:color w:val="000000" w:themeColor="text1"/>
                <w:sz w:val="20"/>
                <w:szCs w:val="20"/>
                <w:lang w:eastAsia="ro-MD"/>
              </w:rPr>
              <w:t>puțin</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dată</w:t>
            </w:r>
            <w:proofErr w:type="spellEnd"/>
            <w:r w:rsidRPr="005C3300">
              <w:rPr>
                <w:rFonts w:ascii="Times New Roman" w:eastAsia="Times New Roman" w:hAnsi="Times New Roman" w:cs="Times New Roman"/>
                <w:color w:val="000000" w:themeColor="text1"/>
                <w:sz w:val="20"/>
                <w:szCs w:val="20"/>
                <w:lang w:eastAsia="ro-MD"/>
              </w:rPr>
              <w:t xml:space="preserve"> pe </w:t>
            </w:r>
            <w:proofErr w:type="gramStart"/>
            <w:r w:rsidRPr="005C3300">
              <w:rPr>
                <w:rFonts w:ascii="Times New Roman" w:eastAsia="Times New Roman" w:hAnsi="Times New Roman" w:cs="Times New Roman"/>
                <w:color w:val="000000" w:themeColor="text1"/>
                <w:sz w:val="20"/>
                <w:szCs w:val="20"/>
                <w:lang w:eastAsia="ro-MD"/>
              </w:rPr>
              <w:t>an;</w:t>
            </w:r>
            <w:proofErr w:type="gramEnd"/>
          </w:p>
          <w:p w14:paraId="10564FE2" w14:textId="77777777"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p>
          <w:p w14:paraId="5138646F" w14:textId="3F3355BB" w:rsidR="00DA2AC9" w:rsidRDefault="00DA2AC9" w:rsidP="00DA2AC9">
            <w:pPr>
              <w:pStyle w:val="CM4"/>
              <w:tabs>
                <w:tab w:val="left" w:pos="150"/>
              </w:tabs>
              <w:ind w:left="-36"/>
              <w:rPr>
                <w:rFonts w:ascii="Times New Roman" w:hAnsi="Times New Roman"/>
                <w:color w:val="000000" w:themeColor="text1"/>
                <w:sz w:val="20"/>
                <w:szCs w:val="20"/>
                <w:lang w:eastAsia="ro-MD"/>
              </w:rPr>
            </w:pPr>
            <w:r w:rsidRPr="005C3300">
              <w:rPr>
                <w:rFonts w:ascii="Times New Roman" w:hAnsi="Times New Roman"/>
                <w:color w:val="000000" w:themeColor="text1"/>
                <w:sz w:val="20"/>
                <w:szCs w:val="20"/>
                <w:lang w:eastAsia="ro-MD"/>
              </w:rPr>
              <w:t>10) </w:t>
            </w:r>
            <w:proofErr w:type="spellStart"/>
            <w:r w:rsidRPr="005C3300">
              <w:rPr>
                <w:rFonts w:ascii="Times New Roman" w:hAnsi="Times New Roman"/>
                <w:color w:val="000000" w:themeColor="text1"/>
                <w:sz w:val="20"/>
                <w:szCs w:val="20"/>
                <w:lang w:eastAsia="ro-MD"/>
              </w:rPr>
              <w:t>modelul</w:t>
            </w:r>
            <w:proofErr w:type="spellEnd"/>
            <w:r w:rsidRPr="005C3300">
              <w:rPr>
                <w:rFonts w:ascii="Times New Roman" w:hAnsi="Times New Roman"/>
                <w:color w:val="000000" w:themeColor="text1"/>
                <w:sz w:val="20"/>
                <w:szCs w:val="20"/>
                <w:lang w:eastAsia="ro-MD"/>
              </w:rPr>
              <w:t xml:space="preserve"> intern </w:t>
            </w:r>
            <w:proofErr w:type="spellStart"/>
            <w:r w:rsidRPr="005C3300">
              <w:rPr>
                <w:rFonts w:ascii="Times New Roman" w:hAnsi="Times New Roman"/>
                <w:color w:val="000000" w:themeColor="text1"/>
                <w:sz w:val="20"/>
                <w:szCs w:val="20"/>
                <w:lang w:eastAsia="ro-MD"/>
              </w:rPr>
              <w:t>îndeplinește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cerințele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privind</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integritatea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procesului</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modelare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și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cerințele</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validare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stabilite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în</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Regulamentul</w:t>
            </w:r>
            <w:proofErr w:type="spellEnd"/>
            <w:r w:rsidRPr="005C3300">
              <w:rPr>
                <w:rFonts w:ascii="Times New Roman" w:hAnsi="Times New Roman"/>
                <w:color w:val="000000" w:themeColor="text1"/>
                <w:sz w:val="20"/>
                <w:szCs w:val="20"/>
                <w:lang w:eastAsia="ro-MD"/>
              </w:rPr>
              <w:t xml:space="preserve"> nr.220/2025</w:t>
            </w:r>
            <w:r>
              <w:rPr>
                <w:rFonts w:ascii="Times New Roman" w:hAnsi="Times New Roman"/>
                <w:color w:val="000000" w:themeColor="text1"/>
                <w:sz w:val="20"/>
                <w:szCs w:val="20"/>
                <w:lang w:eastAsia="ro-MD"/>
              </w:rPr>
              <w:t>.</w:t>
            </w:r>
          </w:p>
          <w:p w14:paraId="154C2BCF" w14:textId="21443391" w:rsidR="00DA2AC9" w:rsidRPr="00A86C07" w:rsidRDefault="00DA2AC9" w:rsidP="00DA2AC9">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63951D5" w14:textId="67C54A15" w:rsidR="00DA2AC9" w:rsidRPr="002C32BA" w:rsidDel="00FB5884" w:rsidRDefault="00DA2AC9" w:rsidP="00DA2AC9">
            <w:pPr>
              <w:rPr>
                <w:rFonts w:ascii="Times New Roman" w:hAnsi="Times New Roman" w:cs="Times New Roman"/>
                <w:sz w:val="20"/>
                <w:szCs w:val="20"/>
                <w:lang w:val="ro-RO"/>
              </w:rPr>
            </w:pPr>
            <w:r w:rsidRPr="007D5AD4">
              <w:rPr>
                <w:rFonts w:ascii="Times New Roman" w:hAnsi="Times New Roman" w:cs="Times New Roman"/>
                <w:sz w:val="20"/>
                <w:szCs w:val="20"/>
                <w:lang w:val="ro-RO"/>
              </w:rPr>
              <w:t>Compatibil</w:t>
            </w:r>
          </w:p>
        </w:tc>
        <w:tc>
          <w:tcPr>
            <w:tcW w:w="885" w:type="pct"/>
          </w:tcPr>
          <w:p w14:paraId="0005239C" w14:textId="77777777" w:rsidR="00DA2AC9" w:rsidRPr="002C32BA" w:rsidRDefault="00DA2AC9" w:rsidP="00DA2AC9">
            <w:pPr>
              <w:jc w:val="both"/>
              <w:rPr>
                <w:rFonts w:ascii="Times New Roman" w:hAnsi="Times New Roman" w:cs="Times New Roman"/>
                <w:sz w:val="20"/>
                <w:szCs w:val="20"/>
                <w:lang w:val="ro-RO"/>
              </w:rPr>
            </w:pPr>
          </w:p>
        </w:tc>
      </w:tr>
      <w:tr w:rsidR="00DA2AC9" w:rsidRPr="002C32BA" w14:paraId="1B2705F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657BAD74" w14:textId="77777777" w:rsidR="00DA2AC9" w:rsidRPr="00403CDF"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5)   Modelul intern de măsurare a riscurilor al unei instituții trebuie să cuprindă un număr suficient de factori de risc pentru a reflecta toate riscurile de preț semnificative.</w:t>
            </w:r>
          </w:p>
          <w:p w14:paraId="3046A134" w14:textId="54BA36C5" w:rsidR="00DA2AC9" w:rsidRPr="00BE4B87" w:rsidRDefault="00DA2AC9" w:rsidP="00DA2AC9">
            <w:pPr>
              <w:jc w:val="both"/>
              <w:rPr>
                <w:rFonts w:ascii="Times New Roman" w:hAnsi="Times New Roman"/>
                <w:sz w:val="20"/>
                <w:szCs w:val="20"/>
                <w:lang w:val="ro-RO" w:eastAsia="ru-RU"/>
              </w:rPr>
            </w:pPr>
            <w:r w:rsidRPr="00403CDF">
              <w:rPr>
                <w:rFonts w:ascii="Times New Roman" w:hAnsi="Times New Roman"/>
                <w:sz w:val="20"/>
                <w:szCs w:val="20"/>
                <w:lang w:val="ro-RO" w:eastAsia="ru-RU"/>
              </w:rPr>
              <w:t>O instituție poate utiliza corelații empirice în cadrul categoriilor de risc și între categoriile de risc, dacă sistemul său de măsurare a corelațiilor este solid și este aplicat corect.</w:t>
            </w:r>
          </w:p>
        </w:tc>
        <w:tc>
          <w:tcPr>
            <w:tcW w:w="1636" w:type="pct"/>
            <w:shd w:val="clear" w:color="auto" w:fill="auto"/>
          </w:tcPr>
          <w:p w14:paraId="40EA9740" w14:textId="6E44C58F" w:rsidR="00DA2AC9" w:rsidRPr="005C3300" w:rsidRDefault="00DA2AC9" w:rsidP="00DA2AC9">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b/>
                <w:bCs/>
                <w:color w:val="000000" w:themeColor="text1"/>
                <w:sz w:val="20"/>
                <w:szCs w:val="20"/>
                <w:lang w:eastAsia="ro-MD"/>
              </w:rPr>
              <w:t>72</w:t>
            </w:r>
            <w:r w:rsidRPr="005C3300">
              <w:rPr>
                <w:rFonts w:ascii="Times New Roman" w:eastAsia="Times New Roman" w:hAnsi="Times New Roman" w:cs="Times New Roman"/>
                <w:b/>
                <w:bCs/>
                <w:color w:val="000000" w:themeColor="text1"/>
                <w:sz w:val="20"/>
                <w:szCs w:val="20"/>
                <w:vertAlign w:val="superscript"/>
                <w:lang w:eastAsia="ro-MD"/>
              </w:rPr>
              <w:t>5</w:t>
            </w:r>
            <w:r w:rsidRPr="005C3300">
              <w:rPr>
                <w:rFonts w:ascii="Times New Roman" w:eastAsia="Times New Roman" w:hAnsi="Times New Roman" w:cs="Times New Roman"/>
                <w:b/>
                <w:bCs/>
                <w:color w:val="000000" w:themeColor="text1"/>
                <w:sz w:val="20"/>
                <w:szCs w:val="20"/>
                <w:lang w:eastAsia="ro-MD"/>
              </w:rPr>
              <w:t>.</w:t>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Modelul</w:t>
            </w:r>
            <w:proofErr w:type="spellEnd"/>
            <w:r w:rsidRPr="005C3300">
              <w:rPr>
                <w:rFonts w:ascii="Times New Roman" w:eastAsia="Times New Roman" w:hAnsi="Times New Roman" w:cs="Times New Roman"/>
                <w:color w:val="000000" w:themeColor="text1"/>
                <w:sz w:val="20"/>
                <w:szCs w:val="20"/>
                <w:lang w:eastAsia="ro-MD"/>
              </w:rPr>
              <w:t xml:space="preserve"> intern de </w:t>
            </w:r>
            <w:proofErr w:type="spellStart"/>
            <w:r w:rsidRPr="005C3300">
              <w:rPr>
                <w:rFonts w:ascii="Times New Roman" w:eastAsia="Times New Roman" w:hAnsi="Times New Roman" w:cs="Times New Roman"/>
                <w:color w:val="000000" w:themeColor="text1"/>
                <w:sz w:val="20"/>
                <w:szCs w:val="20"/>
                <w:lang w:eastAsia="ro-MD"/>
              </w:rPr>
              <w:t>măsurare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riscurilor</w:t>
            </w:r>
            <w:proofErr w:type="spellEnd"/>
            <w:r w:rsidRPr="005C3300">
              <w:rPr>
                <w:rFonts w:ascii="Times New Roman" w:eastAsia="Times New Roman" w:hAnsi="Times New Roman" w:cs="Times New Roman"/>
                <w:color w:val="000000" w:themeColor="text1"/>
                <w:sz w:val="20"/>
                <w:szCs w:val="20"/>
                <w:lang w:eastAsia="ro-MD"/>
              </w:rPr>
              <w:t xml:space="preserve"> al </w:t>
            </w:r>
            <w:proofErr w:type="spellStart"/>
            <w:r w:rsidRPr="005C3300">
              <w:rPr>
                <w:rFonts w:ascii="Times New Roman" w:eastAsia="Times New Roman" w:hAnsi="Times New Roman" w:cs="Times New Roman"/>
                <w:color w:val="000000" w:themeColor="text1"/>
                <w:sz w:val="20"/>
                <w:szCs w:val="20"/>
                <w:lang w:eastAsia="ro-MD"/>
              </w:rPr>
              <w:t>unei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bănci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trebuie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cuprindă</w:t>
            </w:r>
            <w:proofErr w:type="spellEnd"/>
            <w:r w:rsidRPr="005C3300">
              <w:rPr>
                <w:rFonts w:ascii="Times New Roman" w:eastAsia="Times New Roman" w:hAnsi="Times New Roman" w:cs="Times New Roman"/>
                <w:color w:val="000000" w:themeColor="text1"/>
                <w:sz w:val="20"/>
                <w:szCs w:val="20"/>
                <w:lang w:eastAsia="ro-MD"/>
              </w:rPr>
              <w:t xml:space="preserve"> un </w:t>
            </w:r>
            <w:proofErr w:type="spellStart"/>
            <w:r w:rsidRPr="005C3300">
              <w:rPr>
                <w:rFonts w:ascii="Times New Roman" w:eastAsia="Times New Roman" w:hAnsi="Times New Roman" w:cs="Times New Roman"/>
                <w:color w:val="000000" w:themeColor="text1"/>
                <w:sz w:val="20"/>
                <w:szCs w:val="20"/>
                <w:lang w:eastAsia="ro-MD"/>
              </w:rPr>
              <w:t>număr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suficient</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factori</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risc</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reflecta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riscurile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preț</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semnificative</w:t>
            </w:r>
            <w:proofErr w:type="spellEnd"/>
            <w:r w:rsidRPr="005C3300">
              <w:rPr>
                <w:rFonts w:ascii="Times New Roman" w:eastAsia="Times New Roman" w:hAnsi="Times New Roman" w:cs="Times New Roman"/>
                <w:color w:val="000000" w:themeColor="text1"/>
                <w:sz w:val="20"/>
                <w:szCs w:val="20"/>
                <w:lang w:eastAsia="ro-MD"/>
              </w:rPr>
              <w:t>.</w:t>
            </w:r>
          </w:p>
          <w:p w14:paraId="517E5D3C" w14:textId="77777777" w:rsidR="00DA2AC9" w:rsidRDefault="00DA2AC9" w:rsidP="00DA2AC9">
            <w:pPr>
              <w:pStyle w:val="CM4"/>
              <w:tabs>
                <w:tab w:val="left" w:pos="150"/>
              </w:tabs>
              <w:ind w:left="-36"/>
              <w:rPr>
                <w:rFonts w:ascii="Times New Roman" w:hAnsi="Times New Roman"/>
                <w:color w:val="000000" w:themeColor="text1"/>
                <w:sz w:val="20"/>
                <w:szCs w:val="20"/>
                <w:lang w:eastAsia="ro-MD"/>
              </w:rPr>
            </w:pPr>
            <w:r w:rsidRPr="005C3300">
              <w:rPr>
                <w:rFonts w:ascii="Times New Roman" w:hAnsi="Times New Roman"/>
                <w:b/>
                <w:bCs/>
                <w:color w:val="000000" w:themeColor="text1"/>
                <w:sz w:val="20"/>
                <w:szCs w:val="20"/>
                <w:lang w:eastAsia="ro-MD"/>
              </w:rPr>
              <w:t>72</w:t>
            </w:r>
            <w:r w:rsidRPr="005C3300">
              <w:rPr>
                <w:rFonts w:ascii="Times New Roman" w:hAnsi="Times New Roman"/>
                <w:b/>
                <w:bCs/>
                <w:color w:val="000000" w:themeColor="text1"/>
                <w:sz w:val="20"/>
                <w:szCs w:val="20"/>
                <w:vertAlign w:val="superscript"/>
                <w:lang w:eastAsia="ro-MD"/>
              </w:rPr>
              <w:t>6</w:t>
            </w:r>
            <w:r w:rsidRPr="005C3300">
              <w:rPr>
                <w:rFonts w:ascii="Times New Roman" w:hAnsi="Times New Roman"/>
                <w:b/>
                <w:bCs/>
                <w:color w:val="000000" w:themeColor="text1"/>
                <w:sz w:val="20"/>
                <w:szCs w:val="20"/>
                <w:lang w:eastAsia="ro-MD"/>
              </w:rPr>
              <w:t>.</w:t>
            </w:r>
            <w:r w:rsidRPr="005C3300">
              <w:rPr>
                <w:rFonts w:ascii="Times New Roman" w:hAnsi="Times New Roman"/>
                <w:color w:val="000000" w:themeColor="text1"/>
                <w:sz w:val="20"/>
                <w:szCs w:val="20"/>
                <w:lang w:eastAsia="ro-MD"/>
              </w:rPr>
              <w:t xml:space="preserve"> Banca </w:t>
            </w:r>
            <w:proofErr w:type="spellStart"/>
            <w:r w:rsidRPr="005C3300">
              <w:rPr>
                <w:rFonts w:ascii="Times New Roman" w:hAnsi="Times New Roman"/>
                <w:color w:val="000000" w:themeColor="text1"/>
                <w:sz w:val="20"/>
                <w:szCs w:val="20"/>
                <w:lang w:eastAsia="ro-MD"/>
              </w:rPr>
              <w:t>poate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utiliza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corelații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empirice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în</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cadrul</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categoriilor</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risc</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și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între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categoriile</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risc</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dacă</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sistemul</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său</w:t>
            </w:r>
            <w:proofErr w:type="spellEnd"/>
            <w:r w:rsidRPr="005C3300">
              <w:rPr>
                <w:rFonts w:ascii="Times New Roman" w:hAnsi="Times New Roman"/>
                <w:color w:val="000000" w:themeColor="text1"/>
                <w:sz w:val="20"/>
                <w:szCs w:val="20"/>
                <w:lang w:eastAsia="ro-MD"/>
              </w:rPr>
              <w:t xml:space="preserve"> de </w:t>
            </w:r>
            <w:proofErr w:type="spellStart"/>
            <w:r w:rsidRPr="005C3300">
              <w:rPr>
                <w:rFonts w:ascii="Times New Roman" w:hAnsi="Times New Roman"/>
                <w:color w:val="000000" w:themeColor="text1"/>
                <w:sz w:val="20"/>
                <w:szCs w:val="20"/>
                <w:lang w:eastAsia="ro-MD"/>
              </w:rPr>
              <w:t>măsurare</w:t>
            </w:r>
            <w:proofErr w:type="spellEnd"/>
            <w:r w:rsidRPr="005C3300">
              <w:rPr>
                <w:rFonts w:ascii="Times New Roman" w:hAnsi="Times New Roman"/>
                <w:color w:val="000000" w:themeColor="text1"/>
                <w:sz w:val="20"/>
                <w:szCs w:val="20"/>
                <w:lang w:eastAsia="ro-MD"/>
              </w:rPr>
              <w:t xml:space="preserve"> a </w:t>
            </w:r>
            <w:proofErr w:type="spellStart"/>
            <w:r w:rsidRPr="005C3300">
              <w:rPr>
                <w:rFonts w:ascii="Times New Roman" w:hAnsi="Times New Roman"/>
                <w:color w:val="000000" w:themeColor="text1"/>
                <w:sz w:val="20"/>
                <w:szCs w:val="20"/>
                <w:lang w:eastAsia="ro-MD"/>
              </w:rPr>
              <w:t>corelațiilor</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este</w:t>
            </w:r>
            <w:proofErr w:type="spellEnd"/>
            <w:r w:rsidRPr="005C3300">
              <w:rPr>
                <w:rFonts w:ascii="Times New Roman" w:hAnsi="Times New Roman"/>
                <w:color w:val="000000" w:themeColor="text1"/>
                <w:sz w:val="20"/>
                <w:szCs w:val="20"/>
                <w:lang w:eastAsia="ro-MD"/>
              </w:rPr>
              <w:t xml:space="preserve"> solid </w:t>
            </w:r>
            <w:proofErr w:type="spellStart"/>
            <w:r w:rsidRPr="005C3300">
              <w:rPr>
                <w:rFonts w:ascii="Times New Roman" w:hAnsi="Times New Roman"/>
                <w:color w:val="000000" w:themeColor="text1"/>
                <w:sz w:val="20"/>
                <w:szCs w:val="20"/>
                <w:lang w:eastAsia="ro-MD"/>
              </w:rPr>
              <w:t>și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este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aplicat</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corect</w:t>
            </w:r>
            <w:proofErr w:type="spellEnd"/>
            <w:r w:rsidRPr="005C3300">
              <w:rPr>
                <w:rFonts w:ascii="Times New Roman" w:hAnsi="Times New Roman"/>
                <w:color w:val="000000" w:themeColor="text1"/>
                <w:sz w:val="20"/>
                <w:szCs w:val="20"/>
                <w:lang w:eastAsia="ro-MD"/>
              </w:rPr>
              <w:t>.</w:t>
            </w:r>
          </w:p>
          <w:p w14:paraId="20A32554" w14:textId="77CB9984" w:rsidR="00DA2AC9" w:rsidRPr="00A86C07" w:rsidRDefault="00DA2AC9" w:rsidP="00DA2AC9">
            <w:pPr>
              <w:rPr>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DDBCE66" w14:textId="16B7EC1C" w:rsidR="00DA2AC9" w:rsidRPr="002C32BA" w:rsidDel="00FB5884" w:rsidRDefault="00DA2AC9" w:rsidP="00DA2AC9">
            <w:pPr>
              <w:rPr>
                <w:rFonts w:ascii="Times New Roman" w:hAnsi="Times New Roman" w:cs="Times New Roman"/>
                <w:sz w:val="20"/>
                <w:szCs w:val="20"/>
                <w:lang w:val="ro-RO"/>
              </w:rPr>
            </w:pPr>
            <w:r w:rsidRPr="007D5AD4">
              <w:rPr>
                <w:rFonts w:ascii="Times New Roman" w:hAnsi="Times New Roman" w:cs="Times New Roman"/>
                <w:sz w:val="20"/>
                <w:szCs w:val="20"/>
                <w:lang w:val="ro-RO"/>
              </w:rPr>
              <w:t>Compatibil</w:t>
            </w:r>
          </w:p>
        </w:tc>
        <w:tc>
          <w:tcPr>
            <w:tcW w:w="885" w:type="pct"/>
          </w:tcPr>
          <w:p w14:paraId="6489F273" w14:textId="77777777" w:rsidR="00DA2AC9" w:rsidRPr="002C32BA" w:rsidRDefault="00DA2AC9" w:rsidP="00DA2AC9">
            <w:pPr>
              <w:jc w:val="both"/>
              <w:rPr>
                <w:rFonts w:ascii="Times New Roman" w:hAnsi="Times New Roman" w:cs="Times New Roman"/>
                <w:sz w:val="20"/>
                <w:szCs w:val="20"/>
                <w:lang w:val="ro-RO"/>
              </w:rPr>
            </w:pPr>
          </w:p>
        </w:tc>
      </w:tr>
      <w:tr w:rsidR="00BE4B87" w:rsidRPr="002C32BA" w14:paraId="537D3C0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46B3D631" w14:textId="40A1F4AE" w:rsidR="00403CDF" w:rsidRPr="00403CDF" w:rsidRDefault="00403CDF" w:rsidP="00403CDF">
            <w:pPr>
              <w:jc w:val="both"/>
              <w:rPr>
                <w:rFonts w:ascii="Times New Roman" w:hAnsi="Times New Roman"/>
                <w:sz w:val="20"/>
                <w:szCs w:val="20"/>
                <w:lang w:val="ro-RO" w:eastAsia="ru-RU"/>
              </w:rPr>
            </w:pPr>
            <w:r w:rsidRPr="00403CDF">
              <w:rPr>
                <w:rFonts w:ascii="Times New Roman" w:hAnsi="Times New Roman" w:hint="eastAsia"/>
                <w:sz w:val="20"/>
                <w:szCs w:val="20"/>
                <w:lang w:val="ro-RO" w:eastAsia="ru-RU"/>
              </w:rPr>
              <w:t>(6)   Instituțiile care utilizează abordarea bazată pe modele interne calculează E* conform următoarei formule:</w:t>
            </w:r>
          </w:p>
          <w:p w14:paraId="7C2CFFAC" w14:textId="764BA85A" w:rsidR="00403CDF" w:rsidRPr="00403CDF" w:rsidRDefault="00403CDF" w:rsidP="00403CDF">
            <w:pPr>
              <w:jc w:val="both"/>
              <w:rPr>
                <w:rFonts w:ascii="Times New Roman" w:hAnsi="Times New Roman"/>
                <w:sz w:val="20"/>
                <w:szCs w:val="20"/>
                <w:lang w:val="ro-RO" w:eastAsia="ru-RU"/>
              </w:rPr>
            </w:pPr>
            <w:r w:rsidRPr="00403CDF">
              <w:rPr>
                <w:rFonts w:ascii="Times New Roman" w:hAnsi="Times New Roman"/>
                <w:noProof/>
                <w:sz w:val="20"/>
                <w:szCs w:val="20"/>
                <w:lang w:val="ro-RO" w:eastAsia="ru-RU"/>
              </w:rPr>
              <w:drawing>
                <wp:inline distT="0" distB="0" distL="0" distR="0" wp14:anchorId="41D93AB6" wp14:editId="52A09A48">
                  <wp:extent cx="3552825" cy="445770"/>
                  <wp:effectExtent l="0" t="0" r="0" b="0"/>
                  <wp:docPr id="44" name="Picture 4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52825" cy="445770"/>
                          </a:xfrm>
                          <a:prstGeom prst="rect">
                            <a:avLst/>
                          </a:prstGeom>
                          <a:noFill/>
                          <a:ln>
                            <a:noFill/>
                          </a:ln>
                        </pic:spPr>
                      </pic:pic>
                    </a:graphicData>
                  </a:graphic>
                </wp:inline>
              </w:drawing>
            </w:r>
          </w:p>
          <w:p w14:paraId="4AC92739" w14:textId="77777777" w:rsidR="00A86C07" w:rsidRDefault="00A86C07" w:rsidP="00403CDF">
            <w:pPr>
              <w:spacing w:before="120"/>
              <w:jc w:val="both"/>
              <w:rPr>
                <w:rFonts w:ascii="Times New Roman" w:hAnsi="Times New Roman"/>
                <w:sz w:val="20"/>
                <w:szCs w:val="20"/>
                <w:lang w:val="ro-RO" w:eastAsia="ru-RU"/>
              </w:rPr>
            </w:pPr>
          </w:p>
          <w:p w14:paraId="70EFC5BC" w14:textId="77777777" w:rsidR="00A86C07" w:rsidRDefault="00A86C07" w:rsidP="00403CDF">
            <w:pPr>
              <w:spacing w:before="120"/>
              <w:jc w:val="both"/>
              <w:rPr>
                <w:rFonts w:ascii="Times New Roman" w:hAnsi="Times New Roman"/>
                <w:sz w:val="20"/>
                <w:szCs w:val="20"/>
                <w:lang w:val="ro-RO" w:eastAsia="ru-RU"/>
              </w:rPr>
            </w:pPr>
          </w:p>
          <w:p w14:paraId="65595C93" w14:textId="21F28BF4" w:rsidR="00403CDF" w:rsidRPr="00403CDF" w:rsidRDefault="00403CDF" w:rsidP="00403CDF">
            <w:pPr>
              <w:spacing w:before="120"/>
              <w:jc w:val="both"/>
              <w:rPr>
                <w:rFonts w:ascii="Times New Roman" w:hAnsi="Times New Roman"/>
                <w:sz w:val="20"/>
                <w:szCs w:val="20"/>
                <w:lang w:val="ro-RO" w:eastAsia="ru-RU"/>
              </w:rPr>
            </w:pPr>
            <w:r w:rsidRPr="00403CDF">
              <w:rPr>
                <w:rFonts w:ascii="Times New Roman" w:hAnsi="Times New Roman" w:hint="eastAsia"/>
                <w:sz w:val="20"/>
                <w:szCs w:val="20"/>
                <w:lang w:val="ro-RO" w:eastAsia="ru-RU"/>
              </w:rPr>
              <w:t>unde:</w:t>
            </w:r>
          </w:p>
          <w:tbl>
            <w:tblPr>
              <w:tblW w:w="5000" w:type="pct"/>
              <w:tblLayout w:type="fixed"/>
              <w:tblCellMar>
                <w:left w:w="0" w:type="dxa"/>
                <w:right w:w="0" w:type="dxa"/>
              </w:tblCellMar>
              <w:tblLook w:val="04A0" w:firstRow="1" w:lastRow="0" w:firstColumn="1" w:lastColumn="0" w:noHBand="0" w:noVBand="1"/>
            </w:tblPr>
            <w:tblGrid>
              <w:gridCol w:w="109"/>
              <w:gridCol w:w="7"/>
              <w:gridCol w:w="79"/>
              <w:gridCol w:w="7"/>
              <w:gridCol w:w="5298"/>
            </w:tblGrid>
            <w:tr w:rsidR="00403CDF" w:rsidRPr="00403CDF" w14:paraId="5DE62DCF" w14:textId="77777777" w:rsidTr="00403CDF">
              <w:tc>
                <w:tcPr>
                  <w:tcW w:w="111" w:type="dxa"/>
                  <w:shd w:val="clear" w:color="auto" w:fill="auto"/>
                  <w:hideMark/>
                </w:tcPr>
                <w:p w14:paraId="30414D3E" w14:textId="77777777" w:rsidR="00403CDF" w:rsidRPr="00403CDF" w:rsidRDefault="00403CDF" w:rsidP="00403CDF">
                  <w:pPr>
                    <w:spacing w:before="120"/>
                    <w:jc w:val="both"/>
                    <w:rPr>
                      <w:rFonts w:ascii="Times New Roman" w:hAnsi="Times New Roman"/>
                      <w:sz w:val="20"/>
                      <w:szCs w:val="20"/>
                      <w:lang w:val="ro-RO" w:eastAsia="ru-RU"/>
                    </w:rPr>
                  </w:pPr>
                  <w:r w:rsidRPr="00403CDF">
                    <w:rPr>
                      <w:rFonts w:ascii="Times New Roman" w:hAnsi="Times New Roman"/>
                      <w:sz w:val="20"/>
                      <w:szCs w:val="20"/>
                      <w:lang w:val="ro-RO" w:eastAsia="ru-RU"/>
                    </w:rPr>
                    <w:t>Ei</w:t>
                  </w:r>
                </w:p>
              </w:tc>
              <w:tc>
                <w:tcPr>
                  <w:tcW w:w="87" w:type="dxa"/>
                  <w:gridSpan w:val="2"/>
                  <w:shd w:val="clear" w:color="auto" w:fill="auto"/>
                  <w:hideMark/>
                </w:tcPr>
                <w:p w14:paraId="543D1532" w14:textId="77777777" w:rsidR="00403CDF" w:rsidRPr="00403CDF" w:rsidRDefault="00403CDF" w:rsidP="00403CDF">
                  <w:pPr>
                    <w:spacing w:before="120"/>
                    <w:jc w:val="both"/>
                    <w:rPr>
                      <w:rFonts w:ascii="Times New Roman" w:hAnsi="Times New Roman"/>
                      <w:sz w:val="20"/>
                      <w:szCs w:val="20"/>
                      <w:lang w:val="ro-RO" w:eastAsia="ru-RU"/>
                    </w:rPr>
                  </w:pPr>
                  <w:r w:rsidRPr="00403CDF">
                    <w:rPr>
                      <w:rFonts w:ascii="Times New Roman" w:hAnsi="Times New Roman"/>
                      <w:sz w:val="20"/>
                      <w:szCs w:val="20"/>
                      <w:lang w:val="ro-RO" w:eastAsia="ru-RU"/>
                    </w:rPr>
                    <w:t>=</w:t>
                  </w:r>
                </w:p>
              </w:tc>
              <w:tc>
                <w:tcPr>
                  <w:tcW w:w="5397" w:type="dxa"/>
                  <w:gridSpan w:val="2"/>
                  <w:shd w:val="clear" w:color="auto" w:fill="auto"/>
                  <w:hideMark/>
                </w:tcPr>
                <w:p w14:paraId="4662F88E" w14:textId="77777777" w:rsidR="00403CDF" w:rsidRPr="00403CDF" w:rsidRDefault="00403CDF" w:rsidP="00403CDF">
                  <w:pPr>
                    <w:spacing w:before="120"/>
                    <w:jc w:val="both"/>
                    <w:rPr>
                      <w:rFonts w:ascii="Times New Roman" w:hAnsi="Times New Roman"/>
                      <w:sz w:val="20"/>
                      <w:szCs w:val="20"/>
                      <w:lang w:val="ro-RO" w:eastAsia="ru-RU"/>
                    </w:rPr>
                  </w:pPr>
                  <w:r w:rsidRPr="00403CDF">
                    <w:rPr>
                      <w:rFonts w:ascii="Times New Roman" w:hAnsi="Times New Roman"/>
                      <w:sz w:val="20"/>
                      <w:szCs w:val="20"/>
                      <w:lang w:val="ro-RO" w:eastAsia="ru-RU"/>
                    </w:rPr>
                    <w:t>valoarea expunerii pentru fiecare expunere separată i din cadrul acordului, care s-ar aplica în lipsa protecției creditului, în cazul în care instituțiile calculează cuantumurile ponderate la risc ale expunerilor conform abordării standardizate sau în cazul în care calculează cuantumurile ponderate la risc ale expunerilor și cuantumurile pierderilor așteptate conform abordării IRB;</w:t>
                  </w:r>
                </w:p>
              </w:tc>
            </w:tr>
            <w:tr w:rsidR="00403CDF" w:rsidRPr="00403CDF" w14:paraId="3CD6A86B" w14:textId="77777777" w:rsidTr="00403CDF">
              <w:tc>
                <w:tcPr>
                  <w:tcW w:w="118" w:type="dxa"/>
                  <w:gridSpan w:val="2"/>
                  <w:shd w:val="clear" w:color="auto" w:fill="auto"/>
                  <w:hideMark/>
                </w:tcPr>
                <w:p w14:paraId="3CADFF67" w14:textId="77777777" w:rsidR="00403CDF" w:rsidRPr="00403CDF" w:rsidRDefault="00403CDF" w:rsidP="00403CDF">
                  <w:pPr>
                    <w:spacing w:before="120"/>
                    <w:jc w:val="both"/>
                    <w:rPr>
                      <w:rFonts w:ascii="Times New Roman" w:hAnsi="Times New Roman"/>
                      <w:sz w:val="20"/>
                      <w:szCs w:val="20"/>
                      <w:lang w:val="ro-RO" w:eastAsia="ru-RU"/>
                    </w:rPr>
                  </w:pPr>
                  <w:r w:rsidRPr="00403CDF">
                    <w:rPr>
                      <w:rFonts w:ascii="Times New Roman" w:hAnsi="Times New Roman"/>
                      <w:sz w:val="20"/>
                      <w:szCs w:val="20"/>
                      <w:lang w:val="ro-RO" w:eastAsia="ru-RU"/>
                    </w:rPr>
                    <w:t>Ci</w:t>
                  </w:r>
                </w:p>
              </w:tc>
              <w:tc>
                <w:tcPr>
                  <w:tcW w:w="87" w:type="dxa"/>
                  <w:gridSpan w:val="2"/>
                  <w:shd w:val="clear" w:color="auto" w:fill="auto"/>
                  <w:hideMark/>
                </w:tcPr>
                <w:p w14:paraId="7A2BF34C" w14:textId="77777777" w:rsidR="00403CDF" w:rsidRPr="00403CDF" w:rsidRDefault="00403CDF" w:rsidP="00403CDF">
                  <w:pPr>
                    <w:spacing w:before="120"/>
                    <w:jc w:val="both"/>
                    <w:rPr>
                      <w:rFonts w:ascii="Times New Roman" w:hAnsi="Times New Roman"/>
                      <w:sz w:val="20"/>
                      <w:szCs w:val="20"/>
                      <w:lang w:val="ro-RO" w:eastAsia="ru-RU"/>
                    </w:rPr>
                  </w:pPr>
                  <w:r w:rsidRPr="00403CDF">
                    <w:rPr>
                      <w:rFonts w:ascii="Times New Roman" w:hAnsi="Times New Roman"/>
                      <w:sz w:val="20"/>
                      <w:szCs w:val="20"/>
                      <w:lang w:val="ro-RO" w:eastAsia="ru-RU"/>
                    </w:rPr>
                    <w:t>=</w:t>
                  </w:r>
                </w:p>
              </w:tc>
              <w:tc>
                <w:tcPr>
                  <w:tcW w:w="5390" w:type="dxa"/>
                  <w:shd w:val="clear" w:color="auto" w:fill="auto"/>
                  <w:hideMark/>
                </w:tcPr>
                <w:p w14:paraId="0321A57F" w14:textId="77777777" w:rsidR="00403CDF" w:rsidRPr="00403CDF" w:rsidRDefault="00403CDF" w:rsidP="00403CDF">
                  <w:pPr>
                    <w:spacing w:before="120"/>
                    <w:jc w:val="both"/>
                    <w:rPr>
                      <w:rFonts w:ascii="Times New Roman" w:hAnsi="Times New Roman"/>
                      <w:sz w:val="20"/>
                      <w:szCs w:val="20"/>
                      <w:lang w:val="ro-RO" w:eastAsia="ru-RU"/>
                    </w:rPr>
                  </w:pPr>
                  <w:r w:rsidRPr="00403CDF">
                    <w:rPr>
                      <w:rFonts w:ascii="Times New Roman" w:hAnsi="Times New Roman"/>
                      <w:sz w:val="20"/>
                      <w:szCs w:val="20"/>
                      <w:lang w:val="ro-RO" w:eastAsia="ru-RU"/>
                    </w:rPr>
                    <w:t>valoarea titlurilor luate cu împrumut, achiziționate sau primite sau numerarul luat cu împrumut sau primit pentru fiecare astfel de expunere i.</w:t>
                  </w:r>
                </w:p>
              </w:tc>
            </w:tr>
          </w:tbl>
          <w:p w14:paraId="1207DBF4" w14:textId="77777777" w:rsidR="00403CDF" w:rsidRPr="00403CDF" w:rsidRDefault="00403CDF" w:rsidP="00403CDF">
            <w:pPr>
              <w:spacing w:before="120"/>
              <w:jc w:val="both"/>
              <w:rPr>
                <w:rFonts w:ascii="Times New Roman" w:hAnsi="Times New Roman"/>
                <w:sz w:val="20"/>
                <w:szCs w:val="20"/>
                <w:lang w:val="ro-RO" w:eastAsia="ru-RU"/>
              </w:rPr>
            </w:pPr>
            <w:r w:rsidRPr="00403CDF">
              <w:rPr>
                <w:rFonts w:ascii="Times New Roman" w:hAnsi="Times New Roman" w:hint="eastAsia"/>
                <w:sz w:val="20"/>
                <w:szCs w:val="20"/>
                <w:lang w:val="ro-RO" w:eastAsia="ru-RU"/>
              </w:rPr>
              <w:t>La calculul cuantumurilor ponderate la risc ale expunerilor pe baza modelelor interne, instituțiile trebuie să utilizeze rezultatul modelului pentru ziua lucrătoare precedentă.</w:t>
            </w:r>
          </w:p>
          <w:p w14:paraId="6993E075" w14:textId="01D71DFD" w:rsidR="00BE4B87" w:rsidRPr="00403CDF" w:rsidRDefault="00BE4B87" w:rsidP="00403CDF">
            <w:pPr>
              <w:jc w:val="both"/>
              <w:rPr>
                <w:rFonts w:ascii="Times New Roman" w:hAnsi="Times New Roman"/>
                <w:sz w:val="20"/>
                <w:szCs w:val="20"/>
                <w:lang w:val="ro-MD" w:eastAsia="ru-RU"/>
              </w:rPr>
            </w:pPr>
          </w:p>
        </w:tc>
        <w:tc>
          <w:tcPr>
            <w:tcW w:w="1636" w:type="pct"/>
            <w:shd w:val="clear" w:color="auto" w:fill="auto"/>
          </w:tcPr>
          <w:p w14:paraId="212D42B1" w14:textId="77777777" w:rsidR="00A86C07" w:rsidRPr="005C3300" w:rsidRDefault="00A86C07" w:rsidP="00A86C07">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b/>
                <w:bCs/>
                <w:color w:val="000000" w:themeColor="text1"/>
                <w:sz w:val="20"/>
                <w:szCs w:val="20"/>
                <w:lang w:eastAsia="ro-MD"/>
              </w:rPr>
              <w:t>72</w:t>
            </w:r>
            <w:r w:rsidRPr="005C3300">
              <w:rPr>
                <w:rFonts w:ascii="Times New Roman" w:eastAsia="Times New Roman" w:hAnsi="Times New Roman" w:cs="Times New Roman"/>
                <w:b/>
                <w:bCs/>
                <w:color w:val="000000" w:themeColor="text1"/>
                <w:sz w:val="20"/>
                <w:szCs w:val="20"/>
                <w:vertAlign w:val="superscript"/>
                <w:lang w:eastAsia="ro-MD"/>
              </w:rPr>
              <w:t>7</w:t>
            </w:r>
            <w:r w:rsidRPr="005C3300">
              <w:rPr>
                <w:rFonts w:ascii="Times New Roman" w:eastAsia="Times New Roman" w:hAnsi="Times New Roman" w:cs="Times New Roman"/>
                <w:b/>
                <w:bCs/>
                <w:color w:val="000000" w:themeColor="text1"/>
                <w:sz w:val="20"/>
                <w:szCs w:val="20"/>
                <w:lang w:eastAsia="ro-MD"/>
              </w:rPr>
              <w:t>.</w:t>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Băncile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utilizează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abordarea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bazată</w:t>
            </w:r>
            <w:proofErr w:type="spellEnd"/>
            <w:r w:rsidRPr="005C3300">
              <w:rPr>
                <w:rFonts w:ascii="Times New Roman" w:eastAsia="Times New Roman" w:hAnsi="Times New Roman" w:cs="Times New Roman"/>
                <w:color w:val="000000" w:themeColor="text1"/>
                <w:sz w:val="20"/>
                <w:szCs w:val="20"/>
                <w:lang w:eastAsia="ro-MD"/>
              </w:rPr>
              <w:t xml:space="preserve"> pe </w:t>
            </w:r>
            <w:proofErr w:type="spellStart"/>
            <w:r w:rsidRPr="005C3300">
              <w:rPr>
                <w:rFonts w:ascii="Times New Roman" w:eastAsia="Times New Roman" w:hAnsi="Times New Roman" w:cs="Times New Roman"/>
                <w:color w:val="000000" w:themeColor="text1"/>
                <w:sz w:val="20"/>
                <w:szCs w:val="20"/>
                <w:lang w:eastAsia="ro-MD"/>
              </w:rPr>
              <w:t>modele</w:t>
            </w:r>
            <w:proofErr w:type="spellEnd"/>
            <w:r w:rsidRPr="005C3300">
              <w:rPr>
                <w:rFonts w:ascii="Times New Roman" w:eastAsia="Times New Roman" w:hAnsi="Times New Roman" w:cs="Times New Roman"/>
                <w:color w:val="000000" w:themeColor="text1"/>
                <w:sz w:val="20"/>
                <w:szCs w:val="20"/>
                <w:lang w:eastAsia="ro-MD"/>
              </w:rPr>
              <w:t xml:space="preserve"> interne </w:t>
            </w:r>
            <w:proofErr w:type="spellStart"/>
            <w:r w:rsidRPr="005C3300">
              <w:rPr>
                <w:rFonts w:ascii="Times New Roman" w:eastAsia="Times New Roman" w:hAnsi="Times New Roman" w:cs="Times New Roman"/>
                <w:color w:val="000000" w:themeColor="text1"/>
                <w:sz w:val="20"/>
                <w:szCs w:val="20"/>
                <w:lang w:eastAsia="ro-MD"/>
              </w:rPr>
              <w:t>calculează</w:t>
            </w:r>
            <w:proofErr w:type="spellEnd"/>
            <w:r w:rsidRPr="005C3300">
              <w:rPr>
                <w:rFonts w:ascii="Times New Roman" w:eastAsia="Times New Roman" w:hAnsi="Times New Roman" w:cs="Times New Roman"/>
                <w:color w:val="000000" w:themeColor="text1"/>
                <w:sz w:val="20"/>
                <w:szCs w:val="20"/>
                <w:lang w:eastAsia="ro-MD"/>
              </w:rPr>
              <w:t xml:space="preserve"> E* conform </w:t>
            </w:r>
            <w:proofErr w:type="spellStart"/>
            <w:r w:rsidRPr="005C3300">
              <w:rPr>
                <w:rFonts w:ascii="Times New Roman" w:eastAsia="Times New Roman" w:hAnsi="Times New Roman" w:cs="Times New Roman"/>
                <w:color w:val="000000" w:themeColor="text1"/>
                <w:sz w:val="20"/>
                <w:szCs w:val="20"/>
                <w:lang w:eastAsia="ro-MD"/>
              </w:rPr>
              <w:t>următoarei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formule</w:t>
            </w:r>
            <w:proofErr w:type="spellEnd"/>
            <w:r w:rsidRPr="005C3300">
              <w:rPr>
                <w:rFonts w:ascii="Times New Roman" w:eastAsia="Times New Roman" w:hAnsi="Times New Roman" w:cs="Times New Roman"/>
                <w:color w:val="000000" w:themeColor="text1"/>
                <w:sz w:val="20"/>
                <w:szCs w:val="20"/>
                <w:lang w:eastAsia="ro-MD"/>
              </w:rPr>
              <w:t>:</w:t>
            </w:r>
          </w:p>
          <w:p w14:paraId="60645126" w14:textId="77777777" w:rsidR="00A86C07" w:rsidRPr="005C3300" w:rsidRDefault="00000000" w:rsidP="00A86C07">
            <w:pPr>
              <w:shd w:val="clear" w:color="auto" w:fill="FFFFFF"/>
              <w:spacing w:before="120" w:after="0" w:line="312" w:lineRule="atLeast"/>
              <w:jc w:val="both"/>
              <w:rPr>
                <w:rFonts w:ascii="Times New Roman" w:eastAsia="Times New Roman" w:hAnsi="Times New Roman" w:cs="Times New Roman"/>
                <w:i/>
                <w:color w:val="000000" w:themeColor="text1"/>
                <w:sz w:val="20"/>
                <w:szCs w:val="20"/>
                <w:lang w:val="ro-RO" w:eastAsia="ro-MD"/>
              </w:rPr>
            </w:pPr>
            <m:oMathPara>
              <m:oMath>
                <m:sSup>
                  <m:sSupPr>
                    <m:ctrlPr>
                      <w:rPr>
                        <w:rFonts w:ascii="Cambria Math" w:eastAsia="Times New Roman" w:hAnsi="Cambria Math" w:cs="Times New Roman"/>
                        <w:b/>
                        <w:bCs/>
                        <w:i/>
                        <w:color w:val="000000" w:themeColor="text1"/>
                        <w:sz w:val="20"/>
                        <w:szCs w:val="20"/>
                        <w:lang w:eastAsia="ro-MD"/>
                      </w:rPr>
                    </m:ctrlPr>
                  </m:sSupPr>
                  <m:e>
                    <m:r>
                      <m:rPr>
                        <m:sty m:val="bi"/>
                      </m:rPr>
                      <w:rPr>
                        <w:rFonts w:ascii="Cambria Math" w:eastAsia="Times New Roman" w:hAnsi="Cambria Math" w:cs="Times New Roman"/>
                        <w:color w:val="000000" w:themeColor="text1"/>
                        <w:sz w:val="20"/>
                        <w:szCs w:val="20"/>
                        <w:lang w:eastAsia="ro-MD"/>
                      </w:rPr>
                      <m:t>E</m:t>
                    </m:r>
                  </m:e>
                  <m:sup>
                    <m:r>
                      <m:rPr>
                        <m:sty m:val="bi"/>
                      </m:rPr>
                      <w:rPr>
                        <w:rFonts w:ascii="Cambria Math" w:eastAsia="Times New Roman" w:hAnsi="Cambria Math" w:cs="Times New Roman"/>
                        <w:color w:val="000000" w:themeColor="text1"/>
                        <w:sz w:val="20"/>
                        <w:szCs w:val="20"/>
                        <w:lang w:eastAsia="ro-MD"/>
                      </w:rPr>
                      <m:t>*</m:t>
                    </m:r>
                  </m:sup>
                </m:sSup>
                <m:r>
                  <w:rPr>
                    <w:rFonts w:ascii="Cambria Math" w:eastAsia="Times New Roman" w:hAnsi="Cambria Math" w:cs="Times New Roman"/>
                    <w:color w:val="000000" w:themeColor="text1"/>
                    <w:sz w:val="20"/>
                    <w:szCs w:val="20"/>
                    <w:lang w:eastAsia="ro-MD"/>
                  </w:rPr>
                  <m:t xml:space="preserve"> = max </m:t>
                </m:r>
                <m:d>
                  <m:dPr>
                    <m:begChr m:val="{"/>
                    <m:endChr m:val="}"/>
                    <m:ctrlPr>
                      <w:rPr>
                        <w:rFonts w:ascii="Cambria Math" w:eastAsia="Times New Roman" w:hAnsi="Cambria Math" w:cs="Times New Roman"/>
                        <w:i/>
                        <w:color w:val="000000" w:themeColor="text1"/>
                        <w:sz w:val="20"/>
                        <w:szCs w:val="20"/>
                        <w:lang w:eastAsia="ro-MD"/>
                      </w:rPr>
                    </m:ctrlPr>
                  </m:dPr>
                  <m:e>
                    <m:r>
                      <w:rPr>
                        <w:rFonts w:ascii="Cambria Math" w:eastAsia="Times New Roman" w:hAnsi="Cambria Math" w:cs="Times New Roman"/>
                        <w:color w:val="000000" w:themeColor="text1"/>
                        <w:sz w:val="20"/>
                        <w:szCs w:val="20"/>
                        <w:lang w:eastAsia="ro-MD"/>
                      </w:rPr>
                      <m:t>0,</m:t>
                    </m:r>
                    <m:d>
                      <m:dPr>
                        <m:ctrlPr>
                          <w:rPr>
                            <w:rFonts w:ascii="Cambria Math" w:eastAsia="Times New Roman" w:hAnsi="Cambria Math" w:cs="Times New Roman"/>
                            <w:i/>
                            <w:color w:val="000000" w:themeColor="text1"/>
                            <w:sz w:val="20"/>
                            <w:szCs w:val="20"/>
                            <w:lang w:eastAsia="ro-MD"/>
                          </w:rPr>
                        </m:ctrlPr>
                      </m:dPr>
                      <m:e>
                        <m:nary>
                          <m:naryPr>
                            <m:chr m:val="∑"/>
                            <m:limLoc m:val="undOvr"/>
                            <m:supHide m:val="1"/>
                            <m:ctrlPr>
                              <w:rPr>
                                <w:rFonts w:ascii="Cambria Math" w:eastAsia="Times New Roman" w:hAnsi="Cambria Math" w:cs="Times New Roman"/>
                                <w:i/>
                                <w:color w:val="000000" w:themeColor="text1"/>
                                <w:sz w:val="20"/>
                                <w:szCs w:val="20"/>
                                <w:lang w:eastAsia="ro-MD"/>
                              </w:rPr>
                            </m:ctrlPr>
                          </m:naryPr>
                          <m:sub>
                            <m:r>
                              <w:rPr>
                                <w:rFonts w:ascii="Cambria Math" w:eastAsia="Times New Roman" w:hAnsi="Cambria Math" w:cs="Times New Roman"/>
                                <w:color w:val="000000" w:themeColor="text1"/>
                                <w:sz w:val="20"/>
                                <w:szCs w:val="20"/>
                                <w:lang w:eastAsia="ro-MD"/>
                              </w:rPr>
                              <m:t>i</m:t>
                            </m:r>
                          </m:sub>
                          <m:sup/>
                          <m:e>
                            <m:sSub>
                              <m:sSubPr>
                                <m:ctrlPr>
                                  <w:rPr>
                                    <w:rFonts w:ascii="Cambria Math" w:eastAsia="Times New Roman" w:hAnsi="Cambria Math" w:cs="Times New Roman"/>
                                    <w:i/>
                                    <w:color w:val="000000" w:themeColor="text1"/>
                                    <w:sz w:val="20"/>
                                    <w:szCs w:val="20"/>
                                    <w:lang w:eastAsia="ro-MD"/>
                                  </w:rPr>
                                </m:ctrlPr>
                              </m:sSubPr>
                              <m:e>
                                <m:r>
                                  <w:rPr>
                                    <w:rFonts w:ascii="Cambria Math" w:eastAsia="Times New Roman" w:hAnsi="Cambria Math" w:cs="Times New Roman"/>
                                    <w:color w:val="000000" w:themeColor="text1"/>
                                    <w:sz w:val="20"/>
                                    <w:szCs w:val="20"/>
                                    <w:lang w:eastAsia="ro-MD"/>
                                  </w:rPr>
                                  <m:t>E</m:t>
                                </m:r>
                              </m:e>
                              <m:sub>
                                <m:r>
                                  <w:rPr>
                                    <w:rFonts w:ascii="Cambria Math" w:eastAsia="Times New Roman" w:hAnsi="Cambria Math" w:cs="Times New Roman"/>
                                    <w:color w:val="000000" w:themeColor="text1"/>
                                    <w:sz w:val="20"/>
                                    <w:szCs w:val="20"/>
                                    <w:lang w:eastAsia="ro-MD"/>
                                  </w:rPr>
                                  <m:t>i</m:t>
                                </m:r>
                              </m:sub>
                            </m:sSub>
                          </m:e>
                        </m:nary>
                        <m:r>
                          <w:rPr>
                            <w:rFonts w:ascii="Cambria Math" w:eastAsia="Times New Roman" w:hAnsi="Cambria Math" w:cs="Times New Roman"/>
                            <w:color w:val="000000" w:themeColor="text1"/>
                            <w:sz w:val="20"/>
                            <w:szCs w:val="20"/>
                            <w:lang w:eastAsia="ro-MD"/>
                          </w:rPr>
                          <m:t>-</m:t>
                        </m:r>
                        <m:nary>
                          <m:naryPr>
                            <m:chr m:val="∑"/>
                            <m:limLoc m:val="undOvr"/>
                            <m:supHide m:val="1"/>
                            <m:ctrlPr>
                              <w:rPr>
                                <w:rFonts w:ascii="Cambria Math" w:eastAsia="Times New Roman" w:hAnsi="Cambria Math" w:cs="Times New Roman"/>
                                <w:i/>
                                <w:color w:val="000000" w:themeColor="text1"/>
                                <w:sz w:val="20"/>
                                <w:szCs w:val="20"/>
                                <w:lang w:eastAsia="ro-MD"/>
                              </w:rPr>
                            </m:ctrlPr>
                          </m:naryPr>
                          <m:sub>
                            <m:r>
                              <w:rPr>
                                <w:rFonts w:ascii="Cambria Math" w:eastAsia="Times New Roman" w:hAnsi="Cambria Math" w:cs="Times New Roman"/>
                                <w:color w:val="000000" w:themeColor="text1"/>
                                <w:sz w:val="20"/>
                                <w:szCs w:val="20"/>
                                <w:lang w:eastAsia="ro-MD"/>
                              </w:rPr>
                              <m:t>i</m:t>
                            </m:r>
                          </m:sub>
                          <m:sup/>
                          <m:e>
                            <m:sSub>
                              <m:sSubPr>
                                <m:ctrlPr>
                                  <w:rPr>
                                    <w:rFonts w:ascii="Cambria Math" w:eastAsia="Times New Roman" w:hAnsi="Cambria Math" w:cs="Times New Roman"/>
                                    <w:i/>
                                    <w:color w:val="000000" w:themeColor="text1"/>
                                    <w:sz w:val="20"/>
                                    <w:szCs w:val="20"/>
                                    <w:lang w:eastAsia="ro-MD"/>
                                  </w:rPr>
                                </m:ctrlPr>
                              </m:sSubPr>
                              <m:e>
                                <m:r>
                                  <w:rPr>
                                    <w:rFonts w:ascii="Cambria Math" w:eastAsia="Times New Roman" w:hAnsi="Cambria Math" w:cs="Times New Roman"/>
                                    <w:color w:val="000000" w:themeColor="text1"/>
                                    <w:sz w:val="20"/>
                                    <w:szCs w:val="20"/>
                                    <w:lang w:eastAsia="ro-MD"/>
                                  </w:rPr>
                                  <m:t>C</m:t>
                                </m:r>
                              </m:e>
                              <m:sub>
                                <m:r>
                                  <w:rPr>
                                    <w:rFonts w:ascii="Cambria Math" w:eastAsia="Times New Roman" w:hAnsi="Cambria Math" w:cs="Times New Roman"/>
                                    <w:color w:val="000000" w:themeColor="text1"/>
                                    <w:sz w:val="20"/>
                                    <w:szCs w:val="20"/>
                                    <w:lang w:eastAsia="ro-MD"/>
                                  </w:rPr>
                                  <m:t>i</m:t>
                                </m:r>
                              </m:sub>
                            </m:sSub>
                          </m:e>
                        </m:nary>
                      </m:e>
                    </m:d>
                    <m:r>
                      <w:rPr>
                        <w:rFonts w:ascii="Cambria Math" w:eastAsia="Times New Roman" w:hAnsi="Cambria Math" w:cs="Times New Roman"/>
                        <w:color w:val="000000" w:themeColor="text1"/>
                        <w:sz w:val="20"/>
                        <w:szCs w:val="20"/>
                        <w:lang w:eastAsia="ro-MD"/>
                      </w:rPr>
                      <m:t>+ varia</m:t>
                    </m:r>
                    <m:r>
                      <w:rPr>
                        <w:rFonts w:ascii="Cambria Math" w:eastAsia="Times New Roman" w:hAnsi="Cambria Math" w:cs="Times New Roman"/>
                        <w:color w:val="000000" w:themeColor="text1"/>
                        <w:sz w:val="20"/>
                        <w:szCs w:val="20"/>
                        <w:lang w:val="ro-RO" w:eastAsia="ro-MD"/>
                      </w:rPr>
                      <m:t>ția potențială a valorii</m:t>
                    </m:r>
                  </m:e>
                </m:d>
                <m:r>
                  <w:rPr>
                    <w:rFonts w:ascii="Cambria Math" w:eastAsia="Times New Roman" w:hAnsi="Cambria Math" w:cs="Times New Roman"/>
                    <w:color w:val="000000" w:themeColor="text1"/>
                    <w:sz w:val="20"/>
                    <w:szCs w:val="20"/>
                    <w:lang w:eastAsia="ro-MD"/>
                  </w:rPr>
                  <m:t xml:space="preserve"> </m:t>
                </m:r>
              </m:oMath>
            </m:oMathPara>
          </w:p>
          <w:p w14:paraId="0389F846" w14:textId="77777777" w:rsidR="00A86C07" w:rsidRPr="005C3300" w:rsidRDefault="00A86C07" w:rsidP="00A86C07">
            <w:pPr>
              <w:shd w:val="clear" w:color="auto" w:fill="FFFFFF"/>
              <w:spacing w:before="120" w:after="0" w:line="312" w:lineRule="atLeast"/>
              <w:jc w:val="both"/>
              <w:rPr>
                <w:rFonts w:ascii="Times New Roman" w:eastAsia="Times New Roman" w:hAnsi="Times New Roman" w:cs="Times New Roman"/>
                <w:color w:val="000000" w:themeColor="text1"/>
                <w:sz w:val="20"/>
                <w:szCs w:val="20"/>
                <w:lang w:eastAsia="ro-MD"/>
              </w:rPr>
            </w:pPr>
            <w:proofErr w:type="spellStart"/>
            <w:r w:rsidRPr="005C3300">
              <w:rPr>
                <w:rFonts w:ascii="Times New Roman" w:eastAsia="Times New Roman" w:hAnsi="Times New Roman" w:cs="Times New Roman"/>
                <w:color w:val="000000" w:themeColor="text1"/>
                <w:sz w:val="20"/>
                <w:szCs w:val="20"/>
                <w:lang w:eastAsia="ro-MD"/>
              </w:rPr>
              <w:t>unde</w:t>
            </w:r>
            <w:proofErr w:type="spellEnd"/>
            <w:r w:rsidRPr="005C3300">
              <w:rPr>
                <w:rFonts w:ascii="Times New Roman" w:eastAsia="Times New Roman" w:hAnsi="Times New Roman" w:cs="Times New Roman"/>
                <w:color w:val="000000" w:themeColor="text1"/>
                <w:sz w:val="20"/>
                <w:szCs w:val="20"/>
                <w:lang w:eastAsia="ro-MD"/>
              </w:rPr>
              <w:t>:</w:t>
            </w:r>
          </w:p>
          <w:tbl>
            <w:tblPr>
              <w:tblW w:w="5000" w:type="pct"/>
              <w:tblLayout w:type="fixed"/>
              <w:tblCellMar>
                <w:left w:w="0" w:type="dxa"/>
                <w:right w:w="0" w:type="dxa"/>
              </w:tblCellMar>
              <w:tblLook w:val="04A0" w:firstRow="1" w:lastRow="0" w:firstColumn="1" w:lastColumn="0" w:noHBand="0" w:noVBand="1"/>
            </w:tblPr>
            <w:tblGrid>
              <w:gridCol w:w="89"/>
              <w:gridCol w:w="20"/>
              <w:gridCol w:w="4556"/>
            </w:tblGrid>
            <w:tr w:rsidR="00A86C07" w:rsidRPr="005C3300" w14:paraId="44FE7B8F" w14:textId="77777777" w:rsidTr="005C3300">
              <w:tc>
                <w:tcPr>
                  <w:tcW w:w="159" w:type="dxa"/>
                  <w:hideMark/>
                </w:tcPr>
                <w:p w14:paraId="5F064442" w14:textId="77777777" w:rsidR="00A86C07" w:rsidRPr="005C3300" w:rsidRDefault="00A86C07" w:rsidP="00A86C07">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E</w:t>
                  </w:r>
                  <w:r w:rsidRPr="005C3300">
                    <w:rPr>
                      <w:rFonts w:ascii="Times New Roman" w:eastAsia="Times New Roman" w:hAnsi="Times New Roman" w:cs="Times New Roman"/>
                      <w:color w:val="000000" w:themeColor="text1"/>
                      <w:sz w:val="20"/>
                      <w:szCs w:val="20"/>
                      <w:vertAlign w:val="subscript"/>
                      <w:lang w:eastAsia="ro-MD"/>
                    </w:rPr>
                    <w:t>i</w:t>
                  </w:r>
                </w:p>
              </w:tc>
              <w:tc>
                <w:tcPr>
                  <w:tcW w:w="6" w:type="dxa"/>
                  <w:hideMark/>
                </w:tcPr>
                <w:p w14:paraId="0E7585FA" w14:textId="77777777" w:rsidR="00A86C07" w:rsidRPr="005C3300" w:rsidRDefault="00A86C07" w:rsidP="00A86C07">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
              </w:tc>
              <w:tc>
                <w:tcPr>
                  <w:tcW w:w="9190" w:type="dxa"/>
                  <w:hideMark/>
                </w:tcPr>
                <w:p w14:paraId="4DA16DCF" w14:textId="77777777" w:rsidR="00A86C07" w:rsidRPr="005C3300" w:rsidRDefault="00A86C07" w:rsidP="00A86C07">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 </w:t>
                  </w:r>
                  <w:proofErr w:type="spellStart"/>
                  <w:r w:rsidRPr="005C3300">
                    <w:rPr>
                      <w:rFonts w:ascii="Times New Roman" w:eastAsia="Times New Roman" w:hAnsi="Times New Roman" w:cs="Times New Roman"/>
                      <w:color w:val="000000" w:themeColor="text1"/>
                      <w:sz w:val="20"/>
                      <w:szCs w:val="20"/>
                      <w:lang w:eastAsia="ro-MD"/>
                    </w:rPr>
                    <w:t>valoarea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fiecare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separată</w:t>
                  </w:r>
                  <w:proofErr w:type="spellEnd"/>
                  <w:r w:rsidRPr="005C3300">
                    <w:rPr>
                      <w:rFonts w:ascii="Times New Roman" w:eastAsia="Times New Roman" w:hAnsi="Times New Roman" w:cs="Times New Roman"/>
                      <w:color w:val="000000" w:themeColor="text1"/>
                      <w:sz w:val="20"/>
                      <w:szCs w:val="20"/>
                      <w:lang w:eastAsia="ro-MD"/>
                    </w:rPr>
                    <w:t xml:space="preserve"> i din </w:t>
                  </w:r>
                  <w:proofErr w:type="spellStart"/>
                  <w:r w:rsidRPr="005C3300">
                    <w:rPr>
                      <w:rFonts w:ascii="Times New Roman" w:eastAsia="Times New Roman" w:hAnsi="Times New Roman" w:cs="Times New Roman"/>
                      <w:color w:val="000000" w:themeColor="text1"/>
                      <w:sz w:val="20"/>
                      <w:szCs w:val="20"/>
                      <w:lang w:eastAsia="ro-MD"/>
                    </w:rPr>
                    <w:t>cadrul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acordului</w:t>
                  </w:r>
                  <w:proofErr w:type="spellEnd"/>
                  <w:r w:rsidRPr="005C3300">
                    <w:rPr>
                      <w:rFonts w:ascii="Times New Roman" w:eastAsia="Times New Roman" w:hAnsi="Times New Roman" w:cs="Times New Roman"/>
                      <w:color w:val="000000" w:themeColor="text1"/>
                      <w:sz w:val="20"/>
                      <w:szCs w:val="20"/>
                      <w:lang w:eastAsia="ro-MD"/>
                    </w:rPr>
                    <w:t>, care s-</w:t>
                  </w:r>
                  <w:proofErr w:type="spellStart"/>
                  <w:r w:rsidRPr="005C3300">
                    <w:rPr>
                      <w:rFonts w:ascii="Times New Roman" w:eastAsia="Times New Roman" w:hAnsi="Times New Roman" w:cs="Times New Roman"/>
                      <w:color w:val="000000" w:themeColor="text1"/>
                      <w:sz w:val="20"/>
                      <w:szCs w:val="20"/>
                      <w:lang w:eastAsia="ro-MD"/>
                    </w:rPr>
                    <w:t>ar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aplica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lipsa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protecției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creditului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băncile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valorile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ponderate</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risc</w:t>
                  </w:r>
                  <w:proofErr w:type="spellEnd"/>
                  <w:r w:rsidRPr="005C3300">
                    <w:rPr>
                      <w:rFonts w:ascii="Times New Roman" w:eastAsia="Times New Roman" w:hAnsi="Times New Roman" w:cs="Times New Roman"/>
                      <w:color w:val="000000" w:themeColor="text1"/>
                      <w:sz w:val="20"/>
                      <w:szCs w:val="20"/>
                      <w:lang w:eastAsia="ro-MD"/>
                    </w:rPr>
                    <w:t xml:space="preserve"> ale </w:t>
                  </w:r>
                  <w:proofErr w:type="spellStart"/>
                  <w:r w:rsidRPr="005C3300">
                    <w:rPr>
                      <w:rFonts w:ascii="Times New Roman" w:eastAsia="Times New Roman" w:hAnsi="Times New Roman" w:cs="Times New Roman"/>
                      <w:color w:val="000000" w:themeColor="text1"/>
                      <w:sz w:val="20"/>
                      <w:szCs w:val="20"/>
                      <w:lang w:eastAsia="ro-MD"/>
                    </w:rPr>
                    <w:t>expunerilor</w:t>
                  </w:r>
                  <w:proofErr w:type="spellEnd"/>
                  <w:r w:rsidRPr="005C3300">
                    <w:rPr>
                      <w:rFonts w:ascii="Times New Roman" w:eastAsia="Times New Roman" w:hAnsi="Times New Roman" w:cs="Times New Roman"/>
                      <w:color w:val="000000" w:themeColor="text1"/>
                      <w:sz w:val="20"/>
                      <w:szCs w:val="20"/>
                      <w:lang w:eastAsia="ro-MD"/>
                    </w:rPr>
                    <w:t xml:space="preserve"> conform </w:t>
                  </w:r>
                  <w:proofErr w:type="spellStart"/>
                  <w:r w:rsidRPr="005C3300">
                    <w:rPr>
                      <w:rFonts w:ascii="Times New Roman" w:eastAsia="Times New Roman" w:hAnsi="Times New Roman" w:cs="Times New Roman"/>
                      <w:color w:val="000000" w:themeColor="text1"/>
                      <w:sz w:val="20"/>
                      <w:szCs w:val="20"/>
                      <w:lang w:eastAsia="ro-MD"/>
                    </w:rPr>
                    <w:t>abordării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standardizate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calculează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valorile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ponderate</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risc</w:t>
                  </w:r>
                  <w:proofErr w:type="spellEnd"/>
                  <w:r w:rsidRPr="005C3300">
                    <w:rPr>
                      <w:rFonts w:ascii="Times New Roman" w:eastAsia="Times New Roman" w:hAnsi="Times New Roman" w:cs="Times New Roman"/>
                      <w:color w:val="000000" w:themeColor="text1"/>
                      <w:sz w:val="20"/>
                      <w:szCs w:val="20"/>
                      <w:lang w:eastAsia="ro-MD"/>
                    </w:rPr>
                    <w:t xml:space="preserve"> ale </w:t>
                  </w:r>
                  <w:proofErr w:type="spellStart"/>
                  <w:r w:rsidRPr="005C3300">
                    <w:rPr>
                      <w:rFonts w:ascii="Times New Roman" w:eastAsia="Times New Roman" w:hAnsi="Times New Roman" w:cs="Times New Roman"/>
                      <w:color w:val="000000" w:themeColor="text1"/>
                      <w:sz w:val="20"/>
                      <w:szCs w:val="20"/>
                      <w:lang w:eastAsia="ro-MD"/>
                    </w:rPr>
                    <w:t>expunerilor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și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cuantumurile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pierderilor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așteptate</w:t>
                  </w:r>
                  <w:proofErr w:type="spellEnd"/>
                  <w:r w:rsidRPr="005C3300">
                    <w:rPr>
                      <w:rFonts w:ascii="Times New Roman" w:eastAsia="Times New Roman" w:hAnsi="Times New Roman" w:cs="Times New Roman"/>
                      <w:color w:val="000000" w:themeColor="text1"/>
                      <w:sz w:val="20"/>
                      <w:szCs w:val="20"/>
                      <w:lang w:eastAsia="ro-MD"/>
                    </w:rPr>
                    <w:t xml:space="preserve"> conform </w:t>
                  </w:r>
                  <w:proofErr w:type="spellStart"/>
                  <w:r w:rsidRPr="005C3300">
                    <w:rPr>
                      <w:rFonts w:ascii="Times New Roman" w:eastAsia="Times New Roman" w:hAnsi="Times New Roman" w:cs="Times New Roman"/>
                      <w:color w:val="000000" w:themeColor="text1"/>
                      <w:sz w:val="20"/>
                      <w:szCs w:val="20"/>
                      <w:lang w:eastAsia="ro-MD"/>
                    </w:rPr>
                    <w:t>abordării</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IRB;</w:t>
                  </w:r>
                  <w:proofErr w:type="gramEnd"/>
                </w:p>
              </w:tc>
            </w:tr>
          </w:tbl>
          <w:p w14:paraId="71D70339" w14:textId="77777777" w:rsidR="00A86C07" w:rsidRPr="005C3300" w:rsidRDefault="00A86C07" w:rsidP="00A86C07">
            <w:pPr>
              <w:shd w:val="clear" w:color="auto" w:fill="FFFFFF"/>
              <w:spacing w:after="0" w:line="240" w:lineRule="auto"/>
              <w:jc w:val="both"/>
              <w:rPr>
                <w:rFonts w:ascii="Times New Roman" w:eastAsia="Times New Roman" w:hAnsi="Times New Roman" w:cs="Times New Roman"/>
                <w:vanish/>
                <w:color w:val="000000" w:themeColor="text1"/>
                <w:sz w:val="20"/>
                <w:szCs w:val="20"/>
                <w:lang w:eastAsia="ro-MD"/>
              </w:rPr>
            </w:pPr>
          </w:p>
          <w:tbl>
            <w:tblPr>
              <w:tblW w:w="5000" w:type="pct"/>
              <w:tblLayout w:type="fixed"/>
              <w:tblCellMar>
                <w:left w:w="0" w:type="dxa"/>
                <w:right w:w="0" w:type="dxa"/>
              </w:tblCellMar>
              <w:tblLook w:val="04A0" w:firstRow="1" w:lastRow="0" w:firstColumn="1" w:lastColumn="0" w:noHBand="0" w:noVBand="1"/>
            </w:tblPr>
            <w:tblGrid>
              <w:gridCol w:w="94"/>
              <w:gridCol w:w="20"/>
              <w:gridCol w:w="4551"/>
            </w:tblGrid>
            <w:tr w:rsidR="00A86C07" w:rsidRPr="005C3300" w14:paraId="08AAB6DF" w14:textId="77777777" w:rsidTr="005C3300">
              <w:tc>
                <w:tcPr>
                  <w:tcW w:w="170" w:type="dxa"/>
                  <w:hideMark/>
                </w:tcPr>
                <w:p w14:paraId="60A39F96" w14:textId="77777777" w:rsidR="00A86C07" w:rsidRPr="005C3300" w:rsidRDefault="00A86C07" w:rsidP="00A86C07">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C</w:t>
                  </w:r>
                  <w:r w:rsidRPr="005C3300">
                    <w:rPr>
                      <w:rFonts w:ascii="Times New Roman" w:eastAsia="Times New Roman" w:hAnsi="Times New Roman" w:cs="Times New Roman"/>
                      <w:color w:val="000000" w:themeColor="text1"/>
                      <w:sz w:val="20"/>
                      <w:szCs w:val="20"/>
                      <w:vertAlign w:val="subscript"/>
                      <w:lang w:eastAsia="ro-MD"/>
                    </w:rPr>
                    <w:t>i</w:t>
                  </w:r>
                </w:p>
              </w:tc>
              <w:tc>
                <w:tcPr>
                  <w:tcW w:w="6" w:type="dxa"/>
                  <w:hideMark/>
                </w:tcPr>
                <w:p w14:paraId="002E1D54" w14:textId="77777777" w:rsidR="00A86C07" w:rsidRPr="005C3300" w:rsidRDefault="00A86C07" w:rsidP="00A86C07">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w:t>
                  </w:r>
                </w:p>
              </w:tc>
              <w:tc>
                <w:tcPr>
                  <w:tcW w:w="9179" w:type="dxa"/>
                  <w:hideMark/>
                </w:tcPr>
                <w:p w14:paraId="0427DF35" w14:textId="435E731A" w:rsidR="00A86C07" w:rsidRPr="005C3300" w:rsidRDefault="00A86C07" w:rsidP="00A86C07">
                  <w:pPr>
                    <w:spacing w:before="120" w:after="0" w:line="312" w:lineRule="atLeast"/>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 xml:space="preserve"> = </w:t>
                  </w:r>
                  <w:proofErr w:type="spellStart"/>
                  <w:r w:rsidRPr="005C3300">
                    <w:rPr>
                      <w:rFonts w:ascii="Times New Roman" w:eastAsia="Times New Roman" w:hAnsi="Times New Roman" w:cs="Times New Roman"/>
                      <w:color w:val="000000" w:themeColor="text1"/>
                      <w:sz w:val="20"/>
                      <w:szCs w:val="20"/>
                      <w:lang w:eastAsia="ro-MD"/>
                    </w:rPr>
                    <w:t>valoarea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titlurilor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achiziționate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primite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numerarul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luat</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primit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fiecare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astfel</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expunere</w:t>
                  </w:r>
                  <w:proofErr w:type="spellEnd"/>
                  <w:r w:rsidRPr="005C3300">
                    <w:rPr>
                      <w:rFonts w:ascii="Times New Roman" w:eastAsia="Times New Roman" w:hAnsi="Times New Roman" w:cs="Times New Roman"/>
                      <w:color w:val="000000" w:themeColor="text1"/>
                      <w:sz w:val="20"/>
                      <w:szCs w:val="20"/>
                      <w:lang w:eastAsia="ro-MD"/>
                    </w:rPr>
                    <w:t xml:space="preserve"> i.</w:t>
                  </w:r>
                </w:p>
              </w:tc>
            </w:tr>
          </w:tbl>
          <w:p w14:paraId="1775B670" w14:textId="77777777" w:rsidR="00BE4B87" w:rsidRDefault="00A86C07" w:rsidP="00D62F3C">
            <w:pPr>
              <w:pStyle w:val="CM4"/>
              <w:tabs>
                <w:tab w:val="left" w:pos="150"/>
              </w:tabs>
              <w:ind w:left="-36"/>
              <w:rPr>
                <w:rFonts w:ascii="Times New Roman" w:hAnsi="Times New Roman"/>
                <w:color w:val="000000" w:themeColor="text1"/>
                <w:sz w:val="20"/>
                <w:szCs w:val="20"/>
                <w:lang w:eastAsia="ro-MD"/>
              </w:rPr>
            </w:pPr>
            <w:r w:rsidRPr="005C3300">
              <w:rPr>
                <w:rFonts w:ascii="Times New Roman" w:hAnsi="Times New Roman"/>
                <w:b/>
                <w:bCs/>
                <w:color w:val="000000" w:themeColor="text1"/>
                <w:sz w:val="20"/>
                <w:szCs w:val="20"/>
                <w:lang w:eastAsia="ro-MD"/>
              </w:rPr>
              <w:t>72</w:t>
            </w:r>
            <w:r w:rsidRPr="005C3300">
              <w:rPr>
                <w:rFonts w:ascii="Times New Roman" w:hAnsi="Times New Roman"/>
                <w:b/>
                <w:bCs/>
                <w:color w:val="000000" w:themeColor="text1"/>
                <w:sz w:val="20"/>
                <w:szCs w:val="20"/>
                <w:vertAlign w:val="superscript"/>
                <w:lang w:eastAsia="ro-MD"/>
              </w:rPr>
              <w:t>8</w:t>
            </w:r>
            <w:r w:rsidRPr="005C3300">
              <w:rPr>
                <w:rFonts w:ascii="Times New Roman" w:hAnsi="Times New Roman"/>
                <w:b/>
                <w:bCs/>
                <w:color w:val="000000" w:themeColor="text1"/>
                <w:sz w:val="20"/>
                <w:szCs w:val="20"/>
                <w:lang w:eastAsia="ro-MD"/>
              </w:rPr>
              <w:t xml:space="preserve">. </w:t>
            </w:r>
            <w:r w:rsidRPr="005C3300">
              <w:rPr>
                <w:rFonts w:ascii="Times New Roman" w:hAnsi="Times New Roman"/>
                <w:color w:val="000000" w:themeColor="text1"/>
                <w:sz w:val="20"/>
                <w:szCs w:val="20"/>
                <w:lang w:eastAsia="ro-MD"/>
              </w:rPr>
              <w:t xml:space="preserve">La </w:t>
            </w:r>
            <w:proofErr w:type="spellStart"/>
            <w:r w:rsidRPr="005C3300">
              <w:rPr>
                <w:rFonts w:ascii="Times New Roman" w:hAnsi="Times New Roman"/>
                <w:color w:val="000000" w:themeColor="text1"/>
                <w:sz w:val="20"/>
                <w:szCs w:val="20"/>
                <w:lang w:eastAsia="ro-MD"/>
              </w:rPr>
              <w:t>calculul</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cuantumurilor</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ponderate</w:t>
            </w:r>
            <w:proofErr w:type="spellEnd"/>
            <w:r w:rsidRPr="005C3300">
              <w:rPr>
                <w:rFonts w:ascii="Times New Roman" w:hAnsi="Times New Roman"/>
                <w:color w:val="000000" w:themeColor="text1"/>
                <w:sz w:val="20"/>
                <w:szCs w:val="20"/>
                <w:lang w:eastAsia="ro-MD"/>
              </w:rPr>
              <w:t xml:space="preserve"> la </w:t>
            </w:r>
            <w:proofErr w:type="spellStart"/>
            <w:r w:rsidRPr="005C3300">
              <w:rPr>
                <w:rFonts w:ascii="Times New Roman" w:hAnsi="Times New Roman"/>
                <w:color w:val="000000" w:themeColor="text1"/>
                <w:sz w:val="20"/>
                <w:szCs w:val="20"/>
                <w:lang w:eastAsia="ro-MD"/>
              </w:rPr>
              <w:t>risc</w:t>
            </w:r>
            <w:proofErr w:type="spellEnd"/>
            <w:r w:rsidRPr="005C3300">
              <w:rPr>
                <w:rFonts w:ascii="Times New Roman" w:hAnsi="Times New Roman"/>
                <w:color w:val="000000" w:themeColor="text1"/>
                <w:sz w:val="20"/>
                <w:szCs w:val="20"/>
                <w:lang w:eastAsia="ro-MD"/>
              </w:rPr>
              <w:t xml:space="preserve"> ale </w:t>
            </w:r>
            <w:proofErr w:type="spellStart"/>
            <w:r w:rsidRPr="005C3300">
              <w:rPr>
                <w:rFonts w:ascii="Times New Roman" w:hAnsi="Times New Roman"/>
                <w:color w:val="000000" w:themeColor="text1"/>
                <w:sz w:val="20"/>
                <w:szCs w:val="20"/>
                <w:lang w:eastAsia="ro-MD"/>
              </w:rPr>
              <w:t>expunerilor</w:t>
            </w:r>
            <w:proofErr w:type="spellEnd"/>
            <w:r w:rsidRPr="005C3300">
              <w:rPr>
                <w:rFonts w:ascii="Times New Roman" w:hAnsi="Times New Roman"/>
                <w:color w:val="000000" w:themeColor="text1"/>
                <w:sz w:val="20"/>
                <w:szCs w:val="20"/>
                <w:lang w:eastAsia="ro-MD"/>
              </w:rPr>
              <w:t xml:space="preserve"> pe </w:t>
            </w:r>
            <w:proofErr w:type="spellStart"/>
            <w:r w:rsidRPr="005C3300">
              <w:rPr>
                <w:rFonts w:ascii="Times New Roman" w:hAnsi="Times New Roman"/>
                <w:color w:val="000000" w:themeColor="text1"/>
                <w:sz w:val="20"/>
                <w:szCs w:val="20"/>
                <w:lang w:eastAsia="ro-MD"/>
              </w:rPr>
              <w:t>baza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modelelor</w:t>
            </w:r>
            <w:proofErr w:type="spellEnd"/>
            <w:r w:rsidRPr="005C3300">
              <w:rPr>
                <w:rFonts w:ascii="Times New Roman" w:hAnsi="Times New Roman"/>
                <w:color w:val="000000" w:themeColor="text1"/>
                <w:sz w:val="20"/>
                <w:szCs w:val="20"/>
                <w:lang w:eastAsia="ro-MD"/>
              </w:rPr>
              <w:t xml:space="preserve"> interne, </w:t>
            </w:r>
            <w:proofErr w:type="spellStart"/>
            <w:r w:rsidRPr="005C3300">
              <w:rPr>
                <w:rFonts w:ascii="Times New Roman" w:hAnsi="Times New Roman"/>
                <w:color w:val="000000" w:themeColor="text1"/>
                <w:sz w:val="20"/>
                <w:szCs w:val="20"/>
                <w:lang w:eastAsia="ro-MD"/>
              </w:rPr>
              <w:t>băncile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trebuie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să</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utilizeze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rezultatul</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modelului</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pentru</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ziua</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lucrătoare</w:t>
            </w:r>
            <w:proofErr w:type="spellEnd"/>
            <w:r w:rsidRPr="005C3300">
              <w:rPr>
                <w:rFonts w:ascii="Times New Roman" w:hAnsi="Times New Roman"/>
                <w:color w:val="000000" w:themeColor="text1"/>
                <w:sz w:val="20"/>
                <w:szCs w:val="20"/>
                <w:lang w:eastAsia="ro-MD"/>
              </w:rPr>
              <w:t xml:space="preserve"> </w:t>
            </w:r>
            <w:proofErr w:type="spellStart"/>
            <w:r w:rsidRPr="005C3300">
              <w:rPr>
                <w:rFonts w:ascii="Times New Roman" w:hAnsi="Times New Roman"/>
                <w:color w:val="000000" w:themeColor="text1"/>
                <w:sz w:val="20"/>
                <w:szCs w:val="20"/>
                <w:lang w:eastAsia="ro-MD"/>
              </w:rPr>
              <w:t>precedentă</w:t>
            </w:r>
            <w:proofErr w:type="spellEnd"/>
            <w:r w:rsidRPr="005C3300">
              <w:rPr>
                <w:rFonts w:ascii="Times New Roman" w:hAnsi="Times New Roman"/>
                <w:color w:val="000000" w:themeColor="text1"/>
                <w:sz w:val="20"/>
                <w:szCs w:val="20"/>
                <w:lang w:eastAsia="ro-MD"/>
              </w:rPr>
              <w:t>.</w:t>
            </w:r>
          </w:p>
          <w:p w14:paraId="6916D5D2" w14:textId="19E4B045" w:rsidR="00A86C07" w:rsidRPr="00A86C07" w:rsidRDefault="00A86C07" w:rsidP="00A86C07">
            <w:pPr>
              <w:rPr>
                <w:lang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C15DA04" w14:textId="77777777" w:rsidR="00BE4B87" w:rsidRPr="002C32BA" w:rsidDel="00FB5884" w:rsidRDefault="00BE4B87" w:rsidP="00D62F3C">
            <w:pPr>
              <w:rPr>
                <w:rFonts w:ascii="Times New Roman" w:hAnsi="Times New Roman" w:cs="Times New Roman"/>
                <w:sz w:val="20"/>
                <w:szCs w:val="20"/>
                <w:lang w:val="ro-RO"/>
              </w:rPr>
            </w:pPr>
          </w:p>
        </w:tc>
        <w:tc>
          <w:tcPr>
            <w:tcW w:w="885" w:type="pct"/>
          </w:tcPr>
          <w:p w14:paraId="5D59A78A" w14:textId="77777777" w:rsidR="00BE4B87" w:rsidRPr="002C32BA" w:rsidRDefault="00BE4B87" w:rsidP="00D62F3C">
            <w:pPr>
              <w:jc w:val="both"/>
              <w:rPr>
                <w:rFonts w:ascii="Times New Roman" w:hAnsi="Times New Roman" w:cs="Times New Roman"/>
                <w:sz w:val="20"/>
                <w:szCs w:val="20"/>
                <w:lang w:val="ro-RO"/>
              </w:rPr>
            </w:pPr>
          </w:p>
        </w:tc>
      </w:tr>
      <w:tr w:rsidR="00BE4B87" w:rsidRPr="002C32BA" w14:paraId="15212E0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34A63705" w14:textId="77777777" w:rsidR="00A86C07" w:rsidRPr="00403CDF" w:rsidRDefault="00403CDF" w:rsidP="00A86C07">
            <w:pPr>
              <w:jc w:val="both"/>
              <w:rPr>
                <w:rFonts w:ascii="Times New Roman" w:hAnsi="Times New Roman"/>
                <w:sz w:val="20"/>
                <w:szCs w:val="20"/>
                <w:lang w:val="ro-MD" w:eastAsia="ru-RU"/>
              </w:rPr>
            </w:pPr>
            <w:proofErr w:type="gramStart"/>
            <w:r w:rsidRPr="00403CDF">
              <w:rPr>
                <w:rFonts w:ascii="Times New Roman" w:hAnsi="Times New Roman"/>
                <w:sz w:val="20"/>
                <w:szCs w:val="20"/>
                <w:lang w:eastAsia="ru-RU"/>
              </w:rPr>
              <w:t>▼</w:t>
            </w:r>
            <w:r w:rsidR="00A86C07" w:rsidRPr="00403CDF">
              <w:rPr>
                <w:rFonts w:ascii="Times New Roman" w:hAnsi="Times New Roman"/>
                <w:sz w:val="20"/>
                <w:szCs w:val="20"/>
                <w:lang w:val="ro-MD" w:eastAsia="ru-RU"/>
              </w:rPr>
              <w:t>(</w:t>
            </w:r>
            <w:proofErr w:type="gramEnd"/>
            <w:r w:rsidR="00A86C07" w:rsidRPr="00403CDF">
              <w:rPr>
                <w:rFonts w:ascii="Times New Roman" w:hAnsi="Times New Roman"/>
                <w:sz w:val="20"/>
                <w:szCs w:val="20"/>
                <w:lang w:val="ro-MD" w:eastAsia="ru-RU"/>
              </w:rPr>
              <w:t>7)   Calculul variației potențiale a valorii menționată la alineatul (6) trebuie să îndeplinească toate cerințele următoare:</w:t>
            </w:r>
          </w:p>
          <w:p w14:paraId="679998ED" w14:textId="77777777" w:rsidR="00A86C07" w:rsidRPr="00403CDF" w:rsidRDefault="00A86C07" w:rsidP="00A86C07">
            <w:pPr>
              <w:jc w:val="both"/>
              <w:rPr>
                <w:rFonts w:ascii="Times New Roman" w:hAnsi="Times New Roman"/>
                <w:sz w:val="20"/>
                <w:szCs w:val="20"/>
                <w:lang w:val="ro-MD" w:eastAsia="ru-RU"/>
              </w:rPr>
            </w:pPr>
            <w:r w:rsidRPr="00403CDF">
              <w:rPr>
                <w:rFonts w:ascii="Times New Roman" w:hAnsi="Times New Roman"/>
                <w:sz w:val="20"/>
                <w:szCs w:val="20"/>
                <w:lang w:val="ro-MD" w:eastAsia="ru-RU"/>
              </w:rPr>
              <w:t>(a) să fie efectuat cel puțin zilnic;</w:t>
            </w:r>
          </w:p>
          <w:p w14:paraId="0A8CB257" w14:textId="77777777" w:rsidR="00A86C07" w:rsidRPr="00403CDF" w:rsidRDefault="00A86C07" w:rsidP="00A86C07">
            <w:pPr>
              <w:jc w:val="both"/>
              <w:rPr>
                <w:rFonts w:ascii="Times New Roman" w:hAnsi="Times New Roman"/>
                <w:sz w:val="20"/>
                <w:szCs w:val="20"/>
                <w:lang w:val="ro-MD" w:eastAsia="ru-RU"/>
              </w:rPr>
            </w:pPr>
            <w:r w:rsidRPr="00403CDF">
              <w:rPr>
                <w:rFonts w:ascii="Times New Roman" w:hAnsi="Times New Roman"/>
                <w:sz w:val="20"/>
                <w:szCs w:val="20"/>
                <w:lang w:val="ro-MD" w:eastAsia="ru-RU"/>
              </w:rPr>
              <w:t>(b) să se bazeze pe un interval de încredere unilateral de 99 de centile;</w:t>
            </w:r>
          </w:p>
          <w:p w14:paraId="52A258D8" w14:textId="77777777" w:rsidR="00A86C07" w:rsidRPr="00403CDF" w:rsidRDefault="00A86C07" w:rsidP="00A86C07">
            <w:pPr>
              <w:jc w:val="both"/>
              <w:rPr>
                <w:rFonts w:ascii="Times New Roman" w:hAnsi="Times New Roman"/>
                <w:sz w:val="20"/>
                <w:szCs w:val="20"/>
                <w:lang w:val="ro-MD" w:eastAsia="ru-RU"/>
              </w:rPr>
            </w:pPr>
            <w:r w:rsidRPr="00403CDF">
              <w:rPr>
                <w:rFonts w:ascii="Times New Roman" w:hAnsi="Times New Roman"/>
                <w:sz w:val="20"/>
                <w:szCs w:val="20"/>
                <w:lang w:val="ro-MD" w:eastAsia="ru-RU"/>
              </w:rPr>
              <w:t>(c) să se bazeze pe o perioadă de deținere echivalentă cu 5 zile, cu excepția cazului altor tranzacții decât tranzacțiile de răscumpărare de titluri, sau operațiunile de dare sau luare de titluri cu împrumut, pentru care trebuie utilizată o perioadă de deținere echivalentă cu 10 zile;</w:t>
            </w:r>
          </w:p>
          <w:p w14:paraId="39373AE0" w14:textId="77777777" w:rsidR="00A86C07" w:rsidRPr="00403CDF" w:rsidRDefault="00A86C07" w:rsidP="00A86C07">
            <w:pPr>
              <w:jc w:val="both"/>
              <w:rPr>
                <w:rFonts w:ascii="Times New Roman" w:hAnsi="Times New Roman"/>
                <w:sz w:val="20"/>
                <w:szCs w:val="20"/>
                <w:lang w:val="ro-MD" w:eastAsia="ru-RU"/>
              </w:rPr>
            </w:pPr>
            <w:r w:rsidRPr="00403CDF">
              <w:rPr>
                <w:rFonts w:ascii="Times New Roman" w:hAnsi="Times New Roman"/>
                <w:sz w:val="20"/>
                <w:szCs w:val="20"/>
                <w:lang w:val="ro-MD" w:eastAsia="ru-RU"/>
              </w:rPr>
              <w:t>(d) să se bazeze pe o perioadă de observare istorică efectivă de cel puțin un an, cu excepția cazului în care o creștere semnificativă a volatilității prețurilor justifică o perioadă de observare mai scurtă;</w:t>
            </w:r>
          </w:p>
          <w:p w14:paraId="16DA6624" w14:textId="77777777" w:rsidR="00A86C07" w:rsidRPr="00403CDF" w:rsidRDefault="00A86C07" w:rsidP="00A86C07">
            <w:pPr>
              <w:jc w:val="both"/>
              <w:rPr>
                <w:rFonts w:ascii="Times New Roman" w:hAnsi="Times New Roman"/>
                <w:sz w:val="20"/>
                <w:szCs w:val="20"/>
                <w:lang w:val="ro-MD" w:eastAsia="ru-RU"/>
              </w:rPr>
            </w:pPr>
            <w:r w:rsidRPr="00403CDF">
              <w:rPr>
                <w:rFonts w:ascii="Times New Roman" w:hAnsi="Times New Roman"/>
                <w:sz w:val="20"/>
                <w:szCs w:val="20"/>
                <w:lang w:val="ro-MD" w:eastAsia="ru-RU"/>
              </w:rPr>
              <w:t>(e) setul de date utilizat pentru calcul să fie actualizat la fiecare trei luni.</w:t>
            </w:r>
          </w:p>
          <w:p w14:paraId="5B6F21C3" w14:textId="77777777" w:rsidR="00A86C07" w:rsidRDefault="00A86C07" w:rsidP="00A86C07">
            <w:pPr>
              <w:jc w:val="both"/>
              <w:rPr>
                <w:rFonts w:ascii="Times New Roman" w:hAnsi="Times New Roman"/>
                <w:sz w:val="20"/>
                <w:szCs w:val="20"/>
                <w:lang w:val="ro-MD" w:eastAsia="ru-RU"/>
              </w:rPr>
            </w:pPr>
            <w:r w:rsidRPr="00403CDF">
              <w:rPr>
                <w:rFonts w:ascii="Times New Roman" w:hAnsi="Times New Roman"/>
                <w:sz w:val="20"/>
                <w:szCs w:val="20"/>
                <w:lang w:val="ro-MD" w:eastAsia="ru-RU"/>
              </w:rPr>
              <w:t>Dacă o instituție are o tranzacție de răscumpărare, o operațiune de dare sau luare de titluri sau mărfuri cu împrumut sau o tranzacție de creditare în marjă, ori altă tranzacție ori set de compensare similare, care îndeplinesc criteriile stabilite la articolul 285 alineatele (2), (3) și (4), perioada minimă de deținere trebuie să fie aliniată cu perioada de risc de marjă care s-ar aplica în conformitate cu aceste alineate, în coroborare cu articolul 285 alineatul (5).</w:t>
            </w:r>
          </w:p>
          <w:p w14:paraId="7E05F894" w14:textId="74AA7FD2" w:rsidR="00BE4B87" w:rsidRPr="00403CDF" w:rsidRDefault="00BE4B87" w:rsidP="00403CDF">
            <w:pPr>
              <w:jc w:val="both"/>
              <w:rPr>
                <w:rFonts w:ascii="Times New Roman" w:hAnsi="Times New Roman"/>
                <w:sz w:val="20"/>
                <w:szCs w:val="20"/>
                <w:lang w:eastAsia="ru-RU"/>
              </w:rPr>
            </w:pPr>
          </w:p>
        </w:tc>
        <w:tc>
          <w:tcPr>
            <w:tcW w:w="1636" w:type="pct"/>
            <w:shd w:val="clear" w:color="auto" w:fill="auto"/>
          </w:tcPr>
          <w:p w14:paraId="43D6B04A" w14:textId="77777777" w:rsidR="00A86C07" w:rsidRPr="005C3300" w:rsidRDefault="00A86C07" w:rsidP="00CB5953">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b/>
                <w:bCs/>
                <w:color w:val="000000" w:themeColor="text1"/>
                <w:sz w:val="20"/>
                <w:szCs w:val="20"/>
                <w:lang w:eastAsia="ro-MD"/>
              </w:rPr>
              <w:t>72</w:t>
            </w:r>
            <w:r w:rsidRPr="005C3300">
              <w:rPr>
                <w:rFonts w:ascii="Times New Roman" w:eastAsia="Times New Roman" w:hAnsi="Times New Roman" w:cs="Times New Roman"/>
                <w:b/>
                <w:bCs/>
                <w:color w:val="000000" w:themeColor="text1"/>
                <w:sz w:val="20"/>
                <w:szCs w:val="20"/>
                <w:vertAlign w:val="superscript"/>
                <w:lang w:eastAsia="ro-MD"/>
              </w:rPr>
              <w:t>9</w:t>
            </w:r>
            <w:r w:rsidRPr="005C3300">
              <w:rPr>
                <w:rFonts w:ascii="Times New Roman" w:eastAsia="Times New Roman" w:hAnsi="Times New Roman" w:cs="Times New Roman"/>
                <w:b/>
                <w:bCs/>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variației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potențiale</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valorii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menționată</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punctul</w:t>
            </w:r>
            <w:proofErr w:type="spellEnd"/>
            <w:r w:rsidRPr="005C3300">
              <w:rPr>
                <w:rFonts w:ascii="Times New Roman" w:eastAsia="Times New Roman" w:hAnsi="Times New Roman" w:cs="Times New Roman"/>
                <w:color w:val="000000" w:themeColor="text1"/>
                <w:sz w:val="20"/>
                <w:szCs w:val="20"/>
                <w:lang w:eastAsia="ro-MD"/>
              </w:rPr>
              <w:t xml:space="preserve"> 72</w:t>
            </w:r>
            <w:r w:rsidRPr="005C3300">
              <w:rPr>
                <w:rFonts w:ascii="Times New Roman" w:eastAsia="Times New Roman" w:hAnsi="Times New Roman" w:cs="Times New Roman"/>
                <w:color w:val="000000" w:themeColor="text1"/>
                <w:sz w:val="20"/>
                <w:szCs w:val="20"/>
                <w:vertAlign w:val="superscript"/>
                <w:lang w:eastAsia="ro-MD"/>
              </w:rPr>
              <w:t>7</w:t>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trebuie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îndeplinească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toate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cerințele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următoare</w:t>
            </w:r>
            <w:proofErr w:type="spellEnd"/>
            <w:r w:rsidRPr="005C3300">
              <w:rPr>
                <w:rFonts w:ascii="Times New Roman" w:eastAsia="Times New Roman" w:hAnsi="Times New Roman" w:cs="Times New Roman"/>
                <w:color w:val="000000" w:themeColor="text1"/>
                <w:sz w:val="20"/>
                <w:szCs w:val="20"/>
                <w:lang w:eastAsia="ro-MD"/>
              </w:rPr>
              <w:t>:</w:t>
            </w:r>
          </w:p>
          <w:p w14:paraId="1E35DFC0" w14:textId="7442659B" w:rsidR="00A86C07" w:rsidRPr="005C3300" w:rsidRDefault="00A86C07" w:rsidP="00A86C07">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1)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fie </w:t>
            </w:r>
            <w:proofErr w:type="spellStart"/>
            <w:r w:rsidRPr="005C3300">
              <w:rPr>
                <w:rFonts w:ascii="Times New Roman" w:eastAsia="Times New Roman" w:hAnsi="Times New Roman" w:cs="Times New Roman"/>
                <w:color w:val="000000" w:themeColor="text1"/>
                <w:sz w:val="20"/>
                <w:szCs w:val="20"/>
                <w:lang w:eastAsia="ro-MD"/>
              </w:rPr>
              <w:t>efectuat</w:t>
            </w:r>
            <w:proofErr w:type="spellEnd"/>
            <w:r w:rsidRPr="005C3300">
              <w:rPr>
                <w:rFonts w:ascii="Times New Roman" w:eastAsia="Times New Roman" w:hAnsi="Times New Roman" w:cs="Times New Roman"/>
                <w:color w:val="000000" w:themeColor="text1"/>
                <w:sz w:val="20"/>
                <w:szCs w:val="20"/>
                <w:lang w:eastAsia="ro-MD"/>
              </w:rPr>
              <w:t xml:space="preserve"> cel </w:t>
            </w:r>
            <w:proofErr w:type="spellStart"/>
            <w:r w:rsidRPr="005C3300">
              <w:rPr>
                <w:rFonts w:ascii="Times New Roman" w:eastAsia="Times New Roman" w:hAnsi="Times New Roman" w:cs="Times New Roman"/>
                <w:color w:val="000000" w:themeColor="text1"/>
                <w:sz w:val="20"/>
                <w:szCs w:val="20"/>
                <w:lang w:eastAsia="ro-MD"/>
              </w:rPr>
              <w:t>puțin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proofErr w:type="gramStart"/>
            <w:r w:rsidRPr="005C3300">
              <w:rPr>
                <w:rFonts w:ascii="Times New Roman" w:eastAsia="Times New Roman" w:hAnsi="Times New Roman" w:cs="Times New Roman"/>
                <w:color w:val="000000" w:themeColor="text1"/>
                <w:sz w:val="20"/>
                <w:szCs w:val="20"/>
                <w:lang w:eastAsia="ro-MD"/>
              </w:rPr>
              <w:t>zilnic</w:t>
            </w:r>
            <w:proofErr w:type="spellEnd"/>
            <w:r w:rsidRPr="005C3300">
              <w:rPr>
                <w:rFonts w:ascii="Times New Roman" w:eastAsia="Times New Roman" w:hAnsi="Times New Roman" w:cs="Times New Roman"/>
                <w:color w:val="000000" w:themeColor="text1"/>
                <w:sz w:val="20"/>
                <w:szCs w:val="20"/>
                <w:lang w:eastAsia="ro-MD"/>
              </w:rPr>
              <w:t>;</w:t>
            </w:r>
            <w:proofErr w:type="gramEnd"/>
          </w:p>
          <w:p w14:paraId="17A8C13F" w14:textId="77777777" w:rsidR="00A86C07" w:rsidRDefault="00A86C07" w:rsidP="00A86C07">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o-MD"/>
              </w:rPr>
            </w:pPr>
          </w:p>
          <w:p w14:paraId="13D58C90" w14:textId="6E9650DB" w:rsidR="00A86C07" w:rsidRPr="005C3300" w:rsidRDefault="00A86C07" w:rsidP="00A86C07">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2)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se </w:t>
            </w:r>
            <w:proofErr w:type="spellStart"/>
            <w:r w:rsidRPr="005C3300">
              <w:rPr>
                <w:rFonts w:ascii="Times New Roman" w:eastAsia="Times New Roman" w:hAnsi="Times New Roman" w:cs="Times New Roman"/>
                <w:color w:val="000000" w:themeColor="text1"/>
                <w:sz w:val="20"/>
                <w:szCs w:val="20"/>
                <w:lang w:eastAsia="ro-MD"/>
              </w:rPr>
              <w:t>bazeze</w:t>
            </w:r>
            <w:proofErr w:type="spellEnd"/>
            <w:r w:rsidRPr="005C3300">
              <w:rPr>
                <w:rFonts w:ascii="Times New Roman" w:eastAsia="Times New Roman" w:hAnsi="Times New Roman" w:cs="Times New Roman"/>
                <w:color w:val="000000" w:themeColor="text1"/>
                <w:sz w:val="20"/>
                <w:szCs w:val="20"/>
                <w:lang w:eastAsia="ro-MD"/>
              </w:rPr>
              <w:t xml:space="preserve"> pe un interval de </w:t>
            </w:r>
            <w:proofErr w:type="spellStart"/>
            <w:r w:rsidRPr="005C3300">
              <w:rPr>
                <w:rFonts w:ascii="Times New Roman" w:eastAsia="Times New Roman" w:hAnsi="Times New Roman" w:cs="Times New Roman"/>
                <w:color w:val="000000" w:themeColor="text1"/>
                <w:sz w:val="20"/>
                <w:szCs w:val="20"/>
                <w:lang w:eastAsia="ro-MD"/>
              </w:rPr>
              <w:t>încredere</w:t>
            </w:r>
            <w:proofErr w:type="spellEnd"/>
            <w:r w:rsidRPr="005C3300">
              <w:rPr>
                <w:rFonts w:ascii="Times New Roman" w:eastAsia="Times New Roman" w:hAnsi="Times New Roman" w:cs="Times New Roman"/>
                <w:color w:val="000000" w:themeColor="text1"/>
                <w:sz w:val="20"/>
                <w:szCs w:val="20"/>
                <w:lang w:eastAsia="ro-MD"/>
              </w:rPr>
              <w:t xml:space="preserve"> unilateral pe </w:t>
            </w:r>
            <w:proofErr w:type="spellStart"/>
            <w:r w:rsidRPr="005C3300">
              <w:rPr>
                <w:rFonts w:ascii="Times New Roman" w:eastAsia="Times New Roman" w:hAnsi="Times New Roman" w:cs="Times New Roman"/>
                <w:color w:val="000000" w:themeColor="text1"/>
                <w:sz w:val="20"/>
                <w:szCs w:val="20"/>
                <w:lang w:eastAsia="ro-MD"/>
              </w:rPr>
              <w:t>percentila</w:t>
            </w:r>
            <w:proofErr w:type="spellEnd"/>
            <w:r w:rsidRPr="005C3300">
              <w:rPr>
                <w:rFonts w:ascii="Times New Roman" w:eastAsia="Times New Roman" w:hAnsi="Times New Roman" w:cs="Times New Roman"/>
                <w:color w:val="000000" w:themeColor="text1"/>
                <w:sz w:val="20"/>
                <w:szCs w:val="20"/>
                <w:lang w:eastAsia="ro-MD"/>
              </w:rPr>
              <w:t xml:space="preserve"> </w:t>
            </w:r>
            <w:proofErr w:type="gramStart"/>
            <w:r w:rsidRPr="005C3300">
              <w:rPr>
                <w:rFonts w:ascii="Times New Roman" w:eastAsia="Times New Roman" w:hAnsi="Times New Roman" w:cs="Times New Roman"/>
                <w:color w:val="000000" w:themeColor="text1"/>
                <w:sz w:val="20"/>
                <w:szCs w:val="20"/>
                <w:lang w:eastAsia="ro-MD"/>
              </w:rPr>
              <w:t>99;</w:t>
            </w:r>
            <w:proofErr w:type="gramEnd"/>
            <w:r w:rsidRPr="00A86C07">
              <w:rPr>
                <w:rFonts w:ascii="Times New Roman" w:eastAsia="Times New Roman" w:hAnsi="Times New Roman" w:cs="Times New Roman"/>
                <w:color w:val="000000" w:themeColor="text1"/>
                <w:sz w:val="20"/>
                <w:szCs w:val="20"/>
                <w:highlight w:val="lightGray"/>
                <w:lang w:val="ro-RO" w:eastAsia="ro-MD"/>
              </w:rPr>
              <w:t xml:space="preserve"> </w:t>
            </w:r>
          </w:p>
          <w:p w14:paraId="643B214D" w14:textId="77777777" w:rsidR="00A86C07" w:rsidRDefault="00A86C07" w:rsidP="00A86C07">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o-MD"/>
              </w:rPr>
            </w:pPr>
          </w:p>
          <w:p w14:paraId="027E328E" w14:textId="400A3FB7" w:rsidR="00A86C07" w:rsidRPr="005C3300" w:rsidRDefault="00A86C07" w:rsidP="00A86C07">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3)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se </w:t>
            </w:r>
            <w:proofErr w:type="spellStart"/>
            <w:r w:rsidRPr="005C3300">
              <w:rPr>
                <w:rFonts w:ascii="Times New Roman" w:eastAsia="Times New Roman" w:hAnsi="Times New Roman" w:cs="Times New Roman"/>
                <w:color w:val="000000" w:themeColor="text1"/>
                <w:sz w:val="20"/>
                <w:szCs w:val="20"/>
                <w:lang w:eastAsia="ro-MD"/>
              </w:rPr>
              <w:t>bazeze</w:t>
            </w:r>
            <w:proofErr w:type="spellEnd"/>
            <w:r w:rsidRPr="005C3300">
              <w:rPr>
                <w:rFonts w:ascii="Times New Roman" w:eastAsia="Times New Roman" w:hAnsi="Times New Roman" w:cs="Times New Roman"/>
                <w:color w:val="000000" w:themeColor="text1"/>
                <w:sz w:val="20"/>
                <w:szCs w:val="20"/>
                <w:lang w:eastAsia="ro-MD"/>
              </w:rPr>
              <w:t xml:space="preserve"> pe o </w:t>
            </w:r>
            <w:proofErr w:type="spellStart"/>
            <w:r w:rsidRPr="005C3300">
              <w:rPr>
                <w:rFonts w:ascii="Times New Roman" w:eastAsia="Times New Roman" w:hAnsi="Times New Roman" w:cs="Times New Roman"/>
                <w:color w:val="000000" w:themeColor="text1"/>
                <w:sz w:val="20"/>
                <w:szCs w:val="20"/>
                <w:lang w:eastAsia="ro-MD"/>
              </w:rPr>
              <w:t>perioadă</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deținere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echivalentă</w:t>
            </w:r>
            <w:proofErr w:type="spellEnd"/>
            <w:r w:rsidRPr="005C3300">
              <w:rPr>
                <w:rFonts w:ascii="Times New Roman" w:eastAsia="Times New Roman" w:hAnsi="Times New Roman" w:cs="Times New Roman"/>
                <w:color w:val="000000" w:themeColor="text1"/>
                <w:sz w:val="20"/>
                <w:szCs w:val="20"/>
                <w:lang w:eastAsia="ro-MD"/>
              </w:rPr>
              <w:t xml:space="preserve"> cu 5 </w:t>
            </w:r>
            <w:proofErr w:type="spellStart"/>
            <w:r w:rsidRPr="005C3300">
              <w:rPr>
                <w:rFonts w:ascii="Times New Roman" w:eastAsia="Times New Roman" w:hAnsi="Times New Roman" w:cs="Times New Roman"/>
                <w:color w:val="000000" w:themeColor="text1"/>
                <w:sz w:val="20"/>
                <w:szCs w:val="20"/>
                <w:lang w:eastAsia="ro-MD"/>
              </w:rPr>
              <w:t>zile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excepția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altor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decât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tranzacțiile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răscumpărare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operațiunile</w:t>
            </w:r>
            <w:proofErr w:type="spellEnd"/>
            <w:r w:rsidRPr="005C3300">
              <w:rPr>
                <w:rFonts w:ascii="Times New Roman" w:eastAsia="Times New Roman" w:hAnsi="Times New Roman" w:cs="Times New Roman"/>
                <w:color w:val="000000" w:themeColor="text1"/>
                <w:sz w:val="20"/>
                <w:szCs w:val="20"/>
                <w:lang w:eastAsia="ro-MD"/>
              </w:rPr>
              <w:t xml:space="preserve"> de dare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luare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trebuie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utilizată</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perioadă</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deținere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echivalentă</w:t>
            </w:r>
            <w:proofErr w:type="spellEnd"/>
            <w:r w:rsidRPr="005C3300">
              <w:rPr>
                <w:rFonts w:ascii="Times New Roman" w:eastAsia="Times New Roman" w:hAnsi="Times New Roman" w:cs="Times New Roman"/>
                <w:color w:val="000000" w:themeColor="text1"/>
                <w:sz w:val="20"/>
                <w:szCs w:val="20"/>
                <w:lang w:eastAsia="ro-MD"/>
              </w:rPr>
              <w:t xml:space="preserve"> cu 10 </w:t>
            </w:r>
            <w:proofErr w:type="spellStart"/>
            <w:proofErr w:type="gramStart"/>
            <w:r w:rsidRPr="005C3300">
              <w:rPr>
                <w:rFonts w:ascii="Times New Roman" w:eastAsia="Times New Roman" w:hAnsi="Times New Roman" w:cs="Times New Roman"/>
                <w:color w:val="000000" w:themeColor="text1"/>
                <w:sz w:val="20"/>
                <w:szCs w:val="20"/>
                <w:lang w:eastAsia="ro-MD"/>
              </w:rPr>
              <w:t>zile</w:t>
            </w:r>
            <w:proofErr w:type="spellEnd"/>
            <w:r w:rsidRPr="005C3300">
              <w:rPr>
                <w:rFonts w:ascii="Times New Roman" w:eastAsia="Times New Roman" w:hAnsi="Times New Roman" w:cs="Times New Roman"/>
                <w:color w:val="000000" w:themeColor="text1"/>
                <w:sz w:val="20"/>
                <w:szCs w:val="20"/>
                <w:lang w:eastAsia="ro-MD"/>
              </w:rPr>
              <w:t>;</w:t>
            </w:r>
            <w:proofErr w:type="gramEnd"/>
            <w:r w:rsidRPr="00A86C07">
              <w:rPr>
                <w:rFonts w:ascii="Times New Roman" w:eastAsia="Times New Roman" w:hAnsi="Times New Roman" w:cs="Times New Roman"/>
                <w:color w:val="000000" w:themeColor="text1"/>
                <w:sz w:val="20"/>
                <w:szCs w:val="20"/>
                <w:highlight w:val="lightGray"/>
                <w:lang w:val="ro-RO" w:eastAsia="ro-MD"/>
              </w:rPr>
              <w:t xml:space="preserve"> </w:t>
            </w:r>
          </w:p>
          <w:p w14:paraId="0E940420" w14:textId="77777777" w:rsidR="00A86C07" w:rsidRDefault="00A86C07" w:rsidP="00A86C07">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p>
          <w:p w14:paraId="3E661494" w14:textId="0E848FF9" w:rsidR="00A86C07" w:rsidRPr="005C3300" w:rsidRDefault="00A86C07" w:rsidP="00A86C07">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Pr>
                <w:rFonts w:ascii="Times New Roman" w:eastAsia="Times New Roman" w:hAnsi="Times New Roman" w:cs="Times New Roman"/>
                <w:color w:val="000000" w:themeColor="text1"/>
                <w:sz w:val="20"/>
                <w:szCs w:val="20"/>
                <w:lang w:eastAsia="ro-MD"/>
              </w:rPr>
              <w:t>4</w:t>
            </w:r>
            <w:r w:rsidRPr="005C3300">
              <w:rPr>
                <w:rFonts w:ascii="Times New Roman" w:eastAsia="Times New Roman" w:hAnsi="Times New Roman" w:cs="Times New Roman"/>
                <w:color w:val="000000" w:themeColor="text1"/>
                <w:sz w:val="20"/>
                <w:szCs w:val="20"/>
                <w:lang w:eastAsia="ro-MD"/>
              </w:rPr>
              <w:t>)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se </w:t>
            </w:r>
            <w:proofErr w:type="spellStart"/>
            <w:r w:rsidRPr="005C3300">
              <w:rPr>
                <w:rFonts w:ascii="Times New Roman" w:eastAsia="Times New Roman" w:hAnsi="Times New Roman" w:cs="Times New Roman"/>
                <w:color w:val="000000" w:themeColor="text1"/>
                <w:sz w:val="20"/>
                <w:szCs w:val="20"/>
                <w:lang w:eastAsia="ro-MD"/>
              </w:rPr>
              <w:t>bazeze</w:t>
            </w:r>
            <w:proofErr w:type="spellEnd"/>
            <w:r w:rsidRPr="005C3300">
              <w:rPr>
                <w:rFonts w:ascii="Times New Roman" w:eastAsia="Times New Roman" w:hAnsi="Times New Roman" w:cs="Times New Roman"/>
                <w:color w:val="000000" w:themeColor="text1"/>
                <w:sz w:val="20"/>
                <w:szCs w:val="20"/>
                <w:lang w:eastAsia="ro-MD"/>
              </w:rPr>
              <w:t xml:space="preserve"> pe o </w:t>
            </w:r>
            <w:proofErr w:type="spellStart"/>
            <w:r w:rsidRPr="005C3300">
              <w:rPr>
                <w:rFonts w:ascii="Times New Roman" w:eastAsia="Times New Roman" w:hAnsi="Times New Roman" w:cs="Times New Roman"/>
                <w:color w:val="000000" w:themeColor="text1"/>
                <w:sz w:val="20"/>
                <w:szCs w:val="20"/>
                <w:lang w:eastAsia="ro-MD"/>
              </w:rPr>
              <w:t>perioadă</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observare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istorică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efectivă</w:t>
            </w:r>
            <w:proofErr w:type="spellEnd"/>
            <w:r w:rsidRPr="005C3300">
              <w:rPr>
                <w:rFonts w:ascii="Times New Roman" w:eastAsia="Times New Roman" w:hAnsi="Times New Roman" w:cs="Times New Roman"/>
                <w:color w:val="000000" w:themeColor="text1"/>
                <w:sz w:val="20"/>
                <w:szCs w:val="20"/>
                <w:lang w:eastAsia="ro-MD"/>
              </w:rPr>
              <w:t xml:space="preserve"> de cel </w:t>
            </w:r>
            <w:proofErr w:type="spellStart"/>
            <w:r w:rsidRPr="005C3300">
              <w:rPr>
                <w:rFonts w:ascii="Times New Roman" w:eastAsia="Times New Roman" w:hAnsi="Times New Roman" w:cs="Times New Roman"/>
                <w:color w:val="000000" w:themeColor="text1"/>
                <w:sz w:val="20"/>
                <w:szCs w:val="20"/>
                <w:lang w:eastAsia="ro-MD"/>
              </w:rPr>
              <w:t>puțin</w:t>
            </w:r>
            <w:proofErr w:type="spellEnd"/>
            <w:r w:rsidRPr="005C3300">
              <w:rPr>
                <w:rFonts w:ascii="Times New Roman" w:eastAsia="Times New Roman" w:hAnsi="Times New Roman" w:cs="Times New Roman"/>
                <w:color w:val="000000" w:themeColor="text1"/>
                <w:sz w:val="20"/>
                <w:szCs w:val="20"/>
                <w:lang w:eastAsia="ro-MD"/>
              </w:rPr>
              <w:t xml:space="preserve"> un an, cu </w:t>
            </w:r>
            <w:proofErr w:type="spellStart"/>
            <w:r w:rsidRPr="005C3300">
              <w:rPr>
                <w:rFonts w:ascii="Times New Roman" w:eastAsia="Times New Roman" w:hAnsi="Times New Roman" w:cs="Times New Roman"/>
                <w:color w:val="000000" w:themeColor="text1"/>
                <w:sz w:val="20"/>
                <w:szCs w:val="20"/>
                <w:lang w:eastAsia="ro-MD"/>
              </w:rPr>
              <w:t>excepția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cazului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care o </w:t>
            </w:r>
            <w:proofErr w:type="spellStart"/>
            <w:r w:rsidRPr="005C3300">
              <w:rPr>
                <w:rFonts w:ascii="Times New Roman" w:eastAsia="Times New Roman" w:hAnsi="Times New Roman" w:cs="Times New Roman"/>
                <w:color w:val="000000" w:themeColor="text1"/>
                <w:sz w:val="20"/>
                <w:szCs w:val="20"/>
                <w:lang w:eastAsia="ro-MD"/>
              </w:rPr>
              <w:t>creștere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semnificativă</w:t>
            </w:r>
            <w:proofErr w:type="spellEnd"/>
            <w:r w:rsidRPr="005C3300">
              <w:rPr>
                <w:rFonts w:ascii="Times New Roman" w:eastAsia="Times New Roman" w:hAnsi="Times New Roman" w:cs="Times New Roman"/>
                <w:color w:val="000000" w:themeColor="text1"/>
                <w:sz w:val="20"/>
                <w:szCs w:val="20"/>
                <w:lang w:eastAsia="ro-MD"/>
              </w:rPr>
              <w:t xml:space="preserve"> a </w:t>
            </w:r>
            <w:proofErr w:type="spellStart"/>
            <w:r w:rsidRPr="005C3300">
              <w:rPr>
                <w:rFonts w:ascii="Times New Roman" w:eastAsia="Times New Roman" w:hAnsi="Times New Roman" w:cs="Times New Roman"/>
                <w:color w:val="000000" w:themeColor="text1"/>
                <w:sz w:val="20"/>
                <w:szCs w:val="20"/>
                <w:lang w:eastAsia="ro-MD"/>
              </w:rPr>
              <w:t>volatilității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prețurilor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justifică</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perioadă</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observare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mai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proofErr w:type="gramStart"/>
            <w:r w:rsidRPr="005C3300">
              <w:rPr>
                <w:rFonts w:ascii="Times New Roman" w:eastAsia="Times New Roman" w:hAnsi="Times New Roman" w:cs="Times New Roman"/>
                <w:color w:val="000000" w:themeColor="text1"/>
                <w:sz w:val="20"/>
                <w:szCs w:val="20"/>
                <w:lang w:eastAsia="ro-MD"/>
              </w:rPr>
              <w:t>scurtă</w:t>
            </w:r>
            <w:proofErr w:type="spellEnd"/>
            <w:r w:rsidRPr="005C3300">
              <w:rPr>
                <w:rFonts w:ascii="Times New Roman" w:eastAsia="Times New Roman" w:hAnsi="Times New Roman" w:cs="Times New Roman"/>
                <w:color w:val="000000" w:themeColor="text1"/>
                <w:sz w:val="20"/>
                <w:szCs w:val="20"/>
                <w:lang w:eastAsia="ro-MD"/>
              </w:rPr>
              <w:t>;</w:t>
            </w:r>
            <w:proofErr w:type="gramEnd"/>
            <w:r w:rsidRPr="00A86C07">
              <w:rPr>
                <w:rFonts w:ascii="Times New Roman" w:eastAsia="Times New Roman" w:hAnsi="Times New Roman" w:cs="Times New Roman"/>
                <w:color w:val="000000" w:themeColor="text1"/>
                <w:sz w:val="20"/>
                <w:szCs w:val="20"/>
                <w:highlight w:val="lightGray"/>
                <w:lang w:val="ro-RO" w:eastAsia="ro-MD"/>
              </w:rPr>
              <w:t xml:space="preserve"> </w:t>
            </w:r>
          </w:p>
          <w:p w14:paraId="3D09AE49" w14:textId="77777777" w:rsidR="00A86C07" w:rsidRDefault="00A86C07" w:rsidP="00A86C07">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p>
          <w:p w14:paraId="6D3044F0" w14:textId="5F6EE9BC" w:rsidR="00A86C07" w:rsidRPr="005C3300" w:rsidRDefault="00A86C07" w:rsidP="00A86C07">
            <w:pPr>
              <w:shd w:val="clear" w:color="auto" w:fill="FFFFFF"/>
              <w:spacing w:after="0" w:line="240" w:lineRule="auto"/>
              <w:jc w:val="both"/>
              <w:rPr>
                <w:rFonts w:ascii="Times New Roman" w:eastAsia="Times New Roman" w:hAnsi="Times New Roman" w:cs="Times New Roman"/>
                <w:color w:val="000000" w:themeColor="text1"/>
                <w:sz w:val="20"/>
                <w:szCs w:val="20"/>
                <w:lang w:eastAsia="ro-MD"/>
              </w:rPr>
            </w:pPr>
            <w:r w:rsidRPr="005C3300">
              <w:rPr>
                <w:rFonts w:ascii="Times New Roman" w:eastAsia="Times New Roman" w:hAnsi="Times New Roman" w:cs="Times New Roman"/>
                <w:color w:val="000000" w:themeColor="text1"/>
                <w:sz w:val="20"/>
                <w:szCs w:val="20"/>
                <w:lang w:eastAsia="ro-MD"/>
              </w:rPr>
              <w:t>5) </w:t>
            </w:r>
            <w:proofErr w:type="spellStart"/>
            <w:r w:rsidRPr="005C3300">
              <w:rPr>
                <w:rFonts w:ascii="Times New Roman" w:eastAsia="Times New Roman" w:hAnsi="Times New Roman" w:cs="Times New Roman"/>
                <w:color w:val="000000" w:themeColor="text1"/>
                <w:sz w:val="20"/>
                <w:szCs w:val="20"/>
                <w:lang w:eastAsia="ro-MD"/>
              </w:rPr>
              <w:t>setul</w:t>
            </w:r>
            <w:proofErr w:type="spellEnd"/>
            <w:r w:rsidRPr="005C3300">
              <w:rPr>
                <w:rFonts w:ascii="Times New Roman" w:eastAsia="Times New Roman" w:hAnsi="Times New Roman" w:cs="Times New Roman"/>
                <w:color w:val="000000" w:themeColor="text1"/>
                <w:sz w:val="20"/>
                <w:szCs w:val="20"/>
                <w:lang w:eastAsia="ro-MD"/>
              </w:rPr>
              <w:t xml:space="preserve"> de date </w:t>
            </w:r>
            <w:proofErr w:type="spellStart"/>
            <w:r w:rsidRPr="005C3300">
              <w:rPr>
                <w:rFonts w:ascii="Times New Roman" w:eastAsia="Times New Roman" w:hAnsi="Times New Roman" w:cs="Times New Roman"/>
                <w:color w:val="000000" w:themeColor="text1"/>
                <w:sz w:val="20"/>
                <w:szCs w:val="20"/>
                <w:lang w:eastAsia="ro-MD"/>
              </w:rPr>
              <w:t>utilizat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calcul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fie </w:t>
            </w:r>
            <w:proofErr w:type="spellStart"/>
            <w:r w:rsidRPr="005C3300">
              <w:rPr>
                <w:rFonts w:ascii="Times New Roman" w:eastAsia="Times New Roman" w:hAnsi="Times New Roman" w:cs="Times New Roman"/>
                <w:color w:val="000000" w:themeColor="text1"/>
                <w:sz w:val="20"/>
                <w:szCs w:val="20"/>
                <w:lang w:eastAsia="ro-MD"/>
              </w:rPr>
              <w:t>actualizat</w:t>
            </w:r>
            <w:proofErr w:type="spellEnd"/>
            <w:r w:rsidRPr="005C3300">
              <w:rPr>
                <w:rFonts w:ascii="Times New Roman" w:eastAsia="Times New Roman" w:hAnsi="Times New Roman" w:cs="Times New Roman"/>
                <w:color w:val="000000" w:themeColor="text1"/>
                <w:sz w:val="20"/>
                <w:szCs w:val="20"/>
                <w:lang w:eastAsia="ro-MD"/>
              </w:rPr>
              <w:t xml:space="preserve"> la </w:t>
            </w:r>
            <w:proofErr w:type="spellStart"/>
            <w:r w:rsidRPr="005C3300">
              <w:rPr>
                <w:rFonts w:ascii="Times New Roman" w:eastAsia="Times New Roman" w:hAnsi="Times New Roman" w:cs="Times New Roman"/>
                <w:color w:val="000000" w:themeColor="text1"/>
                <w:sz w:val="20"/>
                <w:szCs w:val="20"/>
                <w:lang w:eastAsia="ro-MD"/>
              </w:rPr>
              <w:t>fiecare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trei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luni</w:t>
            </w:r>
            <w:proofErr w:type="spellEnd"/>
            <w:r w:rsidRPr="005C3300">
              <w:rPr>
                <w:rFonts w:ascii="Times New Roman" w:eastAsia="Times New Roman" w:hAnsi="Times New Roman" w:cs="Times New Roman"/>
                <w:color w:val="000000" w:themeColor="text1"/>
                <w:sz w:val="20"/>
                <w:szCs w:val="20"/>
                <w:lang w:eastAsia="ro-MD"/>
              </w:rPr>
              <w:t>.</w:t>
            </w:r>
          </w:p>
          <w:p w14:paraId="6FD18D7E" w14:textId="5D439C0B" w:rsidR="00A86C07" w:rsidRPr="005C3300" w:rsidRDefault="00A86C07" w:rsidP="00A86C07">
            <w:pPr>
              <w:shd w:val="clear" w:color="auto" w:fill="FFFFFF"/>
              <w:spacing w:before="120" w:after="0" w:line="312" w:lineRule="atLeast"/>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eastAsia="ro-MD"/>
              </w:rPr>
              <w:t>72</w:t>
            </w:r>
            <w:r w:rsidRPr="005C3300">
              <w:rPr>
                <w:rFonts w:ascii="Times New Roman" w:eastAsia="Times New Roman" w:hAnsi="Times New Roman" w:cs="Times New Roman"/>
                <w:b/>
                <w:bCs/>
                <w:color w:val="000000" w:themeColor="text1"/>
                <w:sz w:val="20"/>
                <w:szCs w:val="20"/>
                <w:vertAlign w:val="superscript"/>
                <w:lang w:eastAsia="ro-MD"/>
              </w:rPr>
              <w:t>10</w:t>
            </w:r>
            <w:r w:rsidRPr="005C3300">
              <w:rPr>
                <w:rFonts w:ascii="Times New Roman" w:eastAsia="Times New Roman" w:hAnsi="Times New Roman" w:cs="Times New Roman"/>
                <w:b/>
                <w:bCs/>
                <w:color w:val="000000" w:themeColor="text1"/>
                <w:sz w:val="20"/>
                <w:szCs w:val="20"/>
                <w:lang w:eastAsia="ro-MD"/>
              </w:rPr>
              <w:t xml:space="preserve">. </w:t>
            </w:r>
            <w:bookmarkStart w:id="30" w:name="_Hlk216704841"/>
            <w:proofErr w:type="spellStart"/>
            <w:r w:rsidRPr="005C3300">
              <w:rPr>
                <w:rFonts w:ascii="Times New Roman" w:eastAsia="Times New Roman" w:hAnsi="Times New Roman" w:cs="Times New Roman"/>
                <w:color w:val="000000" w:themeColor="text1"/>
                <w:sz w:val="20"/>
                <w:szCs w:val="20"/>
                <w:lang w:eastAsia="ro-MD"/>
              </w:rPr>
              <w:t>Dacă</w:t>
            </w:r>
            <w:proofErr w:type="spellEnd"/>
            <w:r w:rsidRPr="005C3300">
              <w:rPr>
                <w:rFonts w:ascii="Times New Roman" w:eastAsia="Times New Roman" w:hAnsi="Times New Roman" w:cs="Times New Roman"/>
                <w:color w:val="000000" w:themeColor="text1"/>
                <w:sz w:val="20"/>
                <w:szCs w:val="20"/>
                <w:lang w:eastAsia="ro-MD"/>
              </w:rPr>
              <w:t xml:space="preserve"> banca are o </w:t>
            </w:r>
            <w:proofErr w:type="spellStart"/>
            <w:r w:rsidRPr="005C3300">
              <w:rPr>
                <w:rFonts w:ascii="Times New Roman" w:eastAsia="Times New Roman" w:hAnsi="Times New Roman" w:cs="Times New Roman"/>
                <w:color w:val="000000" w:themeColor="text1"/>
                <w:sz w:val="20"/>
                <w:szCs w:val="20"/>
                <w:lang w:eastAsia="ro-MD"/>
              </w:rPr>
              <w:t>tranzacție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răscumpărare</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operațiune</w:t>
            </w:r>
            <w:proofErr w:type="spellEnd"/>
            <w:r w:rsidRPr="005C3300">
              <w:rPr>
                <w:rFonts w:ascii="Times New Roman" w:eastAsia="Times New Roman" w:hAnsi="Times New Roman" w:cs="Times New Roman"/>
                <w:color w:val="000000" w:themeColor="text1"/>
                <w:sz w:val="20"/>
                <w:szCs w:val="20"/>
                <w:lang w:eastAsia="ro-MD"/>
              </w:rPr>
              <w:t xml:space="preserve"> de dare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luare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titluri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mărfuri</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împrumut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sau</w:t>
            </w:r>
            <w:proofErr w:type="spellEnd"/>
            <w:r w:rsidRPr="005C3300">
              <w:rPr>
                <w:rFonts w:ascii="Times New Roman" w:eastAsia="Times New Roman" w:hAnsi="Times New Roman" w:cs="Times New Roman"/>
                <w:color w:val="000000" w:themeColor="text1"/>
                <w:sz w:val="20"/>
                <w:szCs w:val="20"/>
                <w:lang w:eastAsia="ro-MD"/>
              </w:rPr>
              <w:t xml:space="preserve"> o </w:t>
            </w:r>
            <w:proofErr w:type="spellStart"/>
            <w:r w:rsidRPr="005C3300">
              <w:rPr>
                <w:rFonts w:ascii="Times New Roman" w:eastAsia="Times New Roman" w:hAnsi="Times New Roman" w:cs="Times New Roman"/>
                <w:color w:val="000000" w:themeColor="text1"/>
                <w:sz w:val="20"/>
                <w:szCs w:val="20"/>
                <w:lang w:eastAsia="ro-MD"/>
              </w:rPr>
              <w:t>tranzacție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creditare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marjă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ori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altă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tranzacție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ori</w:t>
            </w:r>
            <w:proofErr w:type="spellEnd"/>
            <w:r w:rsidRPr="005C3300">
              <w:rPr>
                <w:rFonts w:ascii="Times New Roman" w:eastAsia="Times New Roman" w:hAnsi="Times New Roman" w:cs="Times New Roman"/>
                <w:color w:val="000000" w:themeColor="text1"/>
                <w:sz w:val="20"/>
                <w:szCs w:val="20"/>
                <w:lang w:eastAsia="ro-MD"/>
              </w:rPr>
              <w:t xml:space="preserve"> set de </w:t>
            </w:r>
            <w:proofErr w:type="spellStart"/>
            <w:r w:rsidRPr="005C3300">
              <w:rPr>
                <w:rFonts w:ascii="Times New Roman" w:eastAsia="Times New Roman" w:hAnsi="Times New Roman" w:cs="Times New Roman"/>
                <w:color w:val="000000" w:themeColor="text1"/>
                <w:sz w:val="20"/>
                <w:szCs w:val="20"/>
                <w:lang w:eastAsia="ro-MD"/>
              </w:rPr>
              <w:t>compensare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similare</w:t>
            </w:r>
            <w:proofErr w:type="spellEnd"/>
            <w:r w:rsidRPr="005C3300">
              <w:rPr>
                <w:rFonts w:ascii="Times New Roman" w:eastAsia="Times New Roman" w:hAnsi="Times New Roman" w:cs="Times New Roman"/>
                <w:color w:val="000000" w:themeColor="text1"/>
                <w:sz w:val="20"/>
                <w:szCs w:val="20"/>
                <w:lang w:eastAsia="ro-MD"/>
              </w:rPr>
              <w:t xml:space="preserve">, care </w:t>
            </w:r>
            <w:proofErr w:type="spellStart"/>
            <w:r w:rsidRPr="005C3300">
              <w:rPr>
                <w:rFonts w:ascii="Times New Roman" w:eastAsia="Times New Roman" w:hAnsi="Times New Roman" w:cs="Times New Roman"/>
                <w:color w:val="000000" w:themeColor="text1"/>
                <w:sz w:val="20"/>
                <w:szCs w:val="20"/>
                <w:lang w:eastAsia="ro-MD"/>
              </w:rPr>
              <w:t>îndeplinesc</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criteriile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aferente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valorii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expunerii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pentru</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seturile</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compensare</w:t>
            </w:r>
            <w:proofErr w:type="spellEnd"/>
            <w:r w:rsidRPr="005C3300">
              <w:rPr>
                <w:rFonts w:ascii="Times New Roman" w:eastAsia="Times New Roman" w:hAnsi="Times New Roman" w:cs="Times New Roman"/>
                <w:color w:val="000000" w:themeColor="text1"/>
                <w:sz w:val="20"/>
                <w:szCs w:val="20"/>
                <w:lang w:eastAsia="ro-MD"/>
              </w:rPr>
              <w:t xml:space="preserve"> care fac </w:t>
            </w:r>
            <w:proofErr w:type="spellStart"/>
            <w:r w:rsidRPr="005C3300">
              <w:rPr>
                <w:rFonts w:ascii="Times New Roman" w:eastAsia="Times New Roman" w:hAnsi="Times New Roman" w:cs="Times New Roman"/>
                <w:color w:val="000000" w:themeColor="text1"/>
                <w:sz w:val="20"/>
                <w:szCs w:val="20"/>
                <w:lang w:eastAsia="ro-MD"/>
              </w:rPr>
              <w:t>obiectul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unui</w:t>
            </w:r>
            <w:proofErr w:type="spellEnd"/>
            <w:r w:rsidRPr="005C3300">
              <w:rPr>
                <w:rFonts w:ascii="Times New Roman" w:eastAsia="Times New Roman" w:hAnsi="Times New Roman" w:cs="Times New Roman"/>
                <w:color w:val="000000" w:themeColor="text1"/>
                <w:sz w:val="20"/>
                <w:szCs w:val="20"/>
                <w:lang w:eastAsia="ro-MD"/>
              </w:rPr>
              <w:t xml:space="preserve"> contract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marjă</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stabilite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00CB5953" w:rsidRPr="00CB5953">
              <w:rPr>
                <w:rFonts w:ascii="Times New Roman" w:eastAsia="Times New Roman" w:hAnsi="Times New Roman" w:cs="Times New Roman"/>
                <w:color w:val="000000" w:themeColor="text1"/>
                <w:sz w:val="20"/>
                <w:szCs w:val="20"/>
                <w:lang w:eastAsia="ro-MD"/>
              </w:rPr>
              <w:t>Regulamentul</w:t>
            </w:r>
            <w:proofErr w:type="spellEnd"/>
            <w:r w:rsidR="00CB5953" w:rsidRPr="00CB5953">
              <w:rPr>
                <w:rFonts w:ascii="Times New Roman" w:eastAsia="Times New Roman" w:hAnsi="Times New Roman" w:cs="Times New Roman"/>
                <w:color w:val="000000" w:themeColor="text1"/>
                <w:sz w:val="20"/>
                <w:szCs w:val="20"/>
                <w:lang w:eastAsia="ro-MD"/>
              </w:rPr>
              <w:t xml:space="preserve"> nr.220/2025</w:t>
            </w:r>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perioada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minimă</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deținere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trebuie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să</w:t>
            </w:r>
            <w:proofErr w:type="spellEnd"/>
            <w:r w:rsidRPr="005C3300">
              <w:rPr>
                <w:rFonts w:ascii="Times New Roman" w:eastAsia="Times New Roman" w:hAnsi="Times New Roman" w:cs="Times New Roman"/>
                <w:color w:val="000000" w:themeColor="text1"/>
                <w:sz w:val="20"/>
                <w:szCs w:val="20"/>
                <w:lang w:eastAsia="ro-MD"/>
              </w:rPr>
              <w:t xml:space="preserve"> fie </w:t>
            </w:r>
            <w:proofErr w:type="spellStart"/>
            <w:r w:rsidRPr="005C3300">
              <w:rPr>
                <w:rFonts w:ascii="Times New Roman" w:eastAsia="Times New Roman" w:hAnsi="Times New Roman" w:cs="Times New Roman"/>
                <w:color w:val="000000" w:themeColor="text1"/>
                <w:sz w:val="20"/>
                <w:szCs w:val="20"/>
                <w:lang w:eastAsia="ro-MD"/>
              </w:rPr>
              <w:t>aliniată</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perioada</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risc</w:t>
            </w:r>
            <w:proofErr w:type="spellEnd"/>
            <w:r w:rsidRPr="005C3300">
              <w:rPr>
                <w:rFonts w:ascii="Times New Roman" w:eastAsia="Times New Roman" w:hAnsi="Times New Roman" w:cs="Times New Roman"/>
                <w:color w:val="000000" w:themeColor="text1"/>
                <w:sz w:val="20"/>
                <w:szCs w:val="20"/>
                <w:lang w:eastAsia="ro-MD"/>
              </w:rPr>
              <w:t xml:space="preserve"> de </w:t>
            </w:r>
            <w:proofErr w:type="spellStart"/>
            <w:r w:rsidRPr="005C3300">
              <w:rPr>
                <w:rFonts w:ascii="Times New Roman" w:eastAsia="Times New Roman" w:hAnsi="Times New Roman" w:cs="Times New Roman"/>
                <w:color w:val="000000" w:themeColor="text1"/>
                <w:sz w:val="20"/>
                <w:szCs w:val="20"/>
                <w:lang w:eastAsia="ro-MD"/>
              </w:rPr>
              <w:t>marjă</w:t>
            </w:r>
            <w:proofErr w:type="spellEnd"/>
            <w:r w:rsidRPr="005C3300">
              <w:rPr>
                <w:rFonts w:ascii="Times New Roman" w:eastAsia="Times New Roman" w:hAnsi="Times New Roman" w:cs="Times New Roman"/>
                <w:color w:val="000000" w:themeColor="text1"/>
                <w:sz w:val="20"/>
                <w:szCs w:val="20"/>
                <w:lang w:eastAsia="ro-MD"/>
              </w:rPr>
              <w:t xml:space="preserve"> care s-</w:t>
            </w:r>
            <w:proofErr w:type="spellStart"/>
            <w:r w:rsidRPr="005C3300">
              <w:rPr>
                <w:rFonts w:ascii="Times New Roman" w:eastAsia="Times New Roman" w:hAnsi="Times New Roman" w:cs="Times New Roman"/>
                <w:color w:val="000000" w:themeColor="text1"/>
                <w:sz w:val="20"/>
                <w:szCs w:val="20"/>
                <w:lang w:eastAsia="ro-MD"/>
              </w:rPr>
              <w:t>ar</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aplica</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conformitate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regulamentul</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menționat</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în</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coroborare</w:t>
            </w:r>
            <w:proofErr w:type="spellEnd"/>
            <w:r w:rsidRPr="005C3300">
              <w:rPr>
                <w:rFonts w:ascii="Times New Roman" w:eastAsia="Times New Roman" w:hAnsi="Times New Roman" w:cs="Times New Roman"/>
                <w:color w:val="000000" w:themeColor="text1"/>
                <w:sz w:val="20"/>
                <w:szCs w:val="20"/>
                <w:lang w:eastAsia="ro-MD"/>
              </w:rPr>
              <w:t xml:space="preserve"> cu </w:t>
            </w:r>
            <w:proofErr w:type="spellStart"/>
            <w:r w:rsidRPr="005C3300">
              <w:rPr>
                <w:rFonts w:ascii="Times New Roman" w:eastAsia="Times New Roman" w:hAnsi="Times New Roman" w:cs="Times New Roman"/>
                <w:color w:val="000000" w:themeColor="text1"/>
                <w:sz w:val="20"/>
                <w:szCs w:val="20"/>
                <w:lang w:eastAsia="ro-MD"/>
              </w:rPr>
              <w:t>prevederile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aferente</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reconstituirii</w:t>
            </w:r>
            <w:proofErr w:type="spellEnd"/>
            <w:r w:rsidRPr="005C3300">
              <w:rPr>
                <w:rFonts w:ascii="Times New Roman" w:eastAsia="Times New Roman" w:hAnsi="Times New Roman" w:cs="Times New Roman"/>
                <w:color w:val="000000" w:themeColor="text1"/>
                <w:sz w:val="20"/>
                <w:szCs w:val="20"/>
                <w:lang w:eastAsia="ro-MD"/>
              </w:rPr>
              <w:t xml:space="preserve"> </w:t>
            </w:r>
            <w:proofErr w:type="spellStart"/>
            <w:r w:rsidRPr="005C3300">
              <w:rPr>
                <w:rFonts w:ascii="Times New Roman" w:eastAsia="Times New Roman" w:hAnsi="Times New Roman" w:cs="Times New Roman"/>
                <w:color w:val="000000" w:themeColor="text1"/>
                <w:sz w:val="20"/>
                <w:szCs w:val="20"/>
                <w:lang w:eastAsia="ro-MD"/>
              </w:rPr>
              <w:t>marjei</w:t>
            </w:r>
            <w:proofErr w:type="spellEnd"/>
            <w:r w:rsidRPr="005C3300">
              <w:rPr>
                <w:rFonts w:ascii="Times New Roman" w:eastAsia="Times New Roman" w:hAnsi="Times New Roman" w:cs="Times New Roman"/>
                <w:color w:val="000000" w:themeColor="text1"/>
                <w:sz w:val="20"/>
                <w:szCs w:val="20"/>
                <w:lang w:eastAsia="ro-MD"/>
              </w:rPr>
              <w:t xml:space="preserve"> cu o </w:t>
            </w:r>
            <w:proofErr w:type="spellStart"/>
            <w:r w:rsidRPr="005C3300">
              <w:rPr>
                <w:rFonts w:ascii="Times New Roman" w:eastAsia="Times New Roman" w:hAnsi="Times New Roman" w:cs="Times New Roman"/>
                <w:color w:val="000000" w:themeColor="text1"/>
                <w:sz w:val="20"/>
                <w:szCs w:val="20"/>
                <w:lang w:eastAsia="ro-MD"/>
              </w:rPr>
              <w:t>periodicitate</w:t>
            </w:r>
            <w:proofErr w:type="spellEnd"/>
            <w:r w:rsidRPr="005C3300">
              <w:rPr>
                <w:rFonts w:ascii="Times New Roman" w:eastAsia="Times New Roman" w:hAnsi="Times New Roman" w:cs="Times New Roman"/>
                <w:color w:val="000000" w:themeColor="text1"/>
                <w:sz w:val="20"/>
                <w:szCs w:val="20"/>
                <w:lang w:eastAsia="ro-MD"/>
              </w:rPr>
              <w:t xml:space="preserve"> </w:t>
            </w:r>
            <w:r w:rsidR="00CB5953">
              <w:rPr>
                <w:rFonts w:ascii="Times New Roman" w:eastAsia="Times New Roman" w:hAnsi="Times New Roman" w:cs="Times New Roman"/>
                <w:color w:val="000000" w:themeColor="text1"/>
                <w:sz w:val="20"/>
                <w:szCs w:val="20"/>
                <w:lang w:eastAsia="ro-MD"/>
              </w:rPr>
              <w:t>d</w:t>
            </w:r>
            <w:r w:rsidRPr="005C3300">
              <w:rPr>
                <w:rFonts w:ascii="Times New Roman" w:eastAsia="Times New Roman" w:hAnsi="Times New Roman" w:cs="Times New Roman"/>
                <w:color w:val="000000" w:themeColor="text1"/>
                <w:sz w:val="20"/>
                <w:szCs w:val="20"/>
                <w:lang w:eastAsia="ro-MD"/>
              </w:rPr>
              <w:t xml:space="preserve">e N </w:t>
            </w:r>
            <w:proofErr w:type="spellStart"/>
            <w:r w:rsidRPr="005C3300">
              <w:rPr>
                <w:rFonts w:ascii="Times New Roman" w:eastAsia="Times New Roman" w:hAnsi="Times New Roman" w:cs="Times New Roman"/>
                <w:color w:val="000000" w:themeColor="text1"/>
                <w:sz w:val="20"/>
                <w:szCs w:val="20"/>
                <w:lang w:eastAsia="ro-MD"/>
              </w:rPr>
              <w:t>zile</w:t>
            </w:r>
            <w:bookmarkEnd w:id="30"/>
            <w:proofErr w:type="spellEnd"/>
            <w:r w:rsidRPr="005C3300">
              <w:rPr>
                <w:rFonts w:ascii="Times New Roman" w:eastAsia="Times New Roman" w:hAnsi="Times New Roman" w:cs="Times New Roman"/>
                <w:color w:val="000000" w:themeColor="text1"/>
                <w:sz w:val="20"/>
                <w:szCs w:val="20"/>
                <w:lang w:eastAsia="ro-MD"/>
              </w:rPr>
              <w:t>.</w:t>
            </w:r>
          </w:p>
          <w:p w14:paraId="21FA697D" w14:textId="77777777" w:rsidR="00BE4B87" w:rsidRPr="00E12CB1" w:rsidRDefault="00F27863" w:rsidP="00F27863">
            <w:pPr>
              <w:shd w:val="clear" w:color="auto" w:fill="FFFFFF"/>
              <w:spacing w:after="0" w:line="240" w:lineRule="auto"/>
              <w:jc w:val="both"/>
              <w:rPr>
                <w:rFonts w:ascii="Times New Roman" w:eastAsia="Times New Roman" w:hAnsi="Times New Roman" w:cs="Times New Roman"/>
                <w:color w:val="000000" w:themeColor="text1"/>
                <w:sz w:val="20"/>
                <w:szCs w:val="20"/>
                <w:lang w:val="ro-RO" w:eastAsia="ro-MD"/>
              </w:rPr>
            </w:pPr>
            <w:r w:rsidRPr="00E12CB1">
              <w:rPr>
                <w:rFonts w:ascii="Times New Roman" w:eastAsia="Times New Roman" w:hAnsi="Times New Roman" w:cs="Times New Roman"/>
                <w:b/>
                <w:bCs/>
                <w:color w:val="000000" w:themeColor="text1"/>
                <w:sz w:val="20"/>
                <w:szCs w:val="20"/>
                <w:lang w:val="ro-RO" w:eastAsia="ro-MD"/>
              </w:rPr>
              <w:t>72</w:t>
            </w:r>
            <w:r w:rsidRPr="00E12CB1">
              <w:rPr>
                <w:rFonts w:ascii="Times New Roman" w:eastAsia="Times New Roman" w:hAnsi="Times New Roman" w:cs="Times New Roman"/>
                <w:b/>
                <w:bCs/>
                <w:color w:val="000000" w:themeColor="text1"/>
                <w:sz w:val="20"/>
                <w:szCs w:val="20"/>
                <w:vertAlign w:val="superscript"/>
                <w:lang w:val="ro-RO" w:eastAsia="ro-MD"/>
              </w:rPr>
              <w:t>11</w:t>
            </w:r>
            <w:r w:rsidRPr="00E12CB1">
              <w:rPr>
                <w:rFonts w:ascii="Times New Roman" w:eastAsia="Times New Roman" w:hAnsi="Times New Roman" w:cs="Times New Roman"/>
                <w:b/>
                <w:bCs/>
                <w:color w:val="000000" w:themeColor="text1"/>
                <w:sz w:val="20"/>
                <w:szCs w:val="20"/>
                <w:lang w:val="ro-RO" w:eastAsia="ro-MD"/>
              </w:rPr>
              <w:t xml:space="preserve">. </w:t>
            </w:r>
            <w:r w:rsidRPr="00E12CB1">
              <w:rPr>
                <w:rFonts w:ascii="Times New Roman" w:eastAsia="Times New Roman" w:hAnsi="Times New Roman" w:cs="Times New Roman"/>
                <w:color w:val="000000" w:themeColor="text1"/>
                <w:sz w:val="20"/>
                <w:szCs w:val="20"/>
                <w:lang w:val="ro-RO" w:eastAsia="ro-MD"/>
              </w:rPr>
              <w:t>Pentru obținerea aprobării menționate la punctul 72</w:t>
            </w:r>
            <w:r w:rsidRPr="00E12CB1">
              <w:rPr>
                <w:rFonts w:ascii="Times New Roman" w:eastAsia="Times New Roman" w:hAnsi="Times New Roman" w:cs="Times New Roman"/>
                <w:color w:val="000000" w:themeColor="text1"/>
                <w:sz w:val="20"/>
                <w:szCs w:val="20"/>
                <w:vertAlign w:val="superscript"/>
                <w:lang w:val="ro-RO" w:eastAsia="ro-MD"/>
              </w:rPr>
              <w:t>4</w:t>
            </w:r>
            <w:r w:rsidRPr="00E12CB1">
              <w:rPr>
                <w:rFonts w:ascii="Times New Roman" w:eastAsia="Times New Roman" w:hAnsi="Times New Roman" w:cs="Times New Roman"/>
                <w:color w:val="000000" w:themeColor="text1"/>
                <w:sz w:val="20"/>
                <w:szCs w:val="20"/>
                <w:lang w:val="ro-RO" w:eastAsia="ro-MD"/>
              </w:rPr>
              <w:t xml:space="preserve"> banca va adresa Băncii Naționale a Moldovei în scris o solicitare în acest sens, cu anexarea informației/documentației pertinente din care să rezulte îndeplinirea condițiilor de la punctul respectiv.</w:t>
            </w:r>
          </w:p>
          <w:p w14:paraId="461E4C30" w14:textId="25B73B67" w:rsidR="00F27863" w:rsidRPr="00F27863" w:rsidRDefault="00F27863" w:rsidP="00F27863">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135DA22F" w14:textId="28E9B7E7" w:rsidR="00BE4B87" w:rsidRPr="002C32BA" w:rsidDel="00FB5884" w:rsidRDefault="00DA2AC9"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0A23A943" w14:textId="77777777" w:rsidR="00BE4B87" w:rsidRPr="002C32BA" w:rsidRDefault="00BE4B87" w:rsidP="00D62F3C">
            <w:pPr>
              <w:jc w:val="both"/>
              <w:rPr>
                <w:rFonts w:ascii="Times New Roman" w:hAnsi="Times New Roman" w:cs="Times New Roman"/>
                <w:sz w:val="20"/>
                <w:szCs w:val="20"/>
                <w:lang w:val="ro-RO"/>
              </w:rPr>
            </w:pPr>
          </w:p>
        </w:tc>
      </w:tr>
      <w:tr w:rsidR="00A86C07" w:rsidRPr="002C32BA" w14:paraId="222A702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4BF68533" w14:textId="77777777" w:rsidR="00A86C07" w:rsidRPr="00403CDF" w:rsidRDefault="00A86C07" w:rsidP="00A86C07">
            <w:pPr>
              <w:jc w:val="both"/>
              <w:rPr>
                <w:rFonts w:ascii="Times New Roman" w:hAnsi="Times New Roman"/>
                <w:sz w:val="20"/>
                <w:szCs w:val="20"/>
                <w:lang w:eastAsia="ru-RU"/>
              </w:rPr>
            </w:pPr>
            <w:r w:rsidRPr="00403CDF">
              <w:rPr>
                <w:rFonts w:ascii="Times New Roman" w:hAnsi="Times New Roman"/>
                <w:sz w:val="20"/>
                <w:szCs w:val="20"/>
                <w:lang w:eastAsia="ru-RU"/>
              </w:rPr>
              <w:t>M17 —————</w:t>
            </w:r>
          </w:p>
          <w:p w14:paraId="4B60D8F5" w14:textId="77777777" w:rsidR="00A86C07" w:rsidRPr="00403CDF" w:rsidRDefault="00A86C07" w:rsidP="00A86C07">
            <w:pPr>
              <w:jc w:val="both"/>
              <w:rPr>
                <w:rFonts w:ascii="Times New Roman" w:hAnsi="Times New Roman"/>
                <w:sz w:val="20"/>
                <w:szCs w:val="20"/>
                <w:lang w:eastAsia="ru-RU"/>
              </w:rPr>
            </w:pPr>
            <w:r>
              <w:rPr>
                <w:rFonts w:ascii="Times New Roman" w:hAnsi="Times New Roman"/>
                <w:sz w:val="20"/>
                <w:szCs w:val="20"/>
                <w:lang w:eastAsia="ru-RU"/>
              </w:rPr>
              <w:t xml:space="preserve">(8) – </w:t>
            </w:r>
            <w:proofErr w:type="spellStart"/>
            <w:r>
              <w:rPr>
                <w:rFonts w:ascii="Times New Roman" w:hAnsi="Times New Roman"/>
                <w:sz w:val="20"/>
                <w:szCs w:val="20"/>
                <w:lang w:eastAsia="ru-RU"/>
              </w:rPr>
              <w:t>abrogat</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prin</w:t>
            </w:r>
            <w:proofErr w:type="spellEnd"/>
            <w:r>
              <w:rPr>
                <w:rFonts w:ascii="Times New Roman" w:hAnsi="Times New Roman"/>
                <w:sz w:val="20"/>
                <w:szCs w:val="20"/>
                <w:lang w:eastAsia="ru-RU"/>
              </w:rPr>
              <w:t xml:space="preserve"> M17</w:t>
            </w:r>
          </w:p>
          <w:p w14:paraId="5D700A44" w14:textId="77777777" w:rsidR="00A86C07" w:rsidRPr="00403CDF" w:rsidRDefault="00A86C07" w:rsidP="00A86C07">
            <w:pPr>
              <w:jc w:val="both"/>
              <w:rPr>
                <w:rFonts w:ascii="Times New Roman" w:hAnsi="Times New Roman"/>
                <w:sz w:val="20"/>
                <w:szCs w:val="20"/>
                <w:lang w:eastAsia="ru-RU"/>
              </w:rPr>
            </w:pPr>
            <w:r w:rsidRPr="00403CDF">
              <w:rPr>
                <w:rFonts w:ascii="Times New Roman" w:hAnsi="Times New Roman"/>
                <w:sz w:val="20"/>
                <w:szCs w:val="20"/>
                <w:lang w:eastAsia="ru-RU"/>
              </w:rPr>
              <w:t xml:space="preserve">(9)   ABE </w:t>
            </w:r>
            <w:proofErr w:type="spellStart"/>
            <w:r w:rsidRPr="00403CDF">
              <w:rPr>
                <w:rFonts w:ascii="Times New Roman" w:hAnsi="Times New Roman"/>
                <w:sz w:val="20"/>
                <w:szCs w:val="20"/>
                <w:lang w:eastAsia="ru-RU"/>
              </w:rPr>
              <w:t>elaborează</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proiecte</w:t>
            </w:r>
            <w:proofErr w:type="spellEnd"/>
            <w:r w:rsidRPr="00403CDF">
              <w:rPr>
                <w:rFonts w:ascii="Times New Roman" w:hAnsi="Times New Roman"/>
                <w:sz w:val="20"/>
                <w:szCs w:val="20"/>
                <w:lang w:eastAsia="ru-RU"/>
              </w:rPr>
              <w:t xml:space="preserve"> de </w:t>
            </w:r>
            <w:proofErr w:type="spellStart"/>
            <w:r w:rsidRPr="00403CDF">
              <w:rPr>
                <w:rFonts w:ascii="Times New Roman" w:hAnsi="Times New Roman"/>
                <w:sz w:val="20"/>
                <w:szCs w:val="20"/>
                <w:lang w:eastAsia="ru-RU"/>
              </w:rPr>
              <w:t>standarde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tehnice</w:t>
            </w:r>
            <w:proofErr w:type="spellEnd"/>
            <w:r w:rsidRPr="00403CDF">
              <w:rPr>
                <w:rFonts w:ascii="Times New Roman" w:hAnsi="Times New Roman"/>
                <w:sz w:val="20"/>
                <w:szCs w:val="20"/>
                <w:lang w:eastAsia="ru-RU"/>
              </w:rPr>
              <w:t xml:space="preserve"> de </w:t>
            </w:r>
            <w:proofErr w:type="spellStart"/>
            <w:r w:rsidRPr="00403CDF">
              <w:rPr>
                <w:rFonts w:ascii="Times New Roman" w:hAnsi="Times New Roman"/>
                <w:sz w:val="20"/>
                <w:szCs w:val="20"/>
                <w:lang w:eastAsia="ru-RU"/>
              </w:rPr>
              <w:t>reglementare</w:t>
            </w:r>
            <w:proofErr w:type="spellEnd"/>
            <w:r w:rsidRPr="00403CDF">
              <w:rPr>
                <w:rFonts w:ascii="Times New Roman" w:hAnsi="Times New Roman"/>
                <w:sz w:val="20"/>
                <w:szCs w:val="20"/>
                <w:lang w:eastAsia="ru-RU"/>
              </w:rPr>
              <w:t xml:space="preserve"> care </w:t>
            </w:r>
            <w:proofErr w:type="spellStart"/>
            <w:r w:rsidRPr="00403CDF">
              <w:rPr>
                <w:rFonts w:ascii="Times New Roman" w:hAnsi="Times New Roman"/>
                <w:sz w:val="20"/>
                <w:szCs w:val="20"/>
                <w:lang w:eastAsia="ru-RU"/>
              </w:rPr>
              <w:t>să</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specifice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următoarele</w:t>
            </w:r>
            <w:proofErr w:type="spellEnd"/>
            <w:r w:rsidRPr="00403CDF">
              <w:rPr>
                <w:rFonts w:ascii="Times New Roman" w:hAnsi="Times New Roman"/>
                <w:sz w:val="20"/>
                <w:szCs w:val="20"/>
                <w:lang w:eastAsia="ru-RU"/>
              </w:rPr>
              <w:t>:</w:t>
            </w:r>
          </w:p>
          <w:p w14:paraId="2E46B5AF" w14:textId="77777777" w:rsidR="00A86C07" w:rsidRPr="00403CDF" w:rsidRDefault="00A86C07" w:rsidP="00A86C07">
            <w:pPr>
              <w:jc w:val="both"/>
              <w:rPr>
                <w:rFonts w:ascii="Times New Roman" w:hAnsi="Times New Roman"/>
                <w:sz w:val="20"/>
                <w:szCs w:val="20"/>
                <w:lang w:eastAsia="ru-RU"/>
              </w:rPr>
            </w:pPr>
            <w:r w:rsidRPr="00403CDF">
              <w:rPr>
                <w:rFonts w:ascii="Times New Roman" w:hAnsi="Times New Roman"/>
                <w:sz w:val="20"/>
                <w:szCs w:val="20"/>
                <w:lang w:eastAsia="ru-RU"/>
              </w:rPr>
              <w:t xml:space="preserve">(a) </w:t>
            </w:r>
            <w:proofErr w:type="spellStart"/>
            <w:r w:rsidRPr="00403CDF">
              <w:rPr>
                <w:rFonts w:ascii="Times New Roman" w:hAnsi="Times New Roman"/>
                <w:sz w:val="20"/>
                <w:szCs w:val="20"/>
                <w:lang w:eastAsia="ru-RU"/>
              </w:rPr>
              <w:t>ce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anume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reprezintă</w:t>
            </w:r>
            <w:proofErr w:type="spellEnd"/>
            <w:r w:rsidRPr="00403CDF">
              <w:rPr>
                <w:rFonts w:ascii="Times New Roman" w:hAnsi="Times New Roman"/>
                <w:sz w:val="20"/>
                <w:szCs w:val="20"/>
                <w:lang w:eastAsia="ru-RU"/>
              </w:rPr>
              <w:t xml:space="preserve"> un </w:t>
            </w:r>
            <w:proofErr w:type="spellStart"/>
            <w:r w:rsidRPr="00403CDF">
              <w:rPr>
                <w:rFonts w:ascii="Times New Roman" w:hAnsi="Times New Roman"/>
                <w:sz w:val="20"/>
                <w:szCs w:val="20"/>
                <w:lang w:eastAsia="ru-RU"/>
              </w:rPr>
              <w:t>portofoliu</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nesemnificativ</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în</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sensul</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alineatului</w:t>
            </w:r>
            <w:proofErr w:type="spellEnd"/>
            <w:r w:rsidRPr="00403CDF">
              <w:rPr>
                <w:rFonts w:ascii="Times New Roman" w:hAnsi="Times New Roman"/>
                <w:sz w:val="20"/>
                <w:szCs w:val="20"/>
                <w:lang w:eastAsia="ru-RU"/>
              </w:rPr>
              <w:t xml:space="preserve"> (3</w:t>
            </w:r>
            <w:proofErr w:type="gramStart"/>
            <w:r w:rsidRPr="00403CDF">
              <w:rPr>
                <w:rFonts w:ascii="Times New Roman" w:hAnsi="Times New Roman"/>
                <w:sz w:val="20"/>
                <w:szCs w:val="20"/>
                <w:lang w:eastAsia="ru-RU"/>
              </w:rPr>
              <w:t>);</w:t>
            </w:r>
            <w:proofErr w:type="gramEnd"/>
          </w:p>
          <w:p w14:paraId="69B4D263" w14:textId="77777777" w:rsidR="00A86C07" w:rsidRPr="00403CDF" w:rsidRDefault="00A86C07" w:rsidP="00A86C07">
            <w:pPr>
              <w:jc w:val="both"/>
              <w:rPr>
                <w:rFonts w:ascii="Times New Roman" w:hAnsi="Times New Roman"/>
                <w:sz w:val="20"/>
                <w:szCs w:val="20"/>
                <w:lang w:eastAsia="ru-RU"/>
              </w:rPr>
            </w:pPr>
            <w:r w:rsidRPr="00403CDF">
              <w:rPr>
                <w:rFonts w:ascii="Times New Roman" w:hAnsi="Times New Roman"/>
                <w:sz w:val="20"/>
                <w:szCs w:val="20"/>
                <w:lang w:eastAsia="ru-RU"/>
              </w:rPr>
              <w:t xml:space="preserve">(b) </w:t>
            </w:r>
            <w:proofErr w:type="spellStart"/>
            <w:r w:rsidRPr="00403CDF">
              <w:rPr>
                <w:rFonts w:ascii="Times New Roman" w:hAnsi="Times New Roman"/>
                <w:sz w:val="20"/>
                <w:szCs w:val="20"/>
                <w:lang w:eastAsia="ru-RU"/>
              </w:rPr>
              <w:t>criteriile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după</w:t>
            </w:r>
            <w:proofErr w:type="spellEnd"/>
            <w:r w:rsidRPr="00403CDF">
              <w:rPr>
                <w:rFonts w:ascii="Times New Roman" w:hAnsi="Times New Roman"/>
                <w:sz w:val="20"/>
                <w:szCs w:val="20"/>
                <w:lang w:eastAsia="ru-RU"/>
              </w:rPr>
              <w:t xml:space="preserve"> care se </w:t>
            </w:r>
            <w:proofErr w:type="spellStart"/>
            <w:r w:rsidRPr="00403CDF">
              <w:rPr>
                <w:rFonts w:ascii="Times New Roman" w:hAnsi="Times New Roman"/>
                <w:sz w:val="20"/>
                <w:szCs w:val="20"/>
                <w:lang w:eastAsia="ru-RU"/>
              </w:rPr>
              <w:t>determină</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dacă</w:t>
            </w:r>
            <w:proofErr w:type="spellEnd"/>
            <w:r w:rsidRPr="00403CDF">
              <w:rPr>
                <w:rFonts w:ascii="Times New Roman" w:hAnsi="Times New Roman"/>
                <w:sz w:val="20"/>
                <w:szCs w:val="20"/>
                <w:lang w:eastAsia="ru-RU"/>
              </w:rPr>
              <w:t xml:space="preserve"> un model intern </w:t>
            </w:r>
            <w:proofErr w:type="spellStart"/>
            <w:r w:rsidRPr="00403CDF">
              <w:rPr>
                <w:rFonts w:ascii="Times New Roman" w:hAnsi="Times New Roman"/>
                <w:sz w:val="20"/>
                <w:szCs w:val="20"/>
                <w:lang w:eastAsia="ru-RU"/>
              </w:rPr>
              <w:t>este</w:t>
            </w:r>
            <w:proofErr w:type="spellEnd"/>
            <w:r w:rsidRPr="00403CDF">
              <w:rPr>
                <w:rFonts w:ascii="Times New Roman" w:hAnsi="Times New Roman"/>
                <w:sz w:val="20"/>
                <w:szCs w:val="20"/>
                <w:lang w:eastAsia="ru-RU"/>
              </w:rPr>
              <w:t xml:space="preserve"> solid </w:t>
            </w:r>
            <w:proofErr w:type="spellStart"/>
            <w:r w:rsidRPr="00403CDF">
              <w:rPr>
                <w:rFonts w:ascii="Times New Roman" w:hAnsi="Times New Roman"/>
                <w:sz w:val="20"/>
                <w:szCs w:val="20"/>
                <w:lang w:eastAsia="ru-RU"/>
              </w:rPr>
              <w:t>și</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este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aplicat</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corect</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în</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sensul</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alineatelor</w:t>
            </w:r>
            <w:proofErr w:type="spellEnd"/>
            <w:r w:rsidRPr="00403CDF">
              <w:rPr>
                <w:rFonts w:ascii="Times New Roman" w:hAnsi="Times New Roman"/>
                <w:sz w:val="20"/>
                <w:szCs w:val="20"/>
                <w:lang w:eastAsia="ru-RU"/>
              </w:rPr>
              <w:t xml:space="preserve"> (4) </w:t>
            </w:r>
            <w:proofErr w:type="spellStart"/>
            <w:r w:rsidRPr="00403CDF">
              <w:rPr>
                <w:rFonts w:ascii="Times New Roman" w:hAnsi="Times New Roman"/>
                <w:sz w:val="20"/>
                <w:szCs w:val="20"/>
                <w:lang w:eastAsia="ru-RU"/>
              </w:rPr>
              <w:t>și</w:t>
            </w:r>
            <w:proofErr w:type="spellEnd"/>
            <w:r w:rsidRPr="00403CDF">
              <w:rPr>
                <w:rFonts w:ascii="Times New Roman" w:hAnsi="Times New Roman"/>
                <w:sz w:val="20"/>
                <w:szCs w:val="20"/>
                <w:lang w:eastAsia="ru-RU"/>
              </w:rPr>
              <w:t xml:space="preserve"> (5) </w:t>
            </w:r>
            <w:proofErr w:type="spellStart"/>
            <w:r w:rsidRPr="00403CDF">
              <w:rPr>
                <w:rFonts w:ascii="Times New Roman" w:hAnsi="Times New Roman"/>
                <w:sz w:val="20"/>
                <w:szCs w:val="20"/>
                <w:lang w:eastAsia="ru-RU"/>
              </w:rPr>
              <w:t>și</w:t>
            </w:r>
            <w:proofErr w:type="spellEnd"/>
            <w:r w:rsidRPr="00403CDF">
              <w:rPr>
                <w:rFonts w:ascii="Times New Roman" w:hAnsi="Times New Roman"/>
                <w:sz w:val="20"/>
                <w:szCs w:val="20"/>
                <w:lang w:eastAsia="ru-RU"/>
              </w:rPr>
              <w:t xml:space="preserve"> al </w:t>
            </w:r>
            <w:proofErr w:type="spellStart"/>
            <w:r w:rsidRPr="00403CDF">
              <w:rPr>
                <w:rFonts w:ascii="Times New Roman" w:hAnsi="Times New Roman"/>
                <w:sz w:val="20"/>
                <w:szCs w:val="20"/>
                <w:lang w:eastAsia="ru-RU"/>
              </w:rPr>
              <w:t>acordurilor-cadru</w:t>
            </w:r>
            <w:proofErr w:type="spellEnd"/>
            <w:r w:rsidRPr="00403CDF">
              <w:rPr>
                <w:rFonts w:ascii="Times New Roman" w:hAnsi="Times New Roman"/>
                <w:sz w:val="20"/>
                <w:szCs w:val="20"/>
                <w:lang w:eastAsia="ru-RU"/>
              </w:rPr>
              <w:t xml:space="preserve"> de </w:t>
            </w:r>
            <w:proofErr w:type="spellStart"/>
            <w:r w:rsidRPr="00403CDF">
              <w:rPr>
                <w:rFonts w:ascii="Times New Roman" w:hAnsi="Times New Roman"/>
                <w:sz w:val="20"/>
                <w:szCs w:val="20"/>
                <w:lang w:eastAsia="ru-RU"/>
              </w:rPr>
              <w:t>compensare</w:t>
            </w:r>
            <w:proofErr w:type="spellEnd"/>
            <w:r w:rsidRPr="00403CDF">
              <w:rPr>
                <w:rFonts w:ascii="Times New Roman" w:hAnsi="Times New Roman"/>
                <w:sz w:val="20"/>
                <w:szCs w:val="20"/>
                <w:lang w:eastAsia="ru-RU"/>
              </w:rPr>
              <w:t>.</w:t>
            </w:r>
          </w:p>
          <w:p w14:paraId="58F81BAC" w14:textId="77777777" w:rsidR="00A86C07" w:rsidRPr="00403CDF" w:rsidRDefault="00A86C07" w:rsidP="00A86C07">
            <w:pPr>
              <w:jc w:val="both"/>
              <w:rPr>
                <w:rFonts w:ascii="Times New Roman" w:hAnsi="Times New Roman"/>
                <w:sz w:val="20"/>
                <w:szCs w:val="20"/>
                <w:lang w:eastAsia="ru-RU"/>
              </w:rPr>
            </w:pPr>
            <w:r w:rsidRPr="00403CDF">
              <w:rPr>
                <w:rFonts w:ascii="Times New Roman" w:hAnsi="Times New Roman"/>
                <w:sz w:val="20"/>
                <w:szCs w:val="20"/>
                <w:lang w:eastAsia="ru-RU"/>
              </w:rPr>
              <w:t xml:space="preserve">ABE </w:t>
            </w:r>
            <w:proofErr w:type="spellStart"/>
            <w:r w:rsidRPr="00403CDF">
              <w:rPr>
                <w:rFonts w:ascii="Times New Roman" w:hAnsi="Times New Roman"/>
                <w:sz w:val="20"/>
                <w:szCs w:val="20"/>
                <w:lang w:eastAsia="ru-RU"/>
              </w:rPr>
              <w:t>transmite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Comisiei</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proiectele</w:t>
            </w:r>
            <w:proofErr w:type="spellEnd"/>
            <w:r w:rsidRPr="00403CDF">
              <w:rPr>
                <w:rFonts w:ascii="Times New Roman" w:hAnsi="Times New Roman"/>
                <w:sz w:val="20"/>
                <w:szCs w:val="20"/>
                <w:lang w:eastAsia="ru-RU"/>
              </w:rPr>
              <w:t xml:space="preserve"> respective de </w:t>
            </w:r>
            <w:proofErr w:type="spellStart"/>
            <w:r w:rsidRPr="00403CDF">
              <w:rPr>
                <w:rFonts w:ascii="Times New Roman" w:hAnsi="Times New Roman"/>
                <w:sz w:val="20"/>
                <w:szCs w:val="20"/>
                <w:lang w:eastAsia="ru-RU"/>
              </w:rPr>
              <w:t>standarde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tehnice</w:t>
            </w:r>
            <w:proofErr w:type="spellEnd"/>
            <w:r w:rsidRPr="00403CDF">
              <w:rPr>
                <w:rFonts w:ascii="Times New Roman" w:hAnsi="Times New Roman"/>
                <w:sz w:val="20"/>
                <w:szCs w:val="20"/>
                <w:lang w:eastAsia="ru-RU"/>
              </w:rPr>
              <w:t xml:space="preserve"> de </w:t>
            </w:r>
            <w:proofErr w:type="spellStart"/>
            <w:r w:rsidRPr="00403CDF">
              <w:rPr>
                <w:rFonts w:ascii="Times New Roman" w:hAnsi="Times New Roman"/>
                <w:sz w:val="20"/>
                <w:szCs w:val="20"/>
                <w:lang w:eastAsia="ru-RU"/>
              </w:rPr>
              <w:t>reglementare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până</w:t>
            </w:r>
            <w:proofErr w:type="spellEnd"/>
            <w:r w:rsidRPr="00403CDF">
              <w:rPr>
                <w:rFonts w:ascii="Times New Roman" w:hAnsi="Times New Roman"/>
                <w:sz w:val="20"/>
                <w:szCs w:val="20"/>
                <w:lang w:eastAsia="ru-RU"/>
              </w:rPr>
              <w:t xml:space="preserve"> la 31 </w:t>
            </w:r>
            <w:proofErr w:type="spellStart"/>
            <w:r w:rsidRPr="00403CDF">
              <w:rPr>
                <w:rFonts w:ascii="Times New Roman" w:hAnsi="Times New Roman"/>
                <w:sz w:val="20"/>
                <w:szCs w:val="20"/>
                <w:lang w:eastAsia="ru-RU"/>
              </w:rPr>
              <w:t>decembrie</w:t>
            </w:r>
            <w:proofErr w:type="spellEnd"/>
            <w:r w:rsidRPr="00403CDF">
              <w:rPr>
                <w:rFonts w:ascii="Times New Roman" w:hAnsi="Times New Roman"/>
                <w:sz w:val="20"/>
                <w:szCs w:val="20"/>
                <w:lang w:eastAsia="ru-RU"/>
              </w:rPr>
              <w:t xml:space="preserve"> 2015.</w:t>
            </w:r>
          </w:p>
          <w:p w14:paraId="549D630C" w14:textId="414A6B0D" w:rsidR="00A86C07" w:rsidRPr="00403CDF" w:rsidRDefault="00A86C07" w:rsidP="00A86C07">
            <w:pPr>
              <w:jc w:val="both"/>
              <w:rPr>
                <w:rFonts w:ascii="Times New Roman" w:hAnsi="Times New Roman"/>
                <w:sz w:val="20"/>
                <w:szCs w:val="20"/>
                <w:lang w:eastAsia="ru-RU"/>
              </w:rPr>
            </w:pPr>
            <w:r w:rsidRPr="00403CDF">
              <w:rPr>
                <w:rFonts w:ascii="Times New Roman" w:hAnsi="Times New Roman"/>
                <w:sz w:val="20"/>
                <w:szCs w:val="20"/>
                <w:lang w:eastAsia="ru-RU"/>
              </w:rPr>
              <w:t xml:space="preserve">Se </w:t>
            </w:r>
            <w:proofErr w:type="spellStart"/>
            <w:r w:rsidRPr="00403CDF">
              <w:rPr>
                <w:rFonts w:ascii="Times New Roman" w:hAnsi="Times New Roman"/>
                <w:sz w:val="20"/>
                <w:szCs w:val="20"/>
                <w:lang w:eastAsia="ru-RU"/>
              </w:rPr>
              <w:t>deleagă</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Comisiei</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competența</w:t>
            </w:r>
            <w:proofErr w:type="spellEnd"/>
            <w:r w:rsidRPr="00403CDF">
              <w:rPr>
                <w:rFonts w:ascii="Times New Roman" w:hAnsi="Times New Roman"/>
                <w:sz w:val="20"/>
                <w:szCs w:val="20"/>
                <w:lang w:eastAsia="ru-RU"/>
              </w:rPr>
              <w:t xml:space="preserve"> de </w:t>
            </w:r>
            <w:proofErr w:type="gramStart"/>
            <w:r w:rsidRPr="00403CDF">
              <w:rPr>
                <w:rFonts w:ascii="Times New Roman" w:hAnsi="Times New Roman"/>
                <w:sz w:val="20"/>
                <w:szCs w:val="20"/>
                <w:lang w:eastAsia="ru-RU"/>
              </w:rPr>
              <w:t>a</w:t>
            </w:r>
            <w:proofErr w:type="gram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adopta</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standardele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tehnice</w:t>
            </w:r>
            <w:proofErr w:type="spellEnd"/>
            <w:r w:rsidRPr="00403CDF">
              <w:rPr>
                <w:rFonts w:ascii="Times New Roman" w:hAnsi="Times New Roman"/>
                <w:sz w:val="20"/>
                <w:szCs w:val="20"/>
                <w:lang w:eastAsia="ru-RU"/>
              </w:rPr>
              <w:t xml:space="preserve"> de </w:t>
            </w:r>
            <w:proofErr w:type="spellStart"/>
            <w:r w:rsidRPr="00403CDF">
              <w:rPr>
                <w:rFonts w:ascii="Times New Roman" w:hAnsi="Times New Roman"/>
                <w:sz w:val="20"/>
                <w:szCs w:val="20"/>
                <w:lang w:eastAsia="ru-RU"/>
              </w:rPr>
              <w:t>reglementare</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menționate</w:t>
            </w:r>
            <w:proofErr w:type="spellEnd"/>
            <w:r w:rsidRPr="00403CDF">
              <w:rPr>
                <w:rFonts w:ascii="Times New Roman" w:hAnsi="Times New Roman"/>
                <w:sz w:val="20"/>
                <w:szCs w:val="20"/>
                <w:lang w:eastAsia="ru-RU"/>
              </w:rPr>
              <w:t xml:space="preserve"> la </w:t>
            </w:r>
            <w:proofErr w:type="spellStart"/>
            <w:r w:rsidRPr="00403CDF">
              <w:rPr>
                <w:rFonts w:ascii="Times New Roman" w:hAnsi="Times New Roman"/>
                <w:sz w:val="20"/>
                <w:szCs w:val="20"/>
                <w:lang w:eastAsia="ru-RU"/>
              </w:rPr>
              <w:t>primul</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paragraf</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în</w:t>
            </w:r>
            <w:proofErr w:type="spellEnd"/>
            <w:r w:rsidRPr="00403CDF">
              <w:rPr>
                <w:rFonts w:ascii="Times New Roman" w:hAnsi="Times New Roman"/>
                <w:sz w:val="20"/>
                <w:szCs w:val="20"/>
                <w:lang w:eastAsia="ru-RU"/>
              </w:rPr>
              <w:t xml:space="preserve"> </w:t>
            </w:r>
            <w:proofErr w:type="spellStart"/>
            <w:r w:rsidRPr="00403CDF">
              <w:rPr>
                <w:rFonts w:ascii="Times New Roman" w:hAnsi="Times New Roman"/>
                <w:sz w:val="20"/>
                <w:szCs w:val="20"/>
                <w:lang w:eastAsia="ru-RU"/>
              </w:rPr>
              <w:t>conformitate</w:t>
            </w:r>
            <w:proofErr w:type="spellEnd"/>
            <w:r w:rsidRPr="00403CDF">
              <w:rPr>
                <w:rFonts w:ascii="Times New Roman" w:hAnsi="Times New Roman"/>
                <w:sz w:val="20"/>
                <w:szCs w:val="20"/>
                <w:lang w:eastAsia="ru-RU"/>
              </w:rPr>
              <w:t xml:space="preserve"> cu </w:t>
            </w:r>
            <w:proofErr w:type="spellStart"/>
            <w:r w:rsidRPr="00403CDF">
              <w:rPr>
                <w:rFonts w:ascii="Times New Roman" w:hAnsi="Times New Roman"/>
                <w:sz w:val="20"/>
                <w:szCs w:val="20"/>
                <w:lang w:eastAsia="ru-RU"/>
              </w:rPr>
              <w:t>articolele</w:t>
            </w:r>
            <w:proofErr w:type="spellEnd"/>
            <w:r w:rsidRPr="00403CDF">
              <w:rPr>
                <w:rFonts w:ascii="Times New Roman" w:hAnsi="Times New Roman"/>
                <w:sz w:val="20"/>
                <w:szCs w:val="20"/>
                <w:lang w:eastAsia="ru-RU"/>
              </w:rPr>
              <w:t xml:space="preserve"> 10-14 din </w:t>
            </w:r>
            <w:proofErr w:type="spellStart"/>
            <w:r w:rsidRPr="00403CDF">
              <w:rPr>
                <w:rFonts w:ascii="Times New Roman" w:hAnsi="Times New Roman"/>
                <w:sz w:val="20"/>
                <w:szCs w:val="20"/>
                <w:lang w:eastAsia="ru-RU"/>
              </w:rPr>
              <w:t>Regulamentul</w:t>
            </w:r>
            <w:proofErr w:type="spellEnd"/>
            <w:r w:rsidRPr="00403CDF">
              <w:rPr>
                <w:rFonts w:ascii="Times New Roman" w:hAnsi="Times New Roman"/>
                <w:sz w:val="20"/>
                <w:szCs w:val="20"/>
                <w:lang w:eastAsia="ru-RU"/>
              </w:rPr>
              <w:t xml:space="preserve"> (UE) nr. 1093/2010.</w:t>
            </w:r>
          </w:p>
        </w:tc>
        <w:tc>
          <w:tcPr>
            <w:tcW w:w="1636" w:type="pct"/>
            <w:shd w:val="clear" w:color="auto" w:fill="auto"/>
          </w:tcPr>
          <w:p w14:paraId="34EDA118" w14:textId="77777777" w:rsidR="00A86C07" w:rsidRPr="005C3300" w:rsidRDefault="00A86C07" w:rsidP="00A86C07">
            <w:pPr>
              <w:shd w:val="clear" w:color="auto" w:fill="FFFFFF"/>
              <w:spacing w:after="0" w:line="240" w:lineRule="auto"/>
              <w:ind w:firstLine="567"/>
              <w:jc w:val="both"/>
              <w:rPr>
                <w:rFonts w:ascii="Times New Roman" w:eastAsia="Times New Roman" w:hAnsi="Times New Roman" w:cs="Times New Roman"/>
                <w:b/>
                <w:bCs/>
                <w:color w:val="000000" w:themeColor="text1"/>
                <w:sz w:val="20"/>
                <w:szCs w:val="20"/>
                <w:lang w:eastAsia="ro-MD"/>
              </w:rPr>
            </w:pPr>
          </w:p>
        </w:tc>
        <w:tc>
          <w:tcPr>
            <w:tcW w:w="562" w:type="pct"/>
          </w:tcPr>
          <w:p w14:paraId="1B49F87A" w14:textId="3D1AE667" w:rsidR="00A86C07" w:rsidRPr="002C32BA" w:rsidDel="00FB5884" w:rsidRDefault="00F27863" w:rsidP="00D62F3C">
            <w:pPr>
              <w:rPr>
                <w:rFonts w:ascii="Times New Roman" w:hAnsi="Times New Roman" w:cs="Times New Roman"/>
                <w:sz w:val="20"/>
                <w:szCs w:val="20"/>
                <w:lang w:val="ro-RO"/>
              </w:rPr>
            </w:pPr>
            <w:r>
              <w:rPr>
                <w:rFonts w:ascii="Times New Roman" w:hAnsi="Times New Roman" w:cs="Times New Roman"/>
                <w:sz w:val="20"/>
                <w:szCs w:val="20"/>
                <w:lang w:val="ro-RO"/>
              </w:rPr>
              <w:t>Prevederi UE neaplicabile</w:t>
            </w:r>
          </w:p>
        </w:tc>
        <w:tc>
          <w:tcPr>
            <w:tcW w:w="885" w:type="pct"/>
          </w:tcPr>
          <w:p w14:paraId="7FCE233A" w14:textId="7081CA78" w:rsidR="00A86C07" w:rsidRPr="00F27863" w:rsidRDefault="00F27863"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Vizează competențele ABE</w:t>
            </w:r>
            <w:r w:rsidR="00DA2AC9">
              <w:rPr>
                <w:rFonts w:ascii="Times New Roman" w:hAnsi="Times New Roman" w:cs="Times New Roman"/>
                <w:sz w:val="20"/>
                <w:szCs w:val="20"/>
                <w:lang w:val="ro-RO"/>
              </w:rPr>
              <w:t>.</w:t>
            </w:r>
          </w:p>
        </w:tc>
      </w:tr>
      <w:tr w:rsidR="00D62F3C" w:rsidRPr="002C32BA" w14:paraId="103A21A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E1D7E9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222</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Metoda simplă a garanțiilor financiare</w:t>
            </w:r>
          </w:p>
          <w:p w14:paraId="00FDAC14" w14:textId="77777777" w:rsidR="00907D9E"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(1) Instituțiile pot utiliza metoda simplă a garanțiilor financiare numai în cazul în care calculează cuantumurile ponderate la risc ale expunerilor conform abordării standardizate. Instituțiile nu trebuie să utilizeze atât metoda simplă a garanțiilor financiare, cât și metoda extinsă a garanțiilor financiare, decât pentru scopurile articolului 148 alineatul (1) și ale articolului 150 alineatul (1). </w:t>
            </w:r>
          </w:p>
          <w:p w14:paraId="1484663B" w14:textId="77777777" w:rsidR="00907D9E" w:rsidRDefault="00907D9E" w:rsidP="00D62F3C">
            <w:pPr>
              <w:pStyle w:val="CM4"/>
              <w:tabs>
                <w:tab w:val="left" w:pos="150"/>
              </w:tabs>
              <w:ind w:left="-43"/>
              <w:jc w:val="both"/>
              <w:rPr>
                <w:rFonts w:ascii="Times New Roman" w:hAnsi="Times New Roman"/>
                <w:iCs/>
                <w:sz w:val="20"/>
                <w:szCs w:val="20"/>
                <w:lang w:val="ro-RO" w:eastAsia="ru-RU"/>
              </w:rPr>
            </w:pPr>
          </w:p>
          <w:p w14:paraId="1C8D6E00" w14:textId="2351CF24"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Instituțiile nu trebuie să utilizeze această excepție în mod selectiv, pentru a reduce cerințele de fonduri proprii sau pentru a efectua un arbitraj de reglementare.</w:t>
            </w:r>
          </w:p>
        </w:tc>
        <w:tc>
          <w:tcPr>
            <w:tcW w:w="1636" w:type="pct"/>
            <w:shd w:val="clear" w:color="auto" w:fill="auto"/>
          </w:tcPr>
          <w:p w14:paraId="78C1A9F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Secțiunea a 3-a. </w:t>
            </w:r>
            <w:proofErr w:type="spellStart"/>
            <w:r w:rsidRPr="002C32BA">
              <w:rPr>
                <w:rFonts w:ascii="Times New Roman" w:hAnsi="Times New Roman"/>
                <w:sz w:val="20"/>
                <w:szCs w:val="20"/>
                <w:lang w:val="ro-RO" w:eastAsia="ru-RU"/>
              </w:rPr>
              <w:t>Dispoziţii</w:t>
            </w:r>
            <w:proofErr w:type="spellEnd"/>
            <w:r w:rsidRPr="002C32BA">
              <w:rPr>
                <w:rFonts w:ascii="Times New Roman" w:hAnsi="Times New Roman"/>
                <w:sz w:val="20"/>
                <w:szCs w:val="20"/>
                <w:lang w:val="ro-RO" w:eastAsia="ru-RU"/>
              </w:rPr>
              <w:t xml:space="preserve"> generale cu privire la metodele aplicabile în cazul </w:t>
            </w:r>
            <w:proofErr w:type="spellStart"/>
            <w:r w:rsidRPr="002C32BA">
              <w:rPr>
                <w:rFonts w:ascii="Times New Roman" w:hAnsi="Times New Roman"/>
                <w:sz w:val="20"/>
                <w:szCs w:val="20"/>
                <w:lang w:val="ro-RO" w:eastAsia="ru-RU"/>
              </w:rPr>
              <w:t>garanţiilor</w:t>
            </w:r>
            <w:proofErr w:type="spellEnd"/>
            <w:r w:rsidRPr="002C32BA">
              <w:rPr>
                <w:rFonts w:ascii="Times New Roman" w:hAnsi="Times New Roman"/>
                <w:sz w:val="20"/>
                <w:szCs w:val="20"/>
                <w:lang w:val="ro-RO" w:eastAsia="ru-RU"/>
              </w:rPr>
              <w:t xml:space="preserve"> financiare  </w:t>
            </w:r>
          </w:p>
          <w:p w14:paraId="38A39E16"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32CE4749" w14:textId="69E04115" w:rsidR="00907D9E" w:rsidRPr="005C3300" w:rsidRDefault="00907D9E" w:rsidP="00907D9E">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73.</w:t>
            </w:r>
            <w:r w:rsidRPr="005C3300">
              <w:rPr>
                <w:rFonts w:ascii="Times New Roman" w:eastAsia="Times New Roman" w:hAnsi="Times New Roman" w:cs="Times New Roman"/>
                <w:color w:val="000000" w:themeColor="text1"/>
                <w:sz w:val="20"/>
                <w:szCs w:val="20"/>
                <w:lang w:val="ro-RO" w:eastAsia="ro-MD"/>
              </w:rPr>
              <w:t xml:space="preserve"> Pentru calculul valorilor ponderate la risc ale expunerilor garantate cu garanția financiară se poate utiliza metoda simplă a garanțiilor financiare în condițiile secțiunii 4 sau metoda extinsă a garanțiilor financiare în condițiile secțiunii 5 din prezentul capitol. Băncile pot utiliza metoda simplă a garanțiilor financiare numai în cazul în care calculează valorile ponderate la risc ale expunerilor conform abordării standardizate.</w:t>
            </w:r>
          </w:p>
          <w:p w14:paraId="1C58F672" w14:textId="77777777" w:rsidR="00D62F3C" w:rsidRDefault="00907D9E" w:rsidP="00907D9E">
            <w:pPr>
              <w:pStyle w:val="CM4"/>
              <w:tabs>
                <w:tab w:val="left" w:pos="150"/>
              </w:tabs>
              <w:ind w:left="-36"/>
              <w:rPr>
                <w:rFonts w:ascii="Times New Roman" w:hAnsi="Times New Roman"/>
                <w:color w:val="000000" w:themeColor="text1"/>
                <w:sz w:val="20"/>
                <w:szCs w:val="20"/>
                <w:lang w:val="ro-RO" w:eastAsia="ro-MD"/>
              </w:rPr>
            </w:pPr>
            <w:bookmarkStart w:id="31" w:name="_Hlk216254838"/>
            <w:r w:rsidRPr="005C3300">
              <w:rPr>
                <w:rFonts w:ascii="Times New Roman" w:hAnsi="Times New Roman"/>
                <w:b/>
                <w:bCs/>
                <w:color w:val="000000" w:themeColor="text1"/>
                <w:sz w:val="20"/>
                <w:szCs w:val="20"/>
                <w:lang w:val="ro-RO" w:eastAsia="ro-MD"/>
              </w:rPr>
              <w:t>74.</w:t>
            </w:r>
            <w:r w:rsidRPr="005C3300">
              <w:rPr>
                <w:rFonts w:ascii="Times New Roman" w:hAnsi="Times New Roman"/>
                <w:color w:val="000000" w:themeColor="text1"/>
                <w:sz w:val="20"/>
                <w:szCs w:val="20"/>
                <w:lang w:val="ro-RO" w:eastAsia="ro-MD"/>
              </w:rPr>
              <w:t xml:space="preserve"> Băncile nu trebuie să utilizeze atât metoda simplă a garanțiilor financiare cât și metoda extinsă a garanțiilor financiare, decât pentru scopurile implementării abordării IRB pentru diferite clase de expuneri și unități operaționale și ale condițiilor de utilizare parțială permanentă conform actelor normative ale Băncii Naționale a Moldovei aferente abordării bazate pe modele interne de rating. Băncile nu trebuie să utilizeze această excepție în mod selectiv, pentru a reduce cerințele de fonduri proprii sau pentru a efectua un arbitraj de reglementare</w:t>
            </w:r>
            <w:bookmarkEnd w:id="31"/>
          </w:p>
          <w:p w14:paraId="7D03EC45" w14:textId="5FEE77B2" w:rsidR="00907D9E" w:rsidRPr="00907D9E" w:rsidRDefault="00907D9E" w:rsidP="00907D9E">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1A8C0EC7" w14:textId="393CB74F" w:rsidR="00D62F3C" w:rsidRPr="002C32BA" w:rsidRDefault="00907D9E"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00D62F3C" w:rsidRPr="002C32BA">
              <w:rPr>
                <w:rFonts w:ascii="Times New Roman" w:hAnsi="Times New Roman" w:cs="Times New Roman"/>
                <w:sz w:val="20"/>
                <w:szCs w:val="20"/>
                <w:lang w:val="ro-RO"/>
              </w:rPr>
              <w:t>ompatibil</w:t>
            </w:r>
          </w:p>
        </w:tc>
        <w:tc>
          <w:tcPr>
            <w:tcW w:w="885" w:type="pct"/>
          </w:tcPr>
          <w:p w14:paraId="0A1F9794" w14:textId="6FDB1038"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7906AD7A" w14:textId="7B6FEB9B" w:rsidR="00D62F3C" w:rsidRPr="002C32BA" w:rsidRDefault="00D62F3C" w:rsidP="00D62F3C">
            <w:pPr>
              <w:jc w:val="both"/>
              <w:rPr>
                <w:rFonts w:ascii="Times New Roman" w:hAnsi="Times New Roman" w:cs="Times New Roman"/>
                <w:sz w:val="20"/>
                <w:szCs w:val="20"/>
                <w:lang w:val="ro-RO"/>
              </w:rPr>
            </w:pPr>
          </w:p>
        </w:tc>
      </w:tr>
      <w:tr w:rsidR="00D62F3C" w:rsidRPr="002C32BA" w14:paraId="5AD41BA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12AA32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Conform metodei simple a garanțiilor financiare, instituțiile atribuie unei garanții financiare eligibile o valoare egală cu valoarea sa de piață, determinată în conformitate cu articolul 207 alineatul (4) litera (d).</w:t>
            </w:r>
          </w:p>
        </w:tc>
        <w:tc>
          <w:tcPr>
            <w:tcW w:w="1636" w:type="pct"/>
            <w:shd w:val="clear" w:color="auto" w:fill="auto"/>
          </w:tcPr>
          <w:p w14:paraId="7BC280B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a 4-a. Metoda simplă a garanțiilor financiare</w:t>
            </w:r>
          </w:p>
          <w:p w14:paraId="6FD19D83"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5794961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E81C67">
              <w:rPr>
                <w:rFonts w:ascii="Times New Roman" w:hAnsi="Times New Roman"/>
                <w:b/>
                <w:bCs/>
                <w:sz w:val="20"/>
                <w:szCs w:val="20"/>
                <w:lang w:val="ro-RO" w:eastAsia="ru-RU"/>
              </w:rPr>
              <w:t>75.</w:t>
            </w:r>
            <w:r w:rsidRPr="002C32BA">
              <w:rPr>
                <w:rFonts w:ascii="Times New Roman" w:hAnsi="Times New Roman"/>
                <w:sz w:val="20"/>
                <w:szCs w:val="20"/>
                <w:lang w:val="ro-RO" w:eastAsia="ru-RU"/>
              </w:rPr>
              <w:t xml:space="preserve"> Conform metodei simple a garanțiilor financiare, băncile trebuie să atribuie unei garanții financiare eligibile o valoare egală cu valoarea sa de piață, determinată în conformitate cu punctul 49 subpunctul 4).</w:t>
            </w:r>
          </w:p>
        </w:tc>
        <w:tc>
          <w:tcPr>
            <w:tcW w:w="562" w:type="pct"/>
          </w:tcPr>
          <w:p w14:paraId="7A4FA32F"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C343B4F" w14:textId="1D0A4B1F"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3132CA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A7ED782" w14:textId="77777777" w:rsidR="00122231" w:rsidRPr="00122231" w:rsidRDefault="00122231" w:rsidP="00122231">
            <w:pPr>
              <w:pStyle w:val="CM4"/>
              <w:tabs>
                <w:tab w:val="left" w:pos="150"/>
              </w:tabs>
              <w:ind w:left="-43"/>
              <w:jc w:val="both"/>
              <w:rPr>
                <w:rFonts w:ascii="Times New Roman" w:hAnsi="Times New Roman"/>
                <w:iCs/>
                <w:sz w:val="20"/>
                <w:szCs w:val="20"/>
                <w:lang w:val="ro-RO" w:eastAsia="ru-RU"/>
              </w:rPr>
            </w:pPr>
            <w:r w:rsidRPr="00122231">
              <w:rPr>
                <w:rFonts w:ascii="Times New Roman" w:hAnsi="Times New Roman"/>
                <w:iCs/>
                <w:sz w:val="20"/>
                <w:szCs w:val="20"/>
                <w:lang w:val="ro-RO" w:eastAsia="ru-RU"/>
              </w:rPr>
              <w:t>▼M17</w:t>
            </w:r>
          </w:p>
          <w:p w14:paraId="4F1E89D7" w14:textId="77777777" w:rsidR="00122231" w:rsidRPr="00122231" w:rsidRDefault="00122231" w:rsidP="00122231">
            <w:pPr>
              <w:pStyle w:val="CM4"/>
              <w:tabs>
                <w:tab w:val="left" w:pos="150"/>
              </w:tabs>
              <w:ind w:left="-43"/>
              <w:jc w:val="both"/>
              <w:rPr>
                <w:rFonts w:ascii="Times New Roman" w:hAnsi="Times New Roman"/>
                <w:iCs/>
                <w:sz w:val="20"/>
                <w:szCs w:val="20"/>
                <w:lang w:val="ro-RO" w:eastAsia="ru-RU"/>
              </w:rPr>
            </w:pPr>
          </w:p>
          <w:p w14:paraId="1552AFEA" w14:textId="619AE15C" w:rsidR="00D62F3C" w:rsidRPr="002C32BA" w:rsidRDefault="00122231" w:rsidP="00122231">
            <w:pPr>
              <w:pStyle w:val="CM4"/>
              <w:tabs>
                <w:tab w:val="left" w:pos="150"/>
              </w:tabs>
              <w:ind w:left="-43"/>
              <w:jc w:val="both"/>
              <w:rPr>
                <w:rFonts w:ascii="Times New Roman" w:hAnsi="Times New Roman"/>
                <w:iCs/>
                <w:sz w:val="20"/>
                <w:szCs w:val="20"/>
                <w:lang w:val="ro-RO" w:eastAsia="ru-RU"/>
              </w:rPr>
            </w:pPr>
            <w:r w:rsidRPr="00122231">
              <w:rPr>
                <w:rFonts w:ascii="Times New Roman" w:hAnsi="Times New Roman"/>
                <w:iCs/>
                <w:sz w:val="20"/>
                <w:szCs w:val="20"/>
                <w:lang w:val="ro-RO" w:eastAsia="ru-RU"/>
              </w:rPr>
              <w:t xml:space="preserve">(3)   Instituțiile atribuie acelor părți din valorile expunerilor care sunt garantate cu valoarea de piață a garanției financiare eligibile ponderea de risc pe care ar atribui-o în temeiul capitolului 2 dacă instituția creditoare ar avea o expunere directă față de instrumentul care constituie garanția reală. În acest scop, valoarea expunerii unui element </w:t>
            </w:r>
            <w:proofErr w:type="spellStart"/>
            <w:r w:rsidRPr="00122231">
              <w:rPr>
                <w:rFonts w:ascii="Times New Roman" w:hAnsi="Times New Roman"/>
                <w:iCs/>
                <w:sz w:val="20"/>
                <w:szCs w:val="20"/>
                <w:lang w:val="ro-RO" w:eastAsia="ru-RU"/>
              </w:rPr>
              <w:t>extrabilanțier</w:t>
            </w:r>
            <w:proofErr w:type="spellEnd"/>
            <w:r w:rsidRPr="00122231">
              <w:rPr>
                <w:rFonts w:ascii="Times New Roman" w:hAnsi="Times New Roman"/>
                <w:iCs/>
                <w:sz w:val="20"/>
                <w:szCs w:val="20"/>
                <w:lang w:val="ro-RO" w:eastAsia="ru-RU"/>
              </w:rPr>
              <w:t xml:space="preserve"> menționat în anexa I este egală cu 100 % din valoarea elementului, și nu cu valoarea expunerii indicată la articolul 111 alineatul (2).</w:t>
            </w:r>
          </w:p>
        </w:tc>
        <w:tc>
          <w:tcPr>
            <w:tcW w:w="1636" w:type="pct"/>
            <w:shd w:val="clear" w:color="auto" w:fill="auto"/>
          </w:tcPr>
          <w:p w14:paraId="20335EC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E81C67">
              <w:rPr>
                <w:rFonts w:ascii="Times New Roman" w:hAnsi="Times New Roman"/>
                <w:b/>
                <w:bCs/>
                <w:sz w:val="20"/>
                <w:szCs w:val="20"/>
                <w:lang w:val="ro-RO" w:eastAsia="ru-RU"/>
              </w:rPr>
              <w:t>76.</w:t>
            </w:r>
            <w:r w:rsidRPr="002C32BA">
              <w:rPr>
                <w:rFonts w:ascii="Times New Roman" w:hAnsi="Times New Roman"/>
                <w:sz w:val="20"/>
                <w:szCs w:val="20"/>
                <w:lang w:val="ro-RO" w:eastAsia="ru-RU"/>
              </w:rPr>
              <w:t xml:space="preserve"> Băncile trebuie să atribuie acelor părți din valorile expunerilor care sunt garantate cu valoarea de piață a garanției reale eligibile ponderea de risc pe care ar atribui-o în temeiul actului normativ al Băncii Naționale a Moldovei aferent tratamentului riscului de credit pentru bănci potrivit abordării standardizate, dacă banca creditoare ar avea o expunere directă față de instrumentul care constituie garanția reală. În acest scop, valoarea expunerii unui element </w:t>
            </w:r>
            <w:proofErr w:type="spellStart"/>
            <w:r w:rsidRPr="002C32BA">
              <w:rPr>
                <w:rFonts w:ascii="Times New Roman" w:hAnsi="Times New Roman"/>
                <w:sz w:val="20"/>
                <w:szCs w:val="20"/>
                <w:lang w:val="ro-RO" w:eastAsia="ru-RU"/>
              </w:rPr>
              <w:t>extrabilanțier</w:t>
            </w:r>
            <w:proofErr w:type="spellEnd"/>
            <w:r w:rsidRPr="002C32BA">
              <w:rPr>
                <w:rFonts w:ascii="Times New Roman" w:hAnsi="Times New Roman"/>
                <w:sz w:val="20"/>
                <w:szCs w:val="20"/>
                <w:lang w:val="ro-RO" w:eastAsia="ru-RU"/>
              </w:rPr>
              <w:t xml:space="preserve"> trebuie să fie egală cu 100 % din valoarea elementului și nu cu valoarea expunerii elementului </w:t>
            </w:r>
            <w:proofErr w:type="spellStart"/>
            <w:r w:rsidRPr="002C32BA">
              <w:rPr>
                <w:rFonts w:ascii="Times New Roman" w:hAnsi="Times New Roman"/>
                <w:sz w:val="20"/>
                <w:szCs w:val="20"/>
                <w:lang w:val="ro-RO" w:eastAsia="ru-RU"/>
              </w:rPr>
              <w:t>extrabilanțier</w:t>
            </w:r>
            <w:proofErr w:type="spellEnd"/>
            <w:r w:rsidRPr="002C32BA">
              <w:rPr>
                <w:rFonts w:ascii="Times New Roman" w:hAnsi="Times New Roman"/>
                <w:sz w:val="20"/>
                <w:szCs w:val="20"/>
                <w:lang w:val="ro-RO" w:eastAsia="ru-RU"/>
              </w:rPr>
              <w:t xml:space="preserve"> determinată în baza actului normativ sus-indicat.</w:t>
            </w:r>
          </w:p>
          <w:p w14:paraId="7FECE8A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E81C67">
              <w:rPr>
                <w:rFonts w:ascii="Times New Roman" w:hAnsi="Times New Roman"/>
                <w:b/>
                <w:bCs/>
                <w:sz w:val="20"/>
                <w:szCs w:val="20"/>
                <w:lang w:val="ro-RO" w:eastAsia="ru-RU"/>
              </w:rPr>
              <w:t>77.</w:t>
            </w:r>
            <w:r w:rsidRPr="002C32BA">
              <w:rPr>
                <w:rFonts w:ascii="Times New Roman" w:hAnsi="Times New Roman"/>
                <w:sz w:val="20"/>
                <w:szCs w:val="20"/>
                <w:lang w:val="ro-RO" w:eastAsia="ru-RU"/>
              </w:rPr>
              <w:t xml:space="preserve"> Ponderea de risc aferentă părții garantate trebuie să fie de cel puțin 20 %, cu excepția cazurilor specificate la punctele 79-82.</w:t>
            </w:r>
          </w:p>
          <w:p w14:paraId="68710863" w14:textId="77777777" w:rsidR="00E81C67" w:rsidRPr="005C3300" w:rsidRDefault="00D62F3C" w:rsidP="00E81C67">
            <w:pPr>
              <w:spacing w:after="0" w:line="240" w:lineRule="auto"/>
              <w:jc w:val="both"/>
              <w:rPr>
                <w:rFonts w:ascii="Times New Roman" w:eastAsia="Times New Roman" w:hAnsi="Times New Roman" w:cs="Times New Roman"/>
                <w:color w:val="000000" w:themeColor="text1"/>
                <w:sz w:val="20"/>
                <w:szCs w:val="20"/>
                <w:lang w:val="ro-RO" w:eastAsia="ro-MD"/>
              </w:rPr>
            </w:pPr>
            <w:r w:rsidRPr="00E81C67">
              <w:rPr>
                <w:rFonts w:ascii="Times New Roman" w:hAnsi="Times New Roman"/>
                <w:b/>
                <w:bCs/>
                <w:sz w:val="20"/>
                <w:szCs w:val="20"/>
                <w:lang w:val="ro-RO" w:eastAsia="ru-RU"/>
              </w:rPr>
              <w:t>78.</w:t>
            </w:r>
            <w:r w:rsidRPr="002C32BA">
              <w:rPr>
                <w:rFonts w:ascii="Times New Roman" w:hAnsi="Times New Roman"/>
                <w:sz w:val="20"/>
                <w:szCs w:val="20"/>
                <w:lang w:val="ro-RO" w:eastAsia="ru-RU"/>
              </w:rPr>
              <w:t xml:space="preserve"> </w:t>
            </w:r>
            <w:r w:rsidR="00E81C67" w:rsidRPr="005C3300">
              <w:rPr>
                <w:rFonts w:ascii="Times New Roman" w:eastAsia="Times New Roman" w:hAnsi="Times New Roman" w:cs="Times New Roman"/>
                <w:color w:val="000000" w:themeColor="text1"/>
                <w:sz w:val="20"/>
                <w:szCs w:val="20"/>
                <w:lang w:val="ro-RO" w:eastAsia="ro-MD"/>
              </w:rPr>
              <w:t xml:space="preserve">Băncile trebuie să aplice părții negarantate a valorii expunerii ponderea de risc pe care acestea ar atribui-o unei expuneri negarantate față de </w:t>
            </w:r>
            <w:proofErr w:type="spellStart"/>
            <w:r w:rsidR="00E81C67" w:rsidRPr="005C3300">
              <w:rPr>
                <w:rFonts w:ascii="Times New Roman" w:eastAsia="Times New Roman" w:hAnsi="Times New Roman" w:cs="Times New Roman"/>
                <w:color w:val="000000" w:themeColor="text1"/>
                <w:sz w:val="20"/>
                <w:szCs w:val="20"/>
                <w:lang w:val="ro-RO" w:eastAsia="ro-MD"/>
              </w:rPr>
              <w:t>contraparte</w:t>
            </w:r>
            <w:proofErr w:type="spellEnd"/>
            <w:r w:rsidR="00E81C67" w:rsidRPr="005C3300">
              <w:rPr>
                <w:rFonts w:ascii="Times New Roman" w:eastAsia="Times New Roman" w:hAnsi="Times New Roman" w:cs="Times New Roman"/>
                <w:color w:val="000000" w:themeColor="text1"/>
                <w:sz w:val="20"/>
                <w:szCs w:val="20"/>
                <w:lang w:val="ro-RO" w:eastAsia="ro-MD"/>
              </w:rPr>
              <w:t>, în temeiul Regulamentului nr.111/2018.</w:t>
            </w:r>
          </w:p>
          <w:p w14:paraId="3EA534D7" w14:textId="535BBC4B"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62E8F98A"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1EBA1061" w14:textId="632FEED5"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1728DE7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71A4230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(4) Instituțiile atribuie o pondere de risc de 0 % părții garantate a expunerii provenind din tranzacții de răscumpărare și din operațiuni de dare sau luare de titluri cu împrumut care îndeplinește criteriile prevăzute la articolul 227. În cazul în care </w:t>
            </w:r>
            <w:proofErr w:type="spellStart"/>
            <w:r w:rsidRPr="002C32BA">
              <w:rPr>
                <w:rFonts w:ascii="Times New Roman" w:hAnsi="Times New Roman"/>
                <w:iCs/>
                <w:sz w:val="20"/>
                <w:szCs w:val="20"/>
                <w:lang w:val="ro-RO" w:eastAsia="ru-RU"/>
              </w:rPr>
              <w:t>contrapartea</w:t>
            </w:r>
            <w:proofErr w:type="spellEnd"/>
            <w:r w:rsidRPr="002C32BA">
              <w:rPr>
                <w:rFonts w:ascii="Times New Roman" w:hAnsi="Times New Roman"/>
                <w:iCs/>
                <w:sz w:val="20"/>
                <w:szCs w:val="20"/>
                <w:lang w:val="ro-RO" w:eastAsia="ru-RU"/>
              </w:rPr>
              <w:t xml:space="preserve"> cu care s-a efectuat tranzacția nu este un participant principal pe piață, instituțiile atribuie o pondere de risc de 10 %.</w:t>
            </w:r>
          </w:p>
        </w:tc>
        <w:tc>
          <w:tcPr>
            <w:tcW w:w="1636" w:type="pct"/>
            <w:shd w:val="clear" w:color="auto" w:fill="auto"/>
          </w:tcPr>
          <w:p w14:paraId="40E1D8FB" w14:textId="77777777" w:rsidR="00D62F3C" w:rsidRPr="002C32BA" w:rsidRDefault="00D62F3C" w:rsidP="00705F2E">
            <w:pPr>
              <w:pStyle w:val="CM4"/>
              <w:tabs>
                <w:tab w:val="left" w:pos="150"/>
              </w:tabs>
              <w:ind w:left="-36"/>
              <w:jc w:val="both"/>
              <w:rPr>
                <w:rFonts w:ascii="Times New Roman" w:hAnsi="Times New Roman"/>
                <w:sz w:val="20"/>
                <w:szCs w:val="20"/>
                <w:lang w:val="ro-RO" w:eastAsia="ru-RU"/>
              </w:rPr>
            </w:pPr>
            <w:r w:rsidRPr="00E81C67">
              <w:rPr>
                <w:rFonts w:ascii="Times New Roman" w:hAnsi="Times New Roman"/>
                <w:b/>
                <w:bCs/>
                <w:sz w:val="20"/>
                <w:szCs w:val="20"/>
                <w:lang w:val="ro-RO" w:eastAsia="ru-RU"/>
              </w:rPr>
              <w:t>79</w:t>
            </w:r>
            <w:r w:rsidRPr="002C32BA">
              <w:rPr>
                <w:rFonts w:ascii="Times New Roman" w:hAnsi="Times New Roman"/>
                <w:sz w:val="20"/>
                <w:szCs w:val="20"/>
                <w:lang w:val="ro-RO" w:eastAsia="ru-RU"/>
              </w:rPr>
              <w:t xml:space="preserve">. Băncile atribuie o pondere de risc de 0 % părții garantate a expunerii care provine din tranzacția de răscumpărare și din operațiuni de dare sau luare de valori mobiliare cu împrumut care îndeplinește criteriile prevăzute la secțiunea 8 din prezentul capitol. În cazul în care </w:t>
            </w:r>
            <w:proofErr w:type="spellStart"/>
            <w:r w:rsidRPr="002C32BA">
              <w:rPr>
                <w:rFonts w:ascii="Times New Roman" w:hAnsi="Times New Roman"/>
                <w:sz w:val="20"/>
                <w:szCs w:val="20"/>
                <w:lang w:val="ro-RO" w:eastAsia="ru-RU"/>
              </w:rPr>
              <w:t>contrapartea</w:t>
            </w:r>
            <w:proofErr w:type="spellEnd"/>
            <w:r w:rsidRPr="002C32BA">
              <w:rPr>
                <w:rFonts w:ascii="Times New Roman" w:hAnsi="Times New Roman"/>
                <w:sz w:val="20"/>
                <w:szCs w:val="20"/>
                <w:lang w:val="ro-RO" w:eastAsia="ru-RU"/>
              </w:rPr>
              <w:t xml:space="preserve"> cu care s-a efectuat tranzacția nu este un participant principal pe piață, băncile trebuie să atribuie o pondere de risc de 10 %.</w:t>
            </w:r>
          </w:p>
        </w:tc>
        <w:tc>
          <w:tcPr>
            <w:tcW w:w="562" w:type="pct"/>
          </w:tcPr>
          <w:p w14:paraId="334DE9A1"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F08942A" w14:textId="78FC5653"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1DE08C7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5EB081F" w14:textId="77777777" w:rsidR="00D62F3C"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(5) Instituțiile atribuie o pondere de risc de 0 %, în limita acoperirii cu garanții reale, valorilor expunerilor determinate în temeiul capitolului 6 pentru instrumentele financiare derivate enumerate în anexa II și supuse unei marcări zilnice la piață, care sunt garantate cu numerar sau cu instrumente asimilate numerarului, dacă nu există nicio neconcordanță de monede.</w:t>
            </w:r>
          </w:p>
          <w:p w14:paraId="72524EC2" w14:textId="77777777" w:rsidR="00E81C67" w:rsidRDefault="00E81C67" w:rsidP="00E81C67">
            <w:pPr>
              <w:rPr>
                <w:lang w:val="ro-RO" w:eastAsia="ru-RU"/>
              </w:rPr>
            </w:pPr>
          </w:p>
          <w:p w14:paraId="2AAAB2AD" w14:textId="77777777" w:rsidR="00705F2E" w:rsidRDefault="00705F2E" w:rsidP="00E81C67">
            <w:pPr>
              <w:rPr>
                <w:lang w:val="ro-RO" w:eastAsia="ru-RU"/>
              </w:rPr>
            </w:pPr>
          </w:p>
          <w:p w14:paraId="0AC0BC41" w14:textId="77777777" w:rsidR="00705F2E" w:rsidRDefault="00705F2E" w:rsidP="00E81C67">
            <w:pPr>
              <w:rPr>
                <w:lang w:val="ro-RO" w:eastAsia="ru-RU"/>
              </w:rPr>
            </w:pPr>
          </w:p>
          <w:p w14:paraId="47C96545" w14:textId="77777777" w:rsidR="00705F2E" w:rsidRPr="00E81C67" w:rsidRDefault="00705F2E" w:rsidP="00E81C67">
            <w:pPr>
              <w:rPr>
                <w:lang w:val="ro-RO" w:eastAsia="ru-RU"/>
              </w:rPr>
            </w:pPr>
          </w:p>
          <w:p w14:paraId="74A34A0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Instituțiile atribuie o pondere de risc de 10 %, în limita acoperirii cu garanții reale, valorilor expunerilor provenind din astfel de tranzacții garantate cu titluri de datorie emise de administrații centrale sau de bănci centrale, cărora le este atribuită o pondere de risc de 0 % în temeiul capitolului 2.</w:t>
            </w:r>
          </w:p>
        </w:tc>
        <w:tc>
          <w:tcPr>
            <w:tcW w:w="1636" w:type="pct"/>
            <w:shd w:val="clear" w:color="auto" w:fill="auto"/>
          </w:tcPr>
          <w:p w14:paraId="375BD44C" w14:textId="3718EE33" w:rsidR="00D62F3C" w:rsidRDefault="00D62F3C" w:rsidP="00705F2E">
            <w:pPr>
              <w:pStyle w:val="CM4"/>
              <w:tabs>
                <w:tab w:val="left" w:pos="150"/>
              </w:tabs>
              <w:ind w:left="-36"/>
              <w:jc w:val="both"/>
              <w:rPr>
                <w:rFonts w:ascii="Times New Roman" w:hAnsi="Times New Roman"/>
                <w:color w:val="000000" w:themeColor="text1"/>
                <w:sz w:val="20"/>
                <w:szCs w:val="20"/>
                <w:lang w:val="ro-RO" w:eastAsia="ro-MD"/>
              </w:rPr>
            </w:pPr>
            <w:r w:rsidRPr="00E81C67">
              <w:rPr>
                <w:rFonts w:ascii="Times New Roman" w:hAnsi="Times New Roman"/>
                <w:b/>
                <w:bCs/>
                <w:sz w:val="20"/>
                <w:szCs w:val="20"/>
                <w:lang w:val="ro-RO" w:eastAsia="ru-RU"/>
              </w:rPr>
              <w:t>80.</w:t>
            </w:r>
            <w:r w:rsidRPr="002C32BA">
              <w:rPr>
                <w:rFonts w:ascii="Times New Roman" w:hAnsi="Times New Roman"/>
                <w:sz w:val="20"/>
                <w:szCs w:val="20"/>
                <w:lang w:val="ro-RO" w:eastAsia="ru-RU"/>
              </w:rPr>
              <w:t xml:space="preserve"> </w:t>
            </w:r>
            <w:r w:rsidR="00E81C67" w:rsidRPr="005C3300">
              <w:rPr>
                <w:rFonts w:ascii="Times New Roman" w:hAnsi="Times New Roman"/>
                <w:color w:val="000000" w:themeColor="text1"/>
                <w:sz w:val="20"/>
                <w:szCs w:val="20"/>
                <w:lang w:val="ro-RO" w:eastAsia="ro-MD"/>
              </w:rPr>
              <w:t xml:space="preserve">Băncile atribuie o pondere de risc de 0%, în limita acoperirii cu garanții reale, valorilor expunerilor, </w:t>
            </w:r>
            <w:bookmarkStart w:id="32" w:name="_Hlk216254945"/>
            <w:r w:rsidR="00E81C67" w:rsidRPr="005C3300">
              <w:rPr>
                <w:rFonts w:ascii="Times New Roman" w:hAnsi="Times New Roman"/>
                <w:color w:val="000000" w:themeColor="text1"/>
                <w:sz w:val="20"/>
                <w:szCs w:val="20"/>
                <w:lang w:val="ro-RO" w:eastAsia="ro-MD"/>
              </w:rPr>
              <w:t xml:space="preserve">determinate în temeiul actelor normative ale Băncii Naționale a Moldovei aferente riscului de credit al </w:t>
            </w:r>
            <w:proofErr w:type="spellStart"/>
            <w:r w:rsidR="00E81C67" w:rsidRPr="005C3300">
              <w:rPr>
                <w:rFonts w:ascii="Times New Roman" w:hAnsi="Times New Roman"/>
                <w:color w:val="000000" w:themeColor="text1"/>
                <w:sz w:val="20"/>
                <w:szCs w:val="20"/>
                <w:lang w:val="ro-RO" w:eastAsia="ro-MD"/>
              </w:rPr>
              <w:t>contrapărții</w:t>
            </w:r>
            <w:proofErr w:type="spellEnd"/>
            <w:r w:rsidR="00E81C67" w:rsidRPr="005C3300">
              <w:rPr>
                <w:rFonts w:ascii="Times New Roman" w:hAnsi="Times New Roman"/>
                <w:color w:val="000000" w:themeColor="text1"/>
                <w:sz w:val="20"/>
                <w:szCs w:val="20"/>
                <w:lang w:val="ro-RO" w:eastAsia="ro-MD"/>
              </w:rPr>
              <w:t xml:space="preserve">, </w:t>
            </w:r>
            <w:bookmarkEnd w:id="32"/>
            <w:r w:rsidR="00E81C67" w:rsidRPr="005C3300">
              <w:rPr>
                <w:rFonts w:ascii="Times New Roman" w:hAnsi="Times New Roman"/>
                <w:color w:val="000000" w:themeColor="text1"/>
                <w:sz w:val="20"/>
                <w:szCs w:val="20"/>
                <w:lang w:val="ro-RO" w:eastAsia="ro-MD"/>
              </w:rPr>
              <w:t xml:space="preserve">pentru </w:t>
            </w:r>
            <w:bookmarkStart w:id="33" w:name="_Hlk216254978"/>
            <w:r w:rsidR="00E81C67" w:rsidRPr="005C3300">
              <w:rPr>
                <w:rFonts w:ascii="Times New Roman" w:hAnsi="Times New Roman"/>
                <w:color w:val="000000" w:themeColor="text1"/>
                <w:sz w:val="20"/>
                <w:szCs w:val="20"/>
                <w:lang w:val="ro-RO" w:eastAsia="ro-MD"/>
              </w:rPr>
              <w:t xml:space="preserve">instrumentele financiare derivate </w:t>
            </w:r>
            <w:bookmarkStart w:id="34" w:name="_Hlk216255003"/>
            <w:bookmarkEnd w:id="33"/>
            <w:r w:rsidR="00E81C67" w:rsidRPr="005C3300">
              <w:rPr>
                <w:rFonts w:ascii="Times New Roman" w:hAnsi="Times New Roman"/>
                <w:color w:val="000000" w:themeColor="text1"/>
                <w:sz w:val="20"/>
                <w:szCs w:val="20"/>
                <w:lang w:val="ro-RO" w:eastAsia="ro-MD"/>
              </w:rPr>
              <w:t xml:space="preserve">enumerate în anexa nr.1 la Regulamentul nr.114/2018 și </w:t>
            </w:r>
            <w:bookmarkEnd w:id="34"/>
            <w:r w:rsidR="00E81C67" w:rsidRPr="005C3300">
              <w:rPr>
                <w:rFonts w:ascii="Times New Roman" w:hAnsi="Times New Roman"/>
                <w:color w:val="000000" w:themeColor="text1"/>
                <w:sz w:val="20"/>
                <w:szCs w:val="20"/>
                <w:lang w:val="ro-RO" w:eastAsia="ro-MD"/>
              </w:rPr>
              <w:t>supuse unei marcări zilnice la piață, care sunt garantate cu mijloace bănești sau cu instrumente asimilate mijloacelor bănești, dacă nu există nicio neconcordanță de monede.</w:t>
            </w:r>
          </w:p>
          <w:p w14:paraId="4A5BB00D" w14:textId="77777777" w:rsidR="00705F2E" w:rsidRDefault="00705F2E" w:rsidP="00705F2E">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p w14:paraId="58EC34DC" w14:textId="77777777" w:rsidR="00D62F3C" w:rsidRPr="002C32BA" w:rsidRDefault="00D62F3C" w:rsidP="00705F2E">
            <w:pPr>
              <w:pStyle w:val="CM4"/>
              <w:tabs>
                <w:tab w:val="left" w:pos="150"/>
              </w:tabs>
              <w:ind w:left="-36"/>
              <w:jc w:val="both"/>
              <w:rPr>
                <w:rFonts w:ascii="Times New Roman" w:hAnsi="Times New Roman"/>
                <w:sz w:val="20"/>
                <w:szCs w:val="20"/>
                <w:lang w:val="ro-RO" w:eastAsia="ru-RU"/>
              </w:rPr>
            </w:pPr>
          </w:p>
          <w:p w14:paraId="78B4C02C" w14:textId="77777777" w:rsidR="00D62F3C" w:rsidRPr="002C32BA" w:rsidRDefault="00D62F3C" w:rsidP="00705F2E">
            <w:pPr>
              <w:pStyle w:val="CM4"/>
              <w:tabs>
                <w:tab w:val="left" w:pos="150"/>
              </w:tabs>
              <w:ind w:left="-36"/>
              <w:jc w:val="both"/>
              <w:rPr>
                <w:rFonts w:ascii="Times New Roman" w:hAnsi="Times New Roman"/>
                <w:sz w:val="20"/>
                <w:szCs w:val="20"/>
                <w:lang w:val="ro-RO" w:eastAsia="ru-RU"/>
              </w:rPr>
            </w:pPr>
            <w:r w:rsidRPr="00E81C67">
              <w:rPr>
                <w:rFonts w:ascii="Times New Roman" w:hAnsi="Times New Roman"/>
                <w:b/>
                <w:bCs/>
                <w:sz w:val="20"/>
                <w:szCs w:val="20"/>
                <w:lang w:val="ro-RO" w:eastAsia="ru-RU"/>
              </w:rPr>
              <w:t>81</w:t>
            </w:r>
            <w:r w:rsidRPr="002C32BA">
              <w:rPr>
                <w:rFonts w:ascii="Times New Roman" w:hAnsi="Times New Roman"/>
                <w:sz w:val="20"/>
                <w:szCs w:val="20"/>
                <w:lang w:val="ro-RO" w:eastAsia="ru-RU"/>
              </w:rPr>
              <w:t>. Băncile atribuie o pondere de risc de 10 %, în limita acoperirii cu garanții reale, valorilor expunerilor ale tranzacțiilor de tipul celor menționate la punctul 80, dar garantate cu titluri de datorie emise de administrații centrale sau de bănci centrale, cărora le este atribuită o pondere de risc de 0 % conform temeiul actului normativ al Băncii Naționale a Moldovei aferent tratamentului riscului de credit pentru bănci potrivit abordării standardizate.</w:t>
            </w:r>
          </w:p>
        </w:tc>
        <w:tc>
          <w:tcPr>
            <w:tcW w:w="562" w:type="pct"/>
          </w:tcPr>
          <w:p w14:paraId="493D5989"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1A0B8DB" w14:textId="2EC93D0B"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D88B30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A798214" w14:textId="77777777" w:rsidR="00D62F3C" w:rsidRPr="002C32BA" w:rsidRDefault="00D62F3C" w:rsidP="00D62F3C">
            <w:pPr>
              <w:pStyle w:val="CM1"/>
              <w:spacing w:before="200" w:after="200"/>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(6) </w:t>
            </w:r>
            <w:r w:rsidRPr="002C32BA">
              <w:rPr>
                <w:rFonts w:ascii="Times New Roman" w:eastAsiaTheme="minorHAnsi" w:hAnsi="Times New Roman"/>
                <w:sz w:val="20"/>
                <w:szCs w:val="20"/>
                <w:lang w:val="ro-RO"/>
              </w:rPr>
              <w:t>În cazul altor tranzacții decât cele menționate la alineatele (4) și (5)</w:t>
            </w:r>
            <w:r w:rsidRPr="002C32BA">
              <w:rPr>
                <w:rFonts w:ascii="Times New Roman" w:hAnsi="Times New Roman"/>
                <w:iCs/>
                <w:sz w:val="20"/>
                <w:szCs w:val="20"/>
                <w:lang w:val="ro-RO" w:eastAsia="ru-RU"/>
              </w:rPr>
              <w:t>, instituțiile pot atribui o pondere de risc de 0 % dacă expunerea și garanția reală sunt denominate în aceeași monedă și dacă este îndeplinită una din condițiile următoare:</w:t>
            </w:r>
          </w:p>
          <w:p w14:paraId="328012B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garanția reală este constituită sub formă de depozit în numerar sau de instrument asimilat numerarului;</w:t>
            </w:r>
          </w:p>
          <w:p w14:paraId="765B652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garanția reală este constituită sub formă de titluri de datorie emise de administrații centrale sau de bănci centrale, care sunt eligibile pentru atribuirea unei ponderi de risc de 0 % în temeiul articolului 114 și a căror valoare de piață a fost diminuată cu 20 %.</w:t>
            </w:r>
          </w:p>
        </w:tc>
        <w:tc>
          <w:tcPr>
            <w:tcW w:w="1636" w:type="pct"/>
            <w:shd w:val="clear" w:color="auto" w:fill="auto"/>
          </w:tcPr>
          <w:p w14:paraId="171895DC" w14:textId="77777777" w:rsidR="00A11A9A" w:rsidRPr="005C3300" w:rsidRDefault="00A11A9A" w:rsidP="00A11A9A">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82.</w:t>
            </w:r>
            <w:r w:rsidRPr="005C3300">
              <w:rPr>
                <w:rFonts w:ascii="Times New Roman" w:eastAsia="Times New Roman" w:hAnsi="Times New Roman" w:cs="Times New Roman"/>
                <w:color w:val="000000" w:themeColor="text1"/>
                <w:sz w:val="20"/>
                <w:szCs w:val="20"/>
                <w:lang w:val="ro-RO" w:eastAsia="ro-MD"/>
              </w:rPr>
              <w:t xml:space="preserve"> În cazul altor tranzacții decât cele menționate la punctele 79-81, băncile pot atribui o pondere de risc de 0% dacă expunerea și garanția reală sunt exprimate în aceeași monedă și dacă este îndeplinită una din următoarele condiții:</w:t>
            </w:r>
          </w:p>
          <w:p w14:paraId="2539C9DA" w14:textId="77777777" w:rsidR="00A11A9A" w:rsidRPr="005C3300" w:rsidRDefault="00A11A9A" w:rsidP="00A11A9A">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1) garanția reală reprezintă mijloacele bănești sub formă de depozit sau instrument asimilat mijloacelor bănești, conform punctului 25 subpunctul 1);</w:t>
            </w:r>
          </w:p>
          <w:p w14:paraId="3A4F8FE5" w14:textId="35017B20" w:rsidR="00D62F3C" w:rsidRPr="002C32BA" w:rsidRDefault="00A11A9A" w:rsidP="00A11A9A">
            <w:pPr>
              <w:pStyle w:val="CM4"/>
              <w:tabs>
                <w:tab w:val="left" w:pos="150"/>
              </w:tabs>
              <w:ind w:left="-36"/>
              <w:rPr>
                <w:rFonts w:ascii="Times New Roman" w:hAnsi="Times New Roman"/>
                <w:sz w:val="20"/>
                <w:szCs w:val="20"/>
                <w:lang w:val="ro-RO" w:eastAsia="ru-RU"/>
              </w:rPr>
            </w:pPr>
            <w:r w:rsidRPr="005C3300">
              <w:rPr>
                <w:rFonts w:ascii="Times New Roman" w:hAnsi="Times New Roman"/>
                <w:color w:val="000000" w:themeColor="text1"/>
                <w:sz w:val="20"/>
                <w:szCs w:val="20"/>
                <w:lang w:val="ro-RO" w:eastAsia="ro-MD"/>
              </w:rPr>
              <w:t>2) garanția reală este constituită sub formă de titluri de datorie emise de administrații centrale sau de bănci centrale, care sunt eligibile pentru atribuirea unei ponderi de risc de 0% în temeiul Regulamentului nr.111/2018 și a căror valoare de piață a fost diminuată cu 20%.</w:t>
            </w:r>
          </w:p>
        </w:tc>
        <w:tc>
          <w:tcPr>
            <w:tcW w:w="562" w:type="pct"/>
          </w:tcPr>
          <w:p w14:paraId="19502A79"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337A151C" w14:textId="668314DA"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0D65B0D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048136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(7) În sensul alineatelor (5) și (6), titlurile de datorie emise de administrații centrale sau de bănci centrale includ:</w:t>
            </w:r>
          </w:p>
          <w:p w14:paraId="581DB2A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titluri de datorie emise de administrații regionale sau de autorități locale, dacă expunerile față de acestea se tratează ca expuneri față de administrația centrală în a cărei jurisdicție sunt stabilite, în conformitate cu articolul 115;</w:t>
            </w:r>
          </w:p>
          <w:p w14:paraId="065AC4A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(b) titluri de datorie emise de bănci de dezvoltare multilaterală, cărora li se atribuie o pondere de risc de 0 % în temeiul articolului 117 alineatul (2); </w:t>
            </w:r>
          </w:p>
          <w:p w14:paraId="6335E47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titluri de datorie emise de organizații internaționale, cărora li se atribuie o pondere de risc de 0 % în temeiul articolului 118.</w:t>
            </w:r>
          </w:p>
          <w:p w14:paraId="2589DDB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titluri de datorie emise de entități din sectorul public care se tratează ca expuneri față de administrații centrale, în conformitate cu articolul 116 alineatul (4).</w:t>
            </w:r>
          </w:p>
        </w:tc>
        <w:tc>
          <w:tcPr>
            <w:tcW w:w="1636" w:type="pct"/>
            <w:shd w:val="clear" w:color="auto" w:fill="auto"/>
          </w:tcPr>
          <w:p w14:paraId="01C04F92" w14:textId="77777777" w:rsidR="00A11A9A" w:rsidRPr="005C3300" w:rsidRDefault="00A11A9A" w:rsidP="00A11A9A">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83.</w:t>
            </w:r>
            <w:r w:rsidRPr="005C3300">
              <w:rPr>
                <w:rFonts w:ascii="Times New Roman" w:eastAsia="Times New Roman" w:hAnsi="Times New Roman" w:cs="Times New Roman"/>
                <w:color w:val="000000" w:themeColor="text1"/>
                <w:sz w:val="20"/>
                <w:szCs w:val="20"/>
                <w:lang w:val="ro-RO" w:eastAsia="ro-MD"/>
              </w:rPr>
              <w:t xml:space="preserve"> În scopul punctelor 81 și 82, titlurile de datorie emise de administrații centrale sau de bănci centrale, de asemenea, includ:</w:t>
            </w:r>
          </w:p>
          <w:p w14:paraId="49B951DB" w14:textId="2B849AA0" w:rsidR="00A11A9A" w:rsidRPr="005C3300" w:rsidRDefault="00A11A9A" w:rsidP="00A11A9A">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1) titluri de datorie emise de bănci de dezvoltare multilaterală, cărora li se atribuie o pondere de risc de 0%;</w:t>
            </w:r>
          </w:p>
          <w:p w14:paraId="658612C7" w14:textId="60A020DB" w:rsidR="00A11A9A" w:rsidRPr="005C3300" w:rsidRDefault="00A11A9A" w:rsidP="00A11A9A">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2) titluri de datorie emise de organizații internaționale, cărora li se atribuie o pondere de risc de 0%;</w:t>
            </w:r>
          </w:p>
          <w:p w14:paraId="638B536D" w14:textId="7A196039" w:rsidR="00A11A9A" w:rsidRPr="005C3300" w:rsidRDefault="00A11A9A" w:rsidP="00A11A9A">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3) titluri de datorie emise de entități din sectorul public care se tratează ca expuneri față de administrații centrale, în conformitate cu Regulamentul nr.111/2018;</w:t>
            </w:r>
          </w:p>
          <w:p w14:paraId="3E865280" w14:textId="77777777" w:rsidR="00D62F3C" w:rsidRDefault="00A11A9A" w:rsidP="00A11A9A">
            <w:pPr>
              <w:pStyle w:val="CM4"/>
              <w:tabs>
                <w:tab w:val="left" w:pos="150"/>
              </w:tabs>
              <w:ind w:left="-36"/>
              <w:rPr>
                <w:rFonts w:ascii="Times New Roman" w:hAnsi="Times New Roman"/>
                <w:color w:val="000000" w:themeColor="text1"/>
                <w:sz w:val="20"/>
                <w:szCs w:val="20"/>
                <w:lang w:val="ro-RO" w:eastAsia="ro-MD"/>
              </w:rPr>
            </w:pPr>
            <w:bookmarkStart w:id="35" w:name="_Hlk216255275"/>
            <w:r w:rsidRPr="005C3300">
              <w:rPr>
                <w:rFonts w:ascii="Times New Roman" w:hAnsi="Times New Roman"/>
                <w:color w:val="000000" w:themeColor="text1"/>
                <w:sz w:val="20"/>
                <w:szCs w:val="20"/>
                <w:lang w:val="ro-RO" w:eastAsia="ro-MD"/>
              </w:rPr>
              <w:t>4) titluri de datorie emise de administrațiile regionale sau de autoritățile locale, dacă expunerile față de acestea se tratează ca expuneri față de administrația centrală în a cărei jurisdicție sunt stabilite, în conformitate cu Regulamentul nr.111/2018</w:t>
            </w:r>
            <w:bookmarkEnd w:id="35"/>
            <w:r>
              <w:rPr>
                <w:rFonts w:ascii="Times New Roman" w:hAnsi="Times New Roman"/>
                <w:color w:val="000000" w:themeColor="text1"/>
                <w:sz w:val="20"/>
                <w:szCs w:val="20"/>
                <w:lang w:val="ro-RO" w:eastAsia="ro-MD"/>
              </w:rPr>
              <w:t>.</w:t>
            </w:r>
          </w:p>
          <w:p w14:paraId="5579B627" w14:textId="029CF38C" w:rsidR="00A11A9A" w:rsidRPr="00A11A9A" w:rsidRDefault="00A11A9A" w:rsidP="00A11A9A">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94DE031"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B9E9276" w14:textId="6FCCB8D9"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24673E5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13D878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223</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Metoda extinsă a garanțiilor financiare</w:t>
            </w:r>
          </w:p>
          <w:p w14:paraId="008485E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La evaluarea garanțiilor financiare în scopul aplicării metodei extinse a garanțiilor financiare, pentru a ține seama de volatilitatea prețurilor, instituțiile trebuie să aplice ajustările de volatilitate valorii de piață a garanției reale, astfel cum se prevede la articolele 224-227.</w:t>
            </w:r>
          </w:p>
          <w:p w14:paraId="7711DC8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În cazul în care garanția reală și expunerea-suport sunt denominate în monede diferite, instituțiile trebuie să adauge la ajustarea de volatilitate adecvată garanției reale în conformitate cu articolele 224-227 o ajustare care să reflecte volatilitatea monedei.</w:t>
            </w:r>
          </w:p>
          <w:p w14:paraId="03466A0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În cazul tranzacțiilor cu instrumente financiare derivate </w:t>
            </w:r>
            <w:proofErr w:type="spellStart"/>
            <w:r w:rsidRPr="002C32BA">
              <w:rPr>
                <w:rFonts w:ascii="Times New Roman" w:hAnsi="Times New Roman"/>
                <w:iCs/>
                <w:sz w:val="20"/>
                <w:szCs w:val="20"/>
                <w:lang w:val="ro-RO" w:eastAsia="ru-RU"/>
              </w:rPr>
              <w:t>extrabursiere</w:t>
            </w:r>
            <w:proofErr w:type="spellEnd"/>
            <w:r w:rsidRPr="002C32BA">
              <w:rPr>
                <w:rFonts w:ascii="Times New Roman" w:hAnsi="Times New Roman"/>
                <w:iCs/>
                <w:sz w:val="20"/>
                <w:szCs w:val="20"/>
                <w:lang w:val="ro-RO" w:eastAsia="ru-RU"/>
              </w:rPr>
              <w:t xml:space="preserve"> acoperite de acorduri de compensare recunoscute de autoritățile competente în temeiul capitolului 6, dacă există o neconcordanță între moneda garanției reale și moneda de decontare, instituțiile trebuie să aplice o ajustare de volatilitate care să reflecte volatilitatea monedei. Chiar dacă în tranzacțiile acoperite de acordul de compensare sunt implicate mai multe monede, instituțiile aplică o singură ajustare de volatilitate.</w:t>
            </w:r>
          </w:p>
        </w:tc>
        <w:tc>
          <w:tcPr>
            <w:tcW w:w="1636" w:type="pct"/>
            <w:shd w:val="clear" w:color="auto" w:fill="auto"/>
          </w:tcPr>
          <w:p w14:paraId="3F5DA5D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a 5-a. Metoda extinsă a garanțiilor financiare</w:t>
            </w:r>
          </w:p>
          <w:p w14:paraId="06B11902"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531926A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EA1E63">
              <w:rPr>
                <w:rFonts w:ascii="Times New Roman" w:hAnsi="Times New Roman"/>
                <w:b/>
                <w:bCs/>
                <w:sz w:val="20"/>
                <w:szCs w:val="20"/>
                <w:lang w:val="ro-RO" w:eastAsia="ru-RU"/>
              </w:rPr>
              <w:t>84.</w:t>
            </w:r>
            <w:r w:rsidRPr="002C32BA">
              <w:rPr>
                <w:rFonts w:ascii="Times New Roman" w:hAnsi="Times New Roman"/>
                <w:sz w:val="20"/>
                <w:szCs w:val="20"/>
                <w:lang w:val="ro-RO" w:eastAsia="ru-RU"/>
              </w:rPr>
              <w:t xml:space="preserve"> La evaluarea garanțiilor financiare în scopul aplicării metodei extinse a garanțiilor financiare, pentru a ține seama de volatilitatea prețurilor, băncile trebuie să aplice ajustările de volatilitate valorii de piață a garanției reale, astfel cum se prevede la secțiunile 6-8 din prezentul capitol. </w:t>
            </w:r>
          </w:p>
          <w:p w14:paraId="06ECFF6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EA1E63">
              <w:rPr>
                <w:rFonts w:ascii="Times New Roman" w:hAnsi="Times New Roman"/>
                <w:b/>
                <w:bCs/>
                <w:sz w:val="20"/>
                <w:szCs w:val="20"/>
                <w:lang w:val="ro-RO" w:eastAsia="ru-RU"/>
              </w:rPr>
              <w:t>85.</w:t>
            </w:r>
            <w:r w:rsidRPr="002C32BA">
              <w:rPr>
                <w:rFonts w:ascii="Times New Roman" w:hAnsi="Times New Roman"/>
                <w:sz w:val="20"/>
                <w:szCs w:val="20"/>
                <w:lang w:val="ro-RO" w:eastAsia="ru-RU"/>
              </w:rPr>
              <w:t xml:space="preserve"> În cazul în care garanția reală și expunerea-suport sunt exprimate în monede diferite, băncile trebuie să adauge la ajustarea de volatilitate adecvată garanției reale indicate la punctul 84 o ajustare care să reflecte volatilitatea monedei, astfel cum se prevede la Secțiunile 6-8 din prezentul capitol.</w:t>
            </w:r>
          </w:p>
          <w:p w14:paraId="47A11E8B" w14:textId="769C16DE" w:rsidR="00D62F3C" w:rsidRDefault="00D62F3C" w:rsidP="00D62F3C">
            <w:pPr>
              <w:pStyle w:val="CM4"/>
              <w:tabs>
                <w:tab w:val="left" w:pos="150"/>
              </w:tabs>
              <w:ind w:left="-36"/>
              <w:rPr>
                <w:rFonts w:ascii="Times New Roman" w:hAnsi="Times New Roman"/>
                <w:color w:val="000000" w:themeColor="text1"/>
                <w:sz w:val="20"/>
                <w:szCs w:val="20"/>
                <w:lang w:val="ro-RO" w:eastAsia="ro-MD"/>
              </w:rPr>
            </w:pPr>
            <w:r w:rsidRPr="00EA1E63">
              <w:rPr>
                <w:rFonts w:ascii="Times New Roman" w:hAnsi="Times New Roman"/>
                <w:b/>
                <w:bCs/>
                <w:sz w:val="20"/>
                <w:szCs w:val="20"/>
                <w:lang w:val="ro-RO" w:eastAsia="ru-RU"/>
              </w:rPr>
              <w:t>86.</w:t>
            </w:r>
            <w:r w:rsidRPr="002C32BA">
              <w:rPr>
                <w:rFonts w:ascii="Times New Roman" w:hAnsi="Times New Roman"/>
                <w:sz w:val="20"/>
                <w:szCs w:val="20"/>
                <w:lang w:val="ro-RO" w:eastAsia="ru-RU"/>
              </w:rPr>
              <w:t xml:space="preserve"> </w:t>
            </w:r>
            <w:r w:rsidR="00EA1E63" w:rsidRPr="005C3300">
              <w:rPr>
                <w:rFonts w:ascii="Times New Roman" w:hAnsi="Times New Roman"/>
                <w:color w:val="000000" w:themeColor="text1"/>
                <w:sz w:val="20"/>
                <w:szCs w:val="20"/>
                <w:lang w:val="ro-RO" w:eastAsia="ro-MD"/>
              </w:rPr>
              <w:t xml:space="preserve">În cazul tranzacțiilor cu instrumente financiare derivate </w:t>
            </w:r>
            <w:proofErr w:type="spellStart"/>
            <w:r w:rsidR="00EA1E63" w:rsidRPr="005C3300">
              <w:rPr>
                <w:rFonts w:ascii="Times New Roman" w:hAnsi="Times New Roman"/>
                <w:color w:val="000000" w:themeColor="text1"/>
                <w:sz w:val="20"/>
                <w:szCs w:val="20"/>
                <w:lang w:val="ro-RO" w:eastAsia="ro-MD"/>
              </w:rPr>
              <w:t>extrabursiere</w:t>
            </w:r>
            <w:proofErr w:type="spellEnd"/>
            <w:r w:rsidR="00EA1E63" w:rsidRPr="005C3300">
              <w:rPr>
                <w:rFonts w:ascii="Times New Roman" w:hAnsi="Times New Roman"/>
                <w:color w:val="000000" w:themeColor="text1"/>
                <w:sz w:val="20"/>
                <w:szCs w:val="20"/>
                <w:lang w:val="ro-RO" w:eastAsia="ro-MD"/>
              </w:rPr>
              <w:t xml:space="preserve"> acoperite de </w:t>
            </w:r>
            <w:bookmarkStart w:id="36" w:name="_Hlk216255358"/>
            <w:r w:rsidR="00EA1E63" w:rsidRPr="005C3300">
              <w:rPr>
                <w:rFonts w:ascii="Times New Roman" w:hAnsi="Times New Roman"/>
                <w:color w:val="000000" w:themeColor="text1"/>
                <w:sz w:val="20"/>
                <w:szCs w:val="20"/>
                <w:lang w:val="ro-RO" w:eastAsia="ro-MD"/>
              </w:rPr>
              <w:t xml:space="preserve">acorduri de compensare </w:t>
            </w:r>
            <w:bookmarkStart w:id="37" w:name="_Hlk216255378"/>
            <w:bookmarkEnd w:id="36"/>
            <w:r w:rsidR="00EA1E63" w:rsidRPr="005C3300">
              <w:rPr>
                <w:rFonts w:ascii="Times New Roman" w:hAnsi="Times New Roman"/>
                <w:color w:val="000000" w:themeColor="text1"/>
                <w:sz w:val="20"/>
                <w:szCs w:val="20"/>
                <w:lang w:val="ro-RO" w:eastAsia="ro-MD"/>
              </w:rPr>
              <w:t xml:space="preserve">recunoscute în baza </w:t>
            </w:r>
            <w:r w:rsidR="00615387" w:rsidRPr="00615387">
              <w:rPr>
                <w:rFonts w:ascii="Times New Roman" w:hAnsi="Times New Roman"/>
                <w:color w:val="000000" w:themeColor="text1"/>
                <w:sz w:val="20"/>
                <w:szCs w:val="20"/>
                <w:lang w:val="ro-RO" w:eastAsia="ro-MD"/>
              </w:rPr>
              <w:t>Regulamentul</w:t>
            </w:r>
            <w:r w:rsidR="00615387">
              <w:rPr>
                <w:rFonts w:ascii="Times New Roman" w:hAnsi="Times New Roman"/>
                <w:color w:val="000000" w:themeColor="text1"/>
                <w:sz w:val="20"/>
                <w:szCs w:val="20"/>
                <w:lang w:val="ro-RO" w:eastAsia="ro-MD"/>
              </w:rPr>
              <w:t>ui</w:t>
            </w:r>
            <w:r w:rsidR="00615387" w:rsidRPr="00615387">
              <w:rPr>
                <w:rFonts w:ascii="Times New Roman" w:hAnsi="Times New Roman"/>
                <w:color w:val="000000" w:themeColor="text1"/>
                <w:sz w:val="20"/>
                <w:szCs w:val="20"/>
                <w:lang w:val="ro-RO" w:eastAsia="ro-MD"/>
              </w:rPr>
              <w:t xml:space="preserve"> nr.220/2025</w:t>
            </w:r>
            <w:r w:rsidR="00EA1E63" w:rsidRPr="005C3300">
              <w:rPr>
                <w:rFonts w:ascii="Times New Roman" w:hAnsi="Times New Roman"/>
                <w:color w:val="000000" w:themeColor="text1"/>
                <w:sz w:val="20"/>
                <w:szCs w:val="20"/>
                <w:lang w:val="ro-RO" w:eastAsia="ro-MD"/>
              </w:rPr>
              <w:t xml:space="preserve">, </w:t>
            </w:r>
            <w:bookmarkEnd w:id="37"/>
            <w:r w:rsidR="00EA1E63" w:rsidRPr="005C3300">
              <w:rPr>
                <w:rFonts w:ascii="Times New Roman" w:hAnsi="Times New Roman"/>
                <w:color w:val="000000" w:themeColor="text1"/>
                <w:sz w:val="20"/>
                <w:szCs w:val="20"/>
                <w:lang w:val="ro-RO" w:eastAsia="ro-MD"/>
              </w:rPr>
              <w:t>dacă există o neconcordanță între moneda garanției reale și moneda de decontare, băncile trebuie să aplice o ajustare de volatilitate care să reflecte volatilitatea monedei. Chiar dacă în tranzacțiile acoperite de acordul de compensare sunt implicate mai multe monede, băncile trebuie să aplice o singură ajustare de volatilitate.</w:t>
            </w:r>
          </w:p>
          <w:p w14:paraId="4D0FF73A" w14:textId="132355A3" w:rsidR="00EA1E63" w:rsidRPr="00EA1E63" w:rsidRDefault="00EA1E63" w:rsidP="00EA1E63">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788C44D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383A8F21" w14:textId="6B77A73A"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991AB59"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5CC85B3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7CE59C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Instituțiile calculează valoarea ajustată în funcție de volatilitate a garanției reale (C VA ), pe care trebuie să o ia în considerare, după cum urmează:</w:t>
            </w:r>
          </w:p>
          <w:p w14:paraId="32562106" w14:textId="77777777" w:rsidR="00D62F3C" w:rsidRPr="002C32BA" w:rsidRDefault="00D62F3C" w:rsidP="00D62F3C">
            <w:pPr>
              <w:rPr>
                <w:rFonts w:ascii="Times New Roman" w:hAnsi="Times New Roman" w:cs="Times New Roman"/>
                <w:sz w:val="20"/>
                <w:szCs w:val="20"/>
                <w:lang w:val="ro-RO"/>
              </w:rPr>
            </w:pPr>
            <w:r w:rsidRPr="002C32BA">
              <w:rPr>
                <w:rFonts w:ascii="Times New Roman" w:eastAsia="Arial Unicode MS" w:hAnsi="Times New Roman" w:cs="Times New Roman"/>
                <w:noProof/>
                <w:sz w:val="20"/>
                <w:szCs w:val="20"/>
                <w:lang w:val="ro-RO"/>
              </w:rPr>
              <w:drawing>
                <wp:inline distT="0" distB="0" distL="0" distR="0" wp14:anchorId="49B44340" wp14:editId="2384CD69">
                  <wp:extent cx="2001520" cy="276225"/>
                  <wp:effectExtent l="0" t="0" r="0" b="0"/>
                  <wp:docPr id="9" name="Picture 9"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escription: 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01520" cy="276225"/>
                          </a:xfrm>
                          <a:prstGeom prst="rect">
                            <a:avLst/>
                          </a:prstGeom>
                          <a:noFill/>
                          <a:ln>
                            <a:noFill/>
                          </a:ln>
                        </pic:spPr>
                      </pic:pic>
                    </a:graphicData>
                  </a:graphic>
                </wp:inline>
              </w:drawing>
            </w:r>
          </w:p>
          <w:p w14:paraId="2D3DA9D7" w14:textId="77777777" w:rsidR="00D62F3C" w:rsidRPr="002C32BA" w:rsidRDefault="00D62F3C" w:rsidP="00D62F3C">
            <w:pPr>
              <w:pStyle w:val="ListParagraph"/>
              <w:ind w:left="0"/>
              <w:jc w:val="both"/>
              <w:rPr>
                <w:rFonts w:ascii="Times New Roman" w:hAnsi="Times New Roman" w:cs="Times New Roman"/>
                <w:iCs/>
                <w:sz w:val="20"/>
                <w:szCs w:val="20"/>
                <w:lang w:val="ro-RO"/>
              </w:rPr>
            </w:pPr>
            <w:r w:rsidRPr="002C32BA">
              <w:rPr>
                <w:rFonts w:ascii="Times New Roman" w:hAnsi="Times New Roman" w:cs="Times New Roman"/>
                <w:iCs/>
                <w:sz w:val="20"/>
                <w:szCs w:val="20"/>
                <w:lang w:val="ro-RO"/>
              </w:rPr>
              <w:t>unde:</w:t>
            </w:r>
          </w:p>
          <w:p w14:paraId="31A95B99" w14:textId="77777777" w:rsidR="00D62F3C" w:rsidRPr="002C32BA" w:rsidRDefault="00D62F3C" w:rsidP="00D62F3C">
            <w:pPr>
              <w:jc w:val="both"/>
              <w:rPr>
                <w:rFonts w:ascii="Times New Roman" w:hAnsi="Times New Roman" w:cs="Times New Roman"/>
                <w:iCs/>
                <w:sz w:val="20"/>
                <w:szCs w:val="20"/>
                <w:lang w:val="ro-RO"/>
              </w:rPr>
            </w:pPr>
            <w:r w:rsidRPr="002C32BA">
              <w:rPr>
                <w:rFonts w:ascii="Times New Roman" w:hAnsi="Times New Roman" w:cs="Times New Roman"/>
                <w:iCs/>
                <w:sz w:val="20"/>
                <w:szCs w:val="20"/>
                <w:lang w:val="ro-RO"/>
              </w:rPr>
              <w:t xml:space="preserve">C = valoarea garanției reale; </w:t>
            </w:r>
          </w:p>
          <w:p w14:paraId="492BC2CA" w14:textId="77777777" w:rsidR="00D62F3C" w:rsidRPr="002C32BA" w:rsidRDefault="00D62F3C" w:rsidP="00D62F3C">
            <w:pPr>
              <w:pStyle w:val="CM1"/>
              <w:spacing w:before="200" w:after="200"/>
              <w:rPr>
                <w:rFonts w:ascii="Times New Roman" w:eastAsiaTheme="minorHAnsi" w:hAnsi="Times New Roman"/>
                <w:sz w:val="20"/>
                <w:szCs w:val="20"/>
                <w:lang w:val="ro-RO"/>
              </w:rPr>
            </w:pPr>
            <w:r w:rsidRPr="002C32BA">
              <w:rPr>
                <w:rFonts w:ascii="Times New Roman" w:hAnsi="Times New Roman"/>
                <w:iCs/>
                <w:sz w:val="20"/>
                <w:szCs w:val="20"/>
                <w:lang w:val="ro-RO"/>
              </w:rPr>
              <w:t>H</w:t>
            </w:r>
            <w:r w:rsidRPr="002C32BA">
              <w:rPr>
                <w:rFonts w:ascii="Times New Roman" w:hAnsi="Times New Roman"/>
                <w:iCs/>
                <w:sz w:val="20"/>
                <w:szCs w:val="20"/>
                <w:vertAlign w:val="subscript"/>
                <w:lang w:val="ro-RO"/>
              </w:rPr>
              <w:t>C</w:t>
            </w:r>
            <w:r w:rsidRPr="002C32BA">
              <w:rPr>
                <w:rFonts w:ascii="Times New Roman" w:hAnsi="Times New Roman"/>
                <w:iCs/>
                <w:sz w:val="20"/>
                <w:szCs w:val="20"/>
                <w:lang w:val="ro-RO"/>
              </w:rPr>
              <w:t xml:space="preserve"> = </w:t>
            </w:r>
            <w:r w:rsidRPr="002C32BA">
              <w:rPr>
                <w:rFonts w:ascii="Times New Roman" w:hAnsi="Times New Roman"/>
                <w:iCs/>
                <w:sz w:val="20"/>
                <w:szCs w:val="20"/>
                <w:lang w:val="ro-RO" w:eastAsia="ru-RU"/>
              </w:rPr>
              <w:t>ajustarea de volatilitate adecvată garanției reale, calculată în conformitate cu articolele 224 și 227</w:t>
            </w:r>
            <w:r w:rsidRPr="002C32BA">
              <w:rPr>
                <w:rFonts w:ascii="Times New Roman" w:hAnsi="Times New Roman"/>
                <w:iCs/>
                <w:sz w:val="20"/>
                <w:szCs w:val="20"/>
                <w:lang w:val="ro-RO"/>
              </w:rPr>
              <w:t xml:space="preserve">  </w:t>
            </w:r>
          </w:p>
          <w:p w14:paraId="2EDCA0CA" w14:textId="77777777" w:rsidR="00D62F3C" w:rsidRPr="002C32BA" w:rsidRDefault="00D62F3C" w:rsidP="00D62F3C">
            <w:pPr>
              <w:rPr>
                <w:rFonts w:ascii="Times New Roman" w:hAnsi="Times New Roman" w:cs="Times New Roman"/>
                <w:iCs/>
                <w:sz w:val="20"/>
                <w:szCs w:val="20"/>
                <w:lang w:val="ro-RO"/>
              </w:rPr>
            </w:pPr>
            <w:proofErr w:type="spellStart"/>
            <w:r w:rsidRPr="002C32BA">
              <w:rPr>
                <w:rFonts w:ascii="Times New Roman" w:hAnsi="Times New Roman" w:cs="Times New Roman"/>
                <w:iCs/>
                <w:sz w:val="20"/>
                <w:szCs w:val="20"/>
                <w:lang w:val="ro-RO"/>
              </w:rPr>
              <w:t>H</w:t>
            </w:r>
            <w:r w:rsidRPr="002C32BA">
              <w:rPr>
                <w:rFonts w:ascii="Times New Roman" w:hAnsi="Times New Roman" w:cs="Times New Roman"/>
                <w:iCs/>
                <w:sz w:val="20"/>
                <w:szCs w:val="20"/>
                <w:vertAlign w:val="subscript"/>
                <w:lang w:val="ro-RO"/>
              </w:rPr>
              <w:t>fx</w:t>
            </w:r>
            <w:proofErr w:type="spellEnd"/>
            <w:r w:rsidRPr="002C32BA">
              <w:rPr>
                <w:rFonts w:ascii="Times New Roman" w:hAnsi="Times New Roman" w:cs="Times New Roman"/>
                <w:iCs/>
                <w:sz w:val="20"/>
                <w:szCs w:val="20"/>
                <w:lang w:val="ro-RO"/>
              </w:rPr>
              <w:t xml:space="preserve"> = ajustarea de volatilitate adecvată neconcordanței de monede, calculată în conformitate cu articolele 224 și 227;</w:t>
            </w:r>
          </w:p>
          <w:p w14:paraId="61114451" w14:textId="77777777" w:rsidR="00D62F3C" w:rsidRPr="002C32BA" w:rsidRDefault="00D62F3C" w:rsidP="00D62F3C">
            <w:pPr>
              <w:rPr>
                <w:rFonts w:ascii="Times New Roman" w:hAnsi="Times New Roman" w:cs="Times New Roman"/>
                <w:iCs/>
                <w:sz w:val="20"/>
                <w:szCs w:val="20"/>
                <w:lang w:val="ro-RO"/>
              </w:rPr>
            </w:pPr>
          </w:p>
          <w:p w14:paraId="6E76B695"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iCs/>
                <w:sz w:val="20"/>
                <w:szCs w:val="20"/>
                <w:lang w:val="ro-RO"/>
              </w:rPr>
              <w:t>Instituțiile utilizează formula prevăzută de prezentul alineat la calculul valorii ajustate în funcție de volatilitate a garanției reale pentru toate tranzacțiile, cu excepția celor supuse acordurilor-cadru de compensare recunoscute, cărora li se aplică dispozițiile articolelor 220 și 221.</w:t>
            </w:r>
          </w:p>
        </w:tc>
        <w:tc>
          <w:tcPr>
            <w:tcW w:w="1636" w:type="pct"/>
            <w:shd w:val="clear" w:color="auto" w:fill="auto"/>
          </w:tcPr>
          <w:p w14:paraId="5B476631" w14:textId="77777777" w:rsidR="00D62F3C" w:rsidRPr="002C32BA" w:rsidRDefault="00D62F3C" w:rsidP="00D62F3C">
            <w:pPr>
              <w:jc w:val="both"/>
              <w:rPr>
                <w:rFonts w:ascii="Times New Roman" w:hAnsi="Times New Roman" w:cs="Times New Roman"/>
                <w:sz w:val="20"/>
                <w:szCs w:val="20"/>
                <w:lang w:val="ro-RO"/>
              </w:rPr>
            </w:pPr>
            <w:bookmarkStart w:id="38" w:name="_Ref501117043"/>
            <w:r w:rsidRPr="00287E5D">
              <w:rPr>
                <w:rFonts w:ascii="Times New Roman" w:hAnsi="Times New Roman" w:cs="Times New Roman"/>
                <w:b/>
                <w:bCs/>
                <w:sz w:val="20"/>
                <w:szCs w:val="20"/>
                <w:lang w:val="ro-RO"/>
              </w:rPr>
              <w:t>87.</w:t>
            </w:r>
            <w:r w:rsidRPr="002C32BA">
              <w:rPr>
                <w:rFonts w:ascii="Times New Roman" w:hAnsi="Times New Roman" w:cs="Times New Roman"/>
                <w:sz w:val="20"/>
                <w:szCs w:val="20"/>
                <w:lang w:val="ro-RO"/>
              </w:rPr>
              <w:t xml:space="preserve"> Băncile trebuie să calculeze valoarea ajustată în funcție de volatilitate a garanției reale (CVA), pe care acestea trebuie să o ia în considerare, după cum urmează:</w:t>
            </w:r>
            <w:bookmarkEnd w:id="38"/>
            <w:r w:rsidRPr="002C32BA">
              <w:rPr>
                <w:rFonts w:ascii="Times New Roman" w:hAnsi="Times New Roman" w:cs="Times New Roman"/>
                <w:sz w:val="20"/>
                <w:szCs w:val="20"/>
                <w:lang w:val="ro-RO"/>
              </w:rPr>
              <w:t xml:space="preserve"> </w:t>
            </w:r>
          </w:p>
          <w:p w14:paraId="5D284D93" w14:textId="77777777" w:rsidR="00D62F3C" w:rsidRPr="002C32BA" w:rsidRDefault="00D62F3C" w:rsidP="00D62F3C">
            <w:pPr>
              <w:pStyle w:val="ListParagraph"/>
              <w:ind w:left="0" w:firstLine="720"/>
              <w:jc w:val="both"/>
              <w:rPr>
                <w:rFonts w:ascii="Times New Roman" w:hAnsi="Times New Roman" w:cs="Times New Roman"/>
                <w:sz w:val="20"/>
                <w:szCs w:val="20"/>
                <w:lang w:val="ro-RO"/>
              </w:rPr>
            </w:pPr>
            <w:r w:rsidRPr="002C32BA">
              <w:rPr>
                <w:rFonts w:ascii="Times New Roman" w:hAnsi="Times New Roman" w:cs="Times New Roman"/>
                <w:noProof/>
                <w:sz w:val="20"/>
                <w:szCs w:val="20"/>
                <w:lang w:val="ro-RO"/>
              </w:rPr>
              <w:drawing>
                <wp:inline distT="0" distB="0" distL="0" distR="0" wp14:anchorId="38C902D9" wp14:editId="127F002C">
                  <wp:extent cx="2001520" cy="276225"/>
                  <wp:effectExtent l="0" t="0" r="0" b="0"/>
                  <wp:docPr id="8" name="Picture 8"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escription: 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01520" cy="276225"/>
                          </a:xfrm>
                          <a:prstGeom prst="rect">
                            <a:avLst/>
                          </a:prstGeom>
                          <a:noFill/>
                          <a:ln>
                            <a:noFill/>
                          </a:ln>
                        </pic:spPr>
                      </pic:pic>
                    </a:graphicData>
                  </a:graphic>
                </wp:inline>
              </w:drawing>
            </w:r>
          </w:p>
          <w:p w14:paraId="6E34F031" w14:textId="77777777" w:rsidR="00D62F3C" w:rsidRPr="002C32BA" w:rsidRDefault="00D62F3C" w:rsidP="00D62F3C">
            <w:pPr>
              <w:pStyle w:val="ListParagraph"/>
              <w:ind w:left="0" w:firstLine="101"/>
              <w:jc w:val="both"/>
              <w:rPr>
                <w:rFonts w:ascii="Times New Roman" w:hAnsi="Times New Roman" w:cs="Times New Roman"/>
                <w:sz w:val="20"/>
                <w:szCs w:val="20"/>
                <w:lang w:val="ro-RO"/>
              </w:rPr>
            </w:pPr>
            <w:r w:rsidRPr="002C32BA">
              <w:rPr>
                <w:rFonts w:ascii="Times New Roman" w:hAnsi="Times New Roman" w:cs="Times New Roman"/>
                <w:sz w:val="20"/>
                <w:szCs w:val="20"/>
                <w:lang w:val="ro-RO"/>
              </w:rPr>
              <w:t>unde:</w:t>
            </w:r>
          </w:p>
          <w:p w14:paraId="7FEF884D" w14:textId="77777777" w:rsidR="00D62F3C" w:rsidRPr="002C32BA" w:rsidRDefault="00D62F3C" w:rsidP="00D62F3C">
            <w:pPr>
              <w:pStyle w:val="ListParagraph"/>
              <w:ind w:left="0" w:firstLine="101"/>
              <w:jc w:val="both"/>
              <w:rPr>
                <w:rFonts w:ascii="Times New Roman" w:hAnsi="Times New Roman" w:cs="Times New Roman"/>
                <w:sz w:val="20"/>
                <w:szCs w:val="20"/>
                <w:lang w:val="ro-RO"/>
              </w:rPr>
            </w:pPr>
            <w:r w:rsidRPr="002C32BA">
              <w:rPr>
                <w:rFonts w:ascii="Times New Roman" w:hAnsi="Times New Roman" w:cs="Times New Roman"/>
                <w:sz w:val="20"/>
                <w:szCs w:val="20"/>
                <w:lang w:val="ro-RO"/>
              </w:rPr>
              <w:t xml:space="preserve">C = valoarea garanției reale; </w:t>
            </w:r>
          </w:p>
          <w:p w14:paraId="234CDF98" w14:textId="77777777" w:rsidR="00D62F3C" w:rsidRPr="002C32BA" w:rsidRDefault="00D62F3C" w:rsidP="00D62F3C">
            <w:pPr>
              <w:pStyle w:val="ListParagraph"/>
              <w:ind w:left="0" w:firstLine="101"/>
              <w:jc w:val="both"/>
              <w:rPr>
                <w:rFonts w:ascii="Times New Roman" w:hAnsi="Times New Roman" w:cs="Times New Roman"/>
                <w:sz w:val="20"/>
                <w:szCs w:val="20"/>
                <w:lang w:val="ro-RO"/>
              </w:rPr>
            </w:pPr>
            <w:r w:rsidRPr="002C32BA">
              <w:rPr>
                <w:rFonts w:ascii="Times New Roman" w:hAnsi="Times New Roman" w:cs="Times New Roman"/>
                <w:sz w:val="20"/>
                <w:szCs w:val="20"/>
                <w:lang w:val="ro-RO"/>
              </w:rPr>
              <w:t>H</w:t>
            </w:r>
            <w:r w:rsidRPr="002C32BA">
              <w:rPr>
                <w:rFonts w:ascii="Times New Roman" w:hAnsi="Times New Roman" w:cs="Times New Roman"/>
                <w:sz w:val="20"/>
                <w:szCs w:val="20"/>
                <w:vertAlign w:val="subscript"/>
                <w:lang w:val="ro-RO"/>
              </w:rPr>
              <w:t>C</w:t>
            </w:r>
            <w:r w:rsidRPr="002C32BA">
              <w:rPr>
                <w:rFonts w:ascii="Times New Roman" w:hAnsi="Times New Roman" w:cs="Times New Roman"/>
                <w:sz w:val="20"/>
                <w:szCs w:val="20"/>
                <w:lang w:val="ro-RO"/>
              </w:rPr>
              <w:t xml:space="preserve"> = ajustarea de volatilitate adecvată garanției reale, calculată în conformitate cu secțiunile 6 și 8 din prezentul capitol; </w:t>
            </w:r>
          </w:p>
          <w:p w14:paraId="572A9A2B" w14:textId="77777777" w:rsidR="00D62F3C" w:rsidRPr="002C32BA" w:rsidRDefault="00D62F3C" w:rsidP="00D62F3C">
            <w:pPr>
              <w:pStyle w:val="ListParagraph"/>
              <w:ind w:left="0" w:firstLine="101"/>
              <w:jc w:val="both"/>
              <w:rPr>
                <w:rFonts w:ascii="Times New Roman" w:hAnsi="Times New Roman" w:cs="Times New Roman"/>
                <w:sz w:val="20"/>
                <w:szCs w:val="20"/>
                <w:lang w:val="ro-RO"/>
              </w:rPr>
            </w:pPr>
            <w:proofErr w:type="spellStart"/>
            <w:r w:rsidRPr="002C32BA">
              <w:rPr>
                <w:rFonts w:ascii="Times New Roman" w:hAnsi="Times New Roman" w:cs="Times New Roman"/>
                <w:sz w:val="20"/>
                <w:szCs w:val="20"/>
                <w:lang w:val="ro-RO"/>
              </w:rPr>
              <w:t>H</w:t>
            </w:r>
            <w:r w:rsidRPr="002C32BA">
              <w:rPr>
                <w:rFonts w:ascii="Times New Roman" w:hAnsi="Times New Roman" w:cs="Times New Roman"/>
                <w:sz w:val="20"/>
                <w:szCs w:val="20"/>
                <w:vertAlign w:val="subscript"/>
                <w:lang w:val="ro-RO"/>
              </w:rPr>
              <w:t>fx</w:t>
            </w:r>
            <w:proofErr w:type="spellEnd"/>
            <w:r w:rsidRPr="002C32BA">
              <w:rPr>
                <w:rFonts w:ascii="Times New Roman" w:hAnsi="Times New Roman" w:cs="Times New Roman"/>
                <w:sz w:val="20"/>
                <w:szCs w:val="20"/>
                <w:lang w:val="ro-RO"/>
              </w:rPr>
              <w:t xml:space="preserve"> = ajustarea de volatilitate adecvată neconcordanței de monede, calculată în conformitate cu Secțiunile 6 și 8 din prezentul capitol. </w:t>
            </w:r>
          </w:p>
          <w:p w14:paraId="18693632" w14:textId="77777777" w:rsidR="00D62F3C" w:rsidRPr="002C32BA" w:rsidRDefault="00D62F3C" w:rsidP="00D62F3C">
            <w:pPr>
              <w:pStyle w:val="ListParagraph"/>
              <w:ind w:left="0" w:firstLine="101"/>
              <w:jc w:val="both"/>
              <w:rPr>
                <w:rFonts w:ascii="Times New Roman" w:hAnsi="Times New Roman" w:cs="Times New Roman"/>
                <w:sz w:val="20"/>
                <w:szCs w:val="20"/>
                <w:lang w:val="ro-RO"/>
              </w:rPr>
            </w:pPr>
          </w:p>
          <w:p w14:paraId="1750D61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87E5D">
              <w:rPr>
                <w:rFonts w:ascii="Times New Roman" w:hAnsi="Times New Roman"/>
                <w:b/>
                <w:bCs/>
                <w:sz w:val="20"/>
                <w:szCs w:val="20"/>
                <w:lang w:val="ro-RO" w:eastAsia="ru-RU"/>
              </w:rPr>
              <w:t>88.</w:t>
            </w:r>
            <w:r w:rsidRPr="002C32BA">
              <w:rPr>
                <w:rFonts w:ascii="Times New Roman" w:hAnsi="Times New Roman"/>
                <w:sz w:val="20"/>
                <w:szCs w:val="20"/>
                <w:lang w:val="ro-RO" w:eastAsia="ru-RU"/>
              </w:rPr>
              <w:t xml:space="preserve"> Băncile trebuie să utilizeze formula prevăzută de punctul 87 la calculul valorii ajustate în funcție de volatilitate a garanției reale pentru toate tranzacțiile, cu excepția celor tranzacții care fac obiectul acordurilor-cadru de compensare recunoscute, cărora li se aplică dispozițiile secțiunii 2 din prezentul capitol.</w:t>
            </w:r>
          </w:p>
        </w:tc>
        <w:tc>
          <w:tcPr>
            <w:tcW w:w="562" w:type="pct"/>
          </w:tcPr>
          <w:p w14:paraId="1331CD22"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8973B3C" w14:textId="78CF6E85"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D07845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D61297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(3) Instituțiile calculează valoarea ajustată în funcție de volatilitate a expunerii (E </w:t>
            </w:r>
            <w:r w:rsidRPr="002C32BA">
              <w:rPr>
                <w:rFonts w:ascii="Times New Roman" w:hAnsi="Times New Roman"/>
                <w:iCs/>
                <w:sz w:val="20"/>
                <w:szCs w:val="20"/>
                <w:vertAlign w:val="subscript"/>
                <w:lang w:val="ro-RO" w:eastAsia="ru-RU"/>
              </w:rPr>
              <w:t>VA</w:t>
            </w:r>
            <w:r w:rsidRPr="002C32BA">
              <w:rPr>
                <w:rFonts w:ascii="Times New Roman" w:hAnsi="Times New Roman"/>
                <w:iCs/>
                <w:sz w:val="20"/>
                <w:szCs w:val="20"/>
                <w:lang w:val="ro-RO" w:eastAsia="ru-RU"/>
              </w:rPr>
              <w:t xml:space="preserve"> ), pe care trebuie să o ia în considerare, după cum urmează:</w:t>
            </w:r>
          </w:p>
          <w:p w14:paraId="6380D987" w14:textId="77777777" w:rsidR="00D62F3C" w:rsidRPr="002C32BA" w:rsidRDefault="00D62F3C" w:rsidP="00D62F3C">
            <w:pPr>
              <w:rPr>
                <w:rFonts w:ascii="Times New Roman" w:hAnsi="Times New Roman" w:cs="Times New Roman"/>
                <w:sz w:val="20"/>
                <w:szCs w:val="20"/>
                <w:lang w:val="ro-RO"/>
              </w:rPr>
            </w:pPr>
            <w:r w:rsidRPr="002C32BA">
              <w:rPr>
                <w:rFonts w:ascii="Times New Roman" w:eastAsia="Arial Unicode MS" w:hAnsi="Times New Roman" w:cs="Times New Roman"/>
                <w:noProof/>
                <w:sz w:val="20"/>
                <w:szCs w:val="20"/>
                <w:lang w:val="ro-RO"/>
              </w:rPr>
              <w:drawing>
                <wp:inline distT="0" distB="0" distL="0" distR="0" wp14:anchorId="2D365A72" wp14:editId="1938A5AD">
                  <wp:extent cx="1483995" cy="276225"/>
                  <wp:effectExtent l="0" t="0" r="0" b="0"/>
                  <wp:docPr id="12" name="Picture 12"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escription: 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3995" cy="276225"/>
                          </a:xfrm>
                          <a:prstGeom prst="rect">
                            <a:avLst/>
                          </a:prstGeom>
                          <a:noFill/>
                          <a:ln>
                            <a:noFill/>
                          </a:ln>
                        </pic:spPr>
                      </pic:pic>
                    </a:graphicData>
                  </a:graphic>
                </wp:inline>
              </w:drawing>
            </w:r>
          </w:p>
          <w:p w14:paraId="6125F053" w14:textId="77777777"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unde:</w:t>
            </w:r>
          </w:p>
          <w:p w14:paraId="078189A8" w14:textId="77777777"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E = valoarea expunerii, care ar fi determinată în conformitate cu capitolele 2 sau 3, după caz, dacă expunerea nu ar fi garantată;</w:t>
            </w:r>
          </w:p>
          <w:p w14:paraId="0F8A9BEB" w14:textId="77777777"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 xml:space="preserve">H </w:t>
            </w:r>
            <w:r w:rsidRPr="002C32BA">
              <w:rPr>
                <w:rFonts w:ascii="Times New Roman" w:hAnsi="Times New Roman" w:cs="Times New Roman"/>
                <w:iCs/>
                <w:sz w:val="20"/>
                <w:szCs w:val="20"/>
                <w:vertAlign w:val="subscript"/>
                <w:lang w:val="ro-RO"/>
              </w:rPr>
              <w:t>E</w:t>
            </w:r>
            <w:r w:rsidRPr="002C32BA">
              <w:rPr>
                <w:rFonts w:ascii="Times New Roman" w:hAnsi="Times New Roman" w:cs="Times New Roman"/>
                <w:iCs/>
                <w:sz w:val="20"/>
                <w:szCs w:val="20"/>
                <w:lang w:val="ro-RO"/>
              </w:rPr>
              <w:t xml:space="preserve"> = ajustarea de volatilitate adecvată expunerii, calculată în conformitate cu articolele 224 și 227;</w:t>
            </w:r>
          </w:p>
          <w:p w14:paraId="538C4E7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M8</w:t>
            </w:r>
          </w:p>
          <w:p w14:paraId="48AA87F0" w14:textId="44FC568E"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 xml:space="preserve">În cazul tranzacțiilor cu instrumente financiare derivate </w:t>
            </w:r>
            <w:proofErr w:type="spellStart"/>
            <w:r w:rsidRPr="002C32BA">
              <w:rPr>
                <w:rFonts w:ascii="Times New Roman" w:hAnsi="Times New Roman" w:cs="Times New Roman"/>
                <w:iCs/>
                <w:sz w:val="20"/>
                <w:szCs w:val="20"/>
                <w:lang w:val="ro-RO"/>
              </w:rPr>
              <w:t>extrabursiere</w:t>
            </w:r>
            <w:proofErr w:type="spellEnd"/>
            <w:r w:rsidRPr="002C32BA">
              <w:rPr>
                <w:rFonts w:ascii="Times New Roman" w:hAnsi="Times New Roman" w:cs="Times New Roman"/>
                <w:iCs/>
                <w:sz w:val="20"/>
                <w:szCs w:val="20"/>
                <w:lang w:val="ro-RO"/>
              </w:rPr>
              <w:t xml:space="preserve">, instituțiile care utilizează metoda prevăzută în capitolul 6 secțiune 6 calculează E </w:t>
            </w:r>
            <w:r w:rsidRPr="002C32BA">
              <w:rPr>
                <w:rFonts w:ascii="Times New Roman" w:hAnsi="Times New Roman" w:cs="Times New Roman"/>
                <w:iCs/>
                <w:sz w:val="20"/>
                <w:szCs w:val="20"/>
                <w:vertAlign w:val="subscript"/>
                <w:lang w:val="ro-RO"/>
              </w:rPr>
              <w:t>VA</w:t>
            </w:r>
            <w:r w:rsidRPr="002C32BA">
              <w:rPr>
                <w:rFonts w:ascii="Times New Roman" w:hAnsi="Times New Roman" w:cs="Times New Roman"/>
                <w:iCs/>
                <w:sz w:val="20"/>
                <w:szCs w:val="20"/>
                <w:lang w:val="ro-RO"/>
              </w:rPr>
              <w:t xml:space="preserve"> după cum urmează:</w:t>
            </w:r>
          </w:p>
          <w:p w14:paraId="512DED2F"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iCs/>
                <w:sz w:val="20"/>
                <w:szCs w:val="20"/>
                <w:lang w:val="ro-RO"/>
              </w:rPr>
              <w:t xml:space="preserve">E </w:t>
            </w:r>
            <w:r w:rsidRPr="002C32BA">
              <w:rPr>
                <w:rFonts w:ascii="Times New Roman" w:hAnsi="Times New Roman" w:cs="Times New Roman"/>
                <w:iCs/>
                <w:sz w:val="20"/>
                <w:szCs w:val="20"/>
                <w:vertAlign w:val="subscript"/>
                <w:lang w:val="ro-RO"/>
              </w:rPr>
              <w:t xml:space="preserve">VA </w:t>
            </w:r>
            <w:r w:rsidRPr="002C32BA">
              <w:rPr>
                <w:rFonts w:ascii="Times New Roman" w:hAnsi="Times New Roman" w:cs="Times New Roman"/>
                <w:iCs/>
                <w:sz w:val="20"/>
                <w:szCs w:val="20"/>
                <w:lang w:val="ro-RO"/>
              </w:rPr>
              <w:t>= E</w:t>
            </w:r>
          </w:p>
        </w:tc>
        <w:tc>
          <w:tcPr>
            <w:tcW w:w="1636" w:type="pct"/>
            <w:shd w:val="clear" w:color="auto" w:fill="auto"/>
          </w:tcPr>
          <w:p w14:paraId="69F10C9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87E5D">
              <w:rPr>
                <w:rFonts w:ascii="Times New Roman" w:hAnsi="Times New Roman"/>
                <w:b/>
                <w:bCs/>
                <w:sz w:val="20"/>
                <w:szCs w:val="20"/>
                <w:lang w:val="ro-RO" w:eastAsia="ru-RU"/>
              </w:rPr>
              <w:t>89.</w:t>
            </w:r>
            <w:r w:rsidRPr="002C32BA">
              <w:rPr>
                <w:rFonts w:ascii="Times New Roman" w:hAnsi="Times New Roman"/>
                <w:sz w:val="20"/>
                <w:szCs w:val="20"/>
                <w:lang w:val="ro-RO" w:eastAsia="ru-RU"/>
              </w:rPr>
              <w:t xml:space="preserve"> Băncile trebuie să calculeze valoarea ajustată în funcție de volatilitate a expunerii (EVA), pe care acestea trebuie să o ia în considerare, după cum urmează:</w:t>
            </w:r>
          </w:p>
          <w:p w14:paraId="5F7D3255" w14:textId="77777777" w:rsidR="00D62F3C" w:rsidRPr="002C32BA" w:rsidRDefault="00D62F3C" w:rsidP="00D62F3C">
            <w:pPr>
              <w:rPr>
                <w:rFonts w:ascii="Times New Roman" w:hAnsi="Times New Roman" w:cs="Times New Roman"/>
                <w:sz w:val="20"/>
                <w:szCs w:val="20"/>
                <w:lang w:val="ro-RO"/>
              </w:rPr>
            </w:pPr>
            <w:r w:rsidRPr="002C32BA">
              <w:rPr>
                <w:rFonts w:ascii="Times New Roman" w:eastAsia="Arial Unicode MS" w:hAnsi="Times New Roman" w:cs="Times New Roman"/>
                <w:noProof/>
                <w:sz w:val="20"/>
                <w:szCs w:val="20"/>
                <w:lang w:val="ro-RO"/>
              </w:rPr>
              <w:drawing>
                <wp:inline distT="0" distB="0" distL="0" distR="0" wp14:anchorId="2D38A4A8" wp14:editId="71118D75">
                  <wp:extent cx="1483995" cy="276225"/>
                  <wp:effectExtent l="0" t="0" r="0" b="0"/>
                  <wp:docPr id="10" name="Picture 10"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escription: 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3995" cy="276225"/>
                          </a:xfrm>
                          <a:prstGeom prst="rect">
                            <a:avLst/>
                          </a:prstGeom>
                          <a:noFill/>
                          <a:ln>
                            <a:noFill/>
                          </a:ln>
                        </pic:spPr>
                      </pic:pic>
                    </a:graphicData>
                  </a:graphic>
                </wp:inline>
              </w:drawing>
            </w:r>
          </w:p>
          <w:p w14:paraId="6100BE2B" w14:textId="77777777" w:rsidR="00D62F3C" w:rsidRPr="002C32BA" w:rsidRDefault="00D62F3C" w:rsidP="00D62F3C">
            <w:pPr>
              <w:pStyle w:val="ListParagraph"/>
              <w:ind w:left="0" w:firstLine="243"/>
              <w:jc w:val="both"/>
              <w:rPr>
                <w:rFonts w:ascii="Times New Roman" w:hAnsi="Times New Roman" w:cs="Times New Roman"/>
                <w:sz w:val="20"/>
                <w:szCs w:val="20"/>
                <w:lang w:val="ro-RO"/>
              </w:rPr>
            </w:pPr>
            <w:r w:rsidRPr="002C32BA">
              <w:rPr>
                <w:rFonts w:ascii="Times New Roman" w:hAnsi="Times New Roman" w:cs="Times New Roman"/>
                <w:sz w:val="20"/>
                <w:szCs w:val="20"/>
                <w:lang w:val="ro-RO"/>
              </w:rPr>
              <w:t xml:space="preserve">unde: </w:t>
            </w:r>
          </w:p>
          <w:p w14:paraId="39ADD7E2" w14:textId="77777777" w:rsidR="00287E5D" w:rsidRDefault="00287E5D" w:rsidP="00D62F3C">
            <w:pPr>
              <w:pStyle w:val="ListParagraph"/>
              <w:ind w:left="0" w:firstLine="243"/>
              <w:jc w:val="both"/>
              <w:rPr>
                <w:rFonts w:ascii="Times New Roman" w:hAnsi="Times New Roman" w:cs="Times New Roman"/>
                <w:sz w:val="20"/>
                <w:szCs w:val="20"/>
                <w:lang w:val="ro-RO"/>
              </w:rPr>
            </w:pPr>
            <w:r w:rsidRPr="00287E5D">
              <w:rPr>
                <w:rFonts w:ascii="Times New Roman" w:hAnsi="Times New Roman" w:cs="Times New Roman"/>
                <w:sz w:val="20"/>
                <w:szCs w:val="20"/>
                <w:lang w:val="ro-RO"/>
              </w:rPr>
              <w:t>E = valoarea expunerii, care ar fi determinată în conformitate cu Regulamentul nr.111/2018 sau actului normativ al Băncii Naționale a Moldovei aferent tratamentului riscului de credit pentru bănci potrivit abordării IRB, după caz, dacă expunerea nu ar fi garantată;</w:t>
            </w:r>
          </w:p>
          <w:p w14:paraId="49A1A50F" w14:textId="367ECDE7" w:rsidR="00D62F3C" w:rsidRPr="002C32BA" w:rsidRDefault="00D62F3C" w:rsidP="00D62F3C">
            <w:pPr>
              <w:pStyle w:val="ListParagraph"/>
              <w:ind w:left="0" w:firstLine="243"/>
              <w:jc w:val="both"/>
              <w:rPr>
                <w:rFonts w:ascii="Times New Roman" w:hAnsi="Times New Roman" w:cs="Times New Roman"/>
                <w:sz w:val="20"/>
                <w:szCs w:val="20"/>
                <w:lang w:val="ro-RO"/>
              </w:rPr>
            </w:pPr>
            <w:r w:rsidRPr="002C32BA">
              <w:rPr>
                <w:rFonts w:ascii="Times New Roman" w:hAnsi="Times New Roman" w:cs="Times New Roman"/>
                <w:sz w:val="20"/>
                <w:szCs w:val="20"/>
                <w:lang w:val="ro-RO"/>
              </w:rPr>
              <w:t>H</w:t>
            </w:r>
            <w:r w:rsidRPr="002C32BA">
              <w:rPr>
                <w:rFonts w:ascii="Times New Roman" w:hAnsi="Times New Roman" w:cs="Times New Roman"/>
                <w:sz w:val="20"/>
                <w:szCs w:val="20"/>
                <w:vertAlign w:val="subscript"/>
                <w:lang w:val="ro-RO"/>
              </w:rPr>
              <w:t>E</w:t>
            </w:r>
            <w:r w:rsidRPr="002C32BA">
              <w:rPr>
                <w:rFonts w:ascii="Times New Roman" w:hAnsi="Times New Roman" w:cs="Times New Roman"/>
                <w:sz w:val="20"/>
                <w:szCs w:val="20"/>
                <w:lang w:val="ro-RO"/>
              </w:rPr>
              <w:t xml:space="preserve"> = ajustarea de volatilitate adecvată expunerii, calculată în conformitate cu secțiunile 6 și 8 din prezentul capitol; </w:t>
            </w:r>
          </w:p>
          <w:p w14:paraId="59461860" w14:textId="0A55B086" w:rsidR="00D62F3C" w:rsidRPr="002C32BA" w:rsidRDefault="00D62F3C" w:rsidP="00D62F3C">
            <w:pPr>
              <w:jc w:val="both"/>
              <w:rPr>
                <w:rFonts w:ascii="Times New Roman" w:hAnsi="Times New Roman" w:cs="Times New Roman"/>
                <w:sz w:val="20"/>
                <w:szCs w:val="20"/>
                <w:lang w:val="ro-RO"/>
              </w:rPr>
            </w:pPr>
            <w:r w:rsidRPr="00287E5D">
              <w:rPr>
                <w:rFonts w:ascii="Times New Roman" w:hAnsi="Times New Roman" w:cs="Times New Roman"/>
                <w:b/>
                <w:bCs/>
                <w:sz w:val="20"/>
                <w:szCs w:val="20"/>
                <w:lang w:val="ro-RO"/>
              </w:rPr>
              <w:t>90.</w:t>
            </w:r>
            <w:r w:rsidRPr="002C32BA">
              <w:rPr>
                <w:rFonts w:ascii="Times New Roman" w:hAnsi="Times New Roman" w:cs="Times New Roman"/>
                <w:sz w:val="20"/>
                <w:szCs w:val="20"/>
                <w:lang w:val="ro-RO"/>
              </w:rPr>
              <w:t xml:space="preserve"> </w:t>
            </w:r>
            <w:r w:rsidR="00287E5D" w:rsidRPr="00287E5D">
              <w:rPr>
                <w:rFonts w:ascii="Times New Roman" w:hAnsi="Times New Roman" w:cs="Times New Roman"/>
                <w:sz w:val="20"/>
                <w:szCs w:val="20"/>
                <w:lang w:val="ro-RO"/>
              </w:rPr>
              <w:t xml:space="preserve">În cazul tranzacțiilor cu instrumente financiare derivate </w:t>
            </w:r>
            <w:proofErr w:type="spellStart"/>
            <w:r w:rsidR="00287E5D" w:rsidRPr="00287E5D">
              <w:rPr>
                <w:rFonts w:ascii="Times New Roman" w:hAnsi="Times New Roman" w:cs="Times New Roman"/>
                <w:sz w:val="20"/>
                <w:szCs w:val="20"/>
                <w:lang w:val="ro-RO"/>
              </w:rPr>
              <w:t>extrabursiere</w:t>
            </w:r>
            <w:proofErr w:type="spellEnd"/>
            <w:r w:rsidR="00287E5D" w:rsidRPr="00287E5D">
              <w:rPr>
                <w:rFonts w:ascii="Times New Roman" w:hAnsi="Times New Roman" w:cs="Times New Roman"/>
                <w:sz w:val="20"/>
                <w:szCs w:val="20"/>
                <w:lang w:val="ro-RO"/>
              </w:rPr>
              <w:t xml:space="preserve">, băncile care utilizează metoda modelului intern pentru tratamentul riscului de credit al </w:t>
            </w:r>
            <w:proofErr w:type="spellStart"/>
            <w:r w:rsidR="00287E5D" w:rsidRPr="00287E5D">
              <w:rPr>
                <w:rFonts w:ascii="Times New Roman" w:hAnsi="Times New Roman" w:cs="Times New Roman"/>
                <w:sz w:val="20"/>
                <w:szCs w:val="20"/>
                <w:lang w:val="ro-RO"/>
              </w:rPr>
              <w:t>contrapărții</w:t>
            </w:r>
            <w:proofErr w:type="spellEnd"/>
            <w:r w:rsidR="00287E5D" w:rsidRPr="00287E5D">
              <w:rPr>
                <w:rFonts w:ascii="Times New Roman" w:hAnsi="Times New Roman" w:cs="Times New Roman"/>
                <w:sz w:val="20"/>
                <w:szCs w:val="20"/>
                <w:lang w:val="ro-RO"/>
              </w:rPr>
              <w:t>, trebuie să calculeze EVA după cum urmează</w:t>
            </w:r>
            <w:r w:rsidRPr="002C32BA">
              <w:rPr>
                <w:rFonts w:ascii="Times New Roman" w:hAnsi="Times New Roman" w:cs="Times New Roman"/>
                <w:sz w:val="20"/>
                <w:szCs w:val="20"/>
                <w:lang w:val="ro-RO"/>
              </w:rPr>
              <w:t>:</w:t>
            </w:r>
          </w:p>
          <w:p w14:paraId="047B015A" w14:textId="77777777" w:rsidR="00D62F3C" w:rsidRDefault="00D62F3C" w:rsidP="00D62F3C">
            <w:pPr>
              <w:jc w:val="both"/>
              <w:rPr>
                <w:rFonts w:ascii="Times New Roman" w:hAnsi="Times New Roman" w:cs="Times New Roman"/>
                <w:sz w:val="20"/>
                <w:szCs w:val="20"/>
                <w:lang w:val="ro-RO"/>
              </w:rPr>
            </w:pPr>
            <w:r w:rsidRPr="002C32BA">
              <w:rPr>
                <w:rFonts w:ascii="Times New Roman" w:eastAsia="Arial Unicode MS" w:hAnsi="Times New Roman" w:cs="Times New Roman"/>
                <w:noProof/>
                <w:sz w:val="20"/>
                <w:szCs w:val="20"/>
                <w:lang w:val="ro-RO"/>
              </w:rPr>
              <w:drawing>
                <wp:inline distT="0" distB="0" distL="0" distR="0" wp14:anchorId="496CA5D5" wp14:editId="6822BE9C">
                  <wp:extent cx="750570" cy="250190"/>
                  <wp:effectExtent l="0" t="0" r="0" b="0"/>
                  <wp:docPr id="13" name="Picture 13"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50570" cy="250190"/>
                          </a:xfrm>
                          <a:prstGeom prst="rect">
                            <a:avLst/>
                          </a:prstGeom>
                          <a:noFill/>
                          <a:ln>
                            <a:noFill/>
                          </a:ln>
                        </pic:spPr>
                      </pic:pic>
                    </a:graphicData>
                  </a:graphic>
                </wp:inline>
              </w:drawing>
            </w:r>
          </w:p>
          <w:p w14:paraId="7121F23D" w14:textId="57495E41" w:rsidR="00287E5D" w:rsidRPr="00287E5D" w:rsidRDefault="00287E5D" w:rsidP="00287E5D">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E57066C"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B9E253E" w14:textId="66CCDEAF"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B64563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2526390" w14:textId="77777777" w:rsidR="00E144F3" w:rsidRPr="00E144F3" w:rsidRDefault="00E144F3" w:rsidP="00E144F3">
            <w:pPr>
              <w:pStyle w:val="CM4"/>
              <w:tabs>
                <w:tab w:val="left" w:pos="150"/>
              </w:tabs>
              <w:ind w:left="-43"/>
              <w:jc w:val="both"/>
              <w:rPr>
                <w:rFonts w:ascii="Times New Roman" w:hAnsi="Times New Roman"/>
                <w:iCs/>
                <w:sz w:val="20"/>
                <w:szCs w:val="20"/>
                <w:lang w:val="ro-RO" w:eastAsia="ru-RU"/>
              </w:rPr>
            </w:pPr>
            <w:r w:rsidRPr="00E144F3">
              <w:rPr>
                <w:rFonts w:ascii="Times New Roman" w:hAnsi="Times New Roman"/>
                <w:iCs/>
                <w:sz w:val="20"/>
                <w:szCs w:val="20"/>
                <w:lang w:val="ro-RO" w:eastAsia="ru-RU"/>
              </w:rPr>
              <w:t>▼M17</w:t>
            </w:r>
          </w:p>
          <w:p w14:paraId="11AA4925" w14:textId="77777777" w:rsidR="00E144F3" w:rsidRPr="00E144F3" w:rsidRDefault="00E144F3" w:rsidP="00E144F3">
            <w:pPr>
              <w:pStyle w:val="CM4"/>
              <w:tabs>
                <w:tab w:val="left" w:pos="150"/>
              </w:tabs>
              <w:ind w:left="-43"/>
              <w:jc w:val="both"/>
              <w:rPr>
                <w:rFonts w:ascii="Times New Roman" w:hAnsi="Times New Roman"/>
                <w:iCs/>
                <w:sz w:val="20"/>
                <w:szCs w:val="20"/>
                <w:lang w:val="ro-RO" w:eastAsia="ru-RU"/>
              </w:rPr>
            </w:pPr>
            <w:r w:rsidRPr="00E144F3">
              <w:rPr>
                <w:rFonts w:ascii="Times New Roman" w:hAnsi="Times New Roman"/>
                <w:iCs/>
                <w:sz w:val="20"/>
                <w:szCs w:val="20"/>
                <w:lang w:val="ro-RO" w:eastAsia="ru-RU"/>
              </w:rPr>
              <w:t>(4)   În vederea calculării valorii E menționată la alineatul (3), se aplică următoarele:</w:t>
            </w:r>
          </w:p>
          <w:p w14:paraId="33DEFD12" w14:textId="262D5DC0" w:rsidR="00E144F3" w:rsidRPr="00E144F3" w:rsidRDefault="00E144F3" w:rsidP="00E144F3">
            <w:pPr>
              <w:pStyle w:val="CM4"/>
              <w:tabs>
                <w:tab w:val="left" w:pos="150"/>
              </w:tabs>
              <w:ind w:left="-43"/>
              <w:jc w:val="both"/>
              <w:rPr>
                <w:rFonts w:ascii="Times New Roman" w:hAnsi="Times New Roman"/>
                <w:iCs/>
                <w:sz w:val="20"/>
                <w:szCs w:val="20"/>
                <w:lang w:val="ro-RO" w:eastAsia="ru-RU"/>
              </w:rPr>
            </w:pPr>
            <w:r w:rsidRPr="00E144F3">
              <w:rPr>
                <w:rFonts w:ascii="Times New Roman" w:hAnsi="Times New Roman"/>
                <w:iCs/>
                <w:sz w:val="20"/>
                <w:szCs w:val="20"/>
                <w:lang w:val="ro-RO" w:eastAsia="ru-RU"/>
              </w:rPr>
              <w:t xml:space="preserve">(a) în cazul instituțiilor care calculează cuantumurile ponderate la risc ale expunerilor conform abordării standardizate, valoarea expunerii unui element </w:t>
            </w:r>
            <w:proofErr w:type="spellStart"/>
            <w:r w:rsidRPr="00E144F3">
              <w:rPr>
                <w:rFonts w:ascii="Times New Roman" w:hAnsi="Times New Roman"/>
                <w:iCs/>
                <w:sz w:val="20"/>
                <w:szCs w:val="20"/>
                <w:lang w:val="ro-RO" w:eastAsia="ru-RU"/>
              </w:rPr>
              <w:t>extrabilanțier</w:t>
            </w:r>
            <w:proofErr w:type="spellEnd"/>
            <w:r w:rsidRPr="00E144F3">
              <w:rPr>
                <w:rFonts w:ascii="Times New Roman" w:hAnsi="Times New Roman"/>
                <w:iCs/>
                <w:sz w:val="20"/>
                <w:szCs w:val="20"/>
                <w:lang w:val="ro-RO" w:eastAsia="ru-RU"/>
              </w:rPr>
              <w:t xml:space="preserve"> menționat în anexa I este 100 % din valoarea elementului respectiv, și nu valoarea expunerii indicată la articolul 111 alineatul (2);</w:t>
            </w:r>
          </w:p>
          <w:p w14:paraId="6F029042" w14:textId="35724DEA" w:rsidR="00D62F3C" w:rsidRPr="002C32BA" w:rsidRDefault="00E144F3" w:rsidP="00E144F3">
            <w:pPr>
              <w:pStyle w:val="CM4"/>
              <w:tabs>
                <w:tab w:val="left" w:pos="150"/>
              </w:tabs>
              <w:ind w:left="-43"/>
              <w:jc w:val="both"/>
              <w:rPr>
                <w:rFonts w:ascii="Times New Roman" w:hAnsi="Times New Roman"/>
                <w:iCs/>
                <w:sz w:val="20"/>
                <w:szCs w:val="20"/>
                <w:lang w:val="ro-RO" w:eastAsia="ru-RU"/>
              </w:rPr>
            </w:pPr>
            <w:r w:rsidRPr="00E144F3">
              <w:rPr>
                <w:rFonts w:ascii="Times New Roman" w:hAnsi="Times New Roman"/>
                <w:iCs/>
                <w:sz w:val="20"/>
                <w:szCs w:val="20"/>
                <w:lang w:val="ro-RO" w:eastAsia="ru-RU"/>
              </w:rPr>
              <w:t xml:space="preserve">(b) pentru elementele </w:t>
            </w:r>
            <w:proofErr w:type="spellStart"/>
            <w:r w:rsidRPr="00E144F3">
              <w:rPr>
                <w:rFonts w:ascii="Times New Roman" w:hAnsi="Times New Roman"/>
                <w:iCs/>
                <w:sz w:val="20"/>
                <w:szCs w:val="20"/>
                <w:lang w:val="ro-RO" w:eastAsia="ru-RU"/>
              </w:rPr>
              <w:t>extrabilanțiere</w:t>
            </w:r>
            <w:proofErr w:type="spellEnd"/>
            <w:r w:rsidRPr="00E144F3">
              <w:rPr>
                <w:rFonts w:ascii="Times New Roman" w:hAnsi="Times New Roman"/>
                <w:iCs/>
                <w:sz w:val="20"/>
                <w:szCs w:val="20"/>
                <w:lang w:val="ro-RO" w:eastAsia="ru-RU"/>
              </w:rPr>
              <w:t>, altele decât instrumentele financiare derivate tratate conform abordării IRB, instituțiile își calculează valorile expunerilor utilizând un CCF de 100 % în locul CCF pe baza SA sau CCF pe baza IRB prevăzuți la articolul 166 alineatele (8), (8a) și (8b).</w:t>
            </w:r>
          </w:p>
        </w:tc>
        <w:tc>
          <w:tcPr>
            <w:tcW w:w="1636" w:type="pct"/>
            <w:shd w:val="clear" w:color="auto" w:fill="auto"/>
          </w:tcPr>
          <w:p w14:paraId="613E7550" w14:textId="77777777" w:rsidR="00E144F3" w:rsidRPr="005C3300" w:rsidRDefault="00E144F3" w:rsidP="00E144F3">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91.</w:t>
            </w:r>
            <w:r w:rsidRPr="005C3300">
              <w:rPr>
                <w:rFonts w:ascii="Times New Roman" w:eastAsia="Times New Roman" w:hAnsi="Times New Roman" w:cs="Times New Roman"/>
                <w:color w:val="000000" w:themeColor="text1"/>
                <w:sz w:val="20"/>
                <w:szCs w:val="20"/>
                <w:lang w:val="ro-RO" w:eastAsia="ro-MD"/>
              </w:rPr>
              <w:t xml:space="preserve"> În vederea calculării valorii E menționate la punctul 90, se aplică următoarele:</w:t>
            </w:r>
          </w:p>
          <w:p w14:paraId="34276C82" w14:textId="77777777" w:rsidR="00E144F3" w:rsidRPr="005C3300" w:rsidRDefault="00E144F3" w:rsidP="00E144F3">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 xml:space="preserve">1) pentru băncile care calculează valorile ponderate la risc ale expunerilor conform abordării standardizate, valoarea expunerii unui element </w:t>
            </w:r>
            <w:proofErr w:type="spellStart"/>
            <w:r w:rsidRPr="005C3300">
              <w:rPr>
                <w:rFonts w:ascii="Times New Roman" w:eastAsia="Times New Roman" w:hAnsi="Times New Roman" w:cs="Times New Roman"/>
                <w:color w:val="000000" w:themeColor="text1"/>
                <w:sz w:val="20"/>
                <w:szCs w:val="20"/>
                <w:lang w:val="ro-RO" w:eastAsia="ro-MD"/>
              </w:rPr>
              <w:t>extrabilanțier</w:t>
            </w:r>
            <w:proofErr w:type="spellEnd"/>
            <w:r w:rsidRPr="005C3300">
              <w:rPr>
                <w:rFonts w:ascii="Times New Roman" w:eastAsia="Times New Roman" w:hAnsi="Times New Roman" w:cs="Times New Roman"/>
                <w:color w:val="000000" w:themeColor="text1"/>
                <w:sz w:val="20"/>
                <w:szCs w:val="20"/>
                <w:lang w:val="ro-RO" w:eastAsia="ro-MD"/>
              </w:rPr>
              <w:t xml:space="preserve"> indicat în Regulamentul nr.111/2018 trebuie să fie 100% din valoarea elementului respectiv și nu valoarea expunerii indicată în actul normativ menționat supra;</w:t>
            </w:r>
          </w:p>
          <w:p w14:paraId="4D60832D" w14:textId="77777777" w:rsidR="00D62F3C" w:rsidRDefault="00E144F3" w:rsidP="00E144F3">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color w:val="000000" w:themeColor="text1"/>
                <w:sz w:val="20"/>
                <w:szCs w:val="20"/>
                <w:lang w:val="ro-RO" w:eastAsia="ro-MD"/>
              </w:rPr>
              <w:t xml:space="preserve">2) pentru elementele </w:t>
            </w:r>
            <w:proofErr w:type="spellStart"/>
            <w:r w:rsidRPr="005C3300">
              <w:rPr>
                <w:rFonts w:ascii="Times New Roman" w:hAnsi="Times New Roman"/>
                <w:color w:val="000000" w:themeColor="text1"/>
                <w:sz w:val="20"/>
                <w:szCs w:val="20"/>
                <w:lang w:val="ro-RO" w:eastAsia="ro-MD"/>
              </w:rPr>
              <w:t>extrabilanțiere</w:t>
            </w:r>
            <w:proofErr w:type="spellEnd"/>
            <w:r w:rsidRPr="005C3300">
              <w:rPr>
                <w:rFonts w:ascii="Times New Roman" w:hAnsi="Times New Roman"/>
                <w:color w:val="000000" w:themeColor="text1"/>
                <w:sz w:val="20"/>
                <w:szCs w:val="20"/>
                <w:lang w:val="ro-RO" w:eastAsia="ro-MD"/>
              </w:rPr>
              <w:t>, altele decât instrumentele financiare derivate tratate conform abordării IRB, băncile își calculează valorile expunerilor utilizând un CCF de 100 % în locul factorilor de conversie (CCF) pe baza abordării standardizate sau CCF pe baza abordării IRB.</w:t>
            </w:r>
          </w:p>
          <w:p w14:paraId="50651BC1" w14:textId="050B4BDE" w:rsidR="00E144F3" w:rsidRPr="00E144F3" w:rsidRDefault="00E144F3" w:rsidP="00E144F3">
            <w:pPr>
              <w:rPr>
                <w:lang w:val="ro-RO" w:eastAsia="ro-MD"/>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51E69B8C" w14:textId="1987D37C" w:rsidR="00D62F3C" w:rsidRPr="002C32BA" w:rsidRDefault="00E144F3"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00D62F3C" w:rsidRPr="002C32BA">
              <w:rPr>
                <w:rFonts w:ascii="Times New Roman" w:hAnsi="Times New Roman" w:cs="Times New Roman"/>
                <w:sz w:val="20"/>
                <w:szCs w:val="20"/>
                <w:lang w:val="ro-RO"/>
              </w:rPr>
              <w:t>ompatibil</w:t>
            </w:r>
          </w:p>
        </w:tc>
        <w:tc>
          <w:tcPr>
            <w:tcW w:w="885" w:type="pct"/>
          </w:tcPr>
          <w:p w14:paraId="16EA1AEF" w14:textId="61DD5B44"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2E180AD5" w14:textId="7D23E890" w:rsidR="00D62F3C" w:rsidRPr="002C32BA" w:rsidRDefault="00D62F3C" w:rsidP="00D62F3C">
            <w:pPr>
              <w:jc w:val="both"/>
              <w:rPr>
                <w:rFonts w:ascii="Times New Roman" w:hAnsi="Times New Roman" w:cs="Times New Roman"/>
                <w:sz w:val="20"/>
                <w:szCs w:val="20"/>
                <w:lang w:val="ro-RO"/>
              </w:rPr>
            </w:pPr>
          </w:p>
        </w:tc>
      </w:tr>
      <w:tr w:rsidR="00D62F3C" w:rsidRPr="002C32BA" w14:paraId="20411EB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34C1E6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(5) Instituțiile calculează valoarea ajustată integral a expunerii (E*), ținând seama atât de volatilitate, cât și de efectele de diminuare a riscului ale garanției reale, după cum urmează:</w:t>
            </w:r>
          </w:p>
          <w:p w14:paraId="1A360ABD" w14:textId="77777777" w:rsidR="00D62F3C" w:rsidRPr="002C32BA" w:rsidRDefault="00D62F3C" w:rsidP="00D62F3C">
            <w:pPr>
              <w:rPr>
                <w:rFonts w:ascii="Times New Roman" w:hAnsi="Times New Roman" w:cs="Times New Roman"/>
                <w:sz w:val="20"/>
                <w:szCs w:val="20"/>
                <w:lang w:val="ro-RO"/>
              </w:rPr>
            </w:pPr>
            <w:r w:rsidRPr="002C32BA">
              <w:rPr>
                <w:rFonts w:ascii="Times New Roman" w:eastAsia="Arial Unicode MS" w:hAnsi="Times New Roman" w:cs="Times New Roman"/>
                <w:noProof/>
                <w:sz w:val="20"/>
                <w:szCs w:val="20"/>
                <w:lang w:val="ro-RO"/>
              </w:rPr>
              <w:drawing>
                <wp:inline distT="0" distB="0" distL="0" distR="0" wp14:anchorId="17F74589" wp14:editId="04334A9A">
                  <wp:extent cx="2113280" cy="301625"/>
                  <wp:effectExtent l="0" t="0" r="0" b="0"/>
                  <wp:docPr id="27" name="Picture 27"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escription: 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13280" cy="301625"/>
                          </a:xfrm>
                          <a:prstGeom prst="rect">
                            <a:avLst/>
                          </a:prstGeom>
                          <a:noFill/>
                          <a:ln>
                            <a:noFill/>
                          </a:ln>
                        </pic:spPr>
                      </pic:pic>
                    </a:graphicData>
                  </a:graphic>
                </wp:inline>
              </w:drawing>
            </w:r>
          </w:p>
          <w:p w14:paraId="2646C18A" w14:textId="77777777"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unde:</w:t>
            </w:r>
          </w:p>
          <w:p w14:paraId="037BA38D" w14:textId="77777777"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 xml:space="preserve">E </w:t>
            </w:r>
            <w:r w:rsidRPr="002C32BA">
              <w:rPr>
                <w:rFonts w:ascii="Times New Roman" w:hAnsi="Times New Roman" w:cs="Times New Roman"/>
                <w:iCs/>
                <w:sz w:val="20"/>
                <w:szCs w:val="20"/>
                <w:vertAlign w:val="subscript"/>
                <w:lang w:val="ro-RO"/>
              </w:rPr>
              <w:t>VA</w:t>
            </w:r>
            <w:r w:rsidRPr="002C32BA">
              <w:rPr>
                <w:rFonts w:ascii="Times New Roman" w:hAnsi="Times New Roman" w:cs="Times New Roman"/>
                <w:iCs/>
                <w:sz w:val="20"/>
                <w:szCs w:val="20"/>
                <w:lang w:val="ro-RO"/>
              </w:rPr>
              <w:t xml:space="preserve"> = valoarea ajustată în funcție de volatilitate a expunerii, astfel cum a fost calculată la alineatul (3);</w:t>
            </w:r>
          </w:p>
          <w:p w14:paraId="393E1896" w14:textId="2057F476" w:rsidR="00E144F3"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iCs/>
                <w:sz w:val="20"/>
                <w:szCs w:val="20"/>
                <w:lang w:val="ro-RO"/>
              </w:rPr>
              <w:t xml:space="preserve">C </w:t>
            </w:r>
            <w:r w:rsidRPr="002C32BA">
              <w:rPr>
                <w:rFonts w:ascii="Times New Roman" w:hAnsi="Times New Roman" w:cs="Times New Roman"/>
                <w:iCs/>
                <w:sz w:val="20"/>
                <w:szCs w:val="20"/>
                <w:vertAlign w:val="subscript"/>
                <w:lang w:val="ro-RO"/>
              </w:rPr>
              <w:t>VAM</w:t>
            </w:r>
            <w:r w:rsidRPr="002C32BA">
              <w:rPr>
                <w:rFonts w:ascii="Times New Roman" w:hAnsi="Times New Roman" w:cs="Times New Roman"/>
                <w:iCs/>
                <w:sz w:val="20"/>
                <w:szCs w:val="20"/>
                <w:lang w:val="ro-RO"/>
              </w:rPr>
              <w:t xml:space="preserve"> = C </w:t>
            </w:r>
            <w:r w:rsidRPr="002C32BA">
              <w:rPr>
                <w:rFonts w:ascii="Times New Roman" w:hAnsi="Times New Roman" w:cs="Times New Roman"/>
                <w:iCs/>
                <w:sz w:val="20"/>
                <w:szCs w:val="20"/>
                <w:vertAlign w:val="subscript"/>
                <w:lang w:val="ro-RO"/>
              </w:rPr>
              <w:t>VA</w:t>
            </w:r>
            <w:r w:rsidRPr="002C32BA">
              <w:rPr>
                <w:rFonts w:ascii="Times New Roman" w:hAnsi="Times New Roman" w:cs="Times New Roman"/>
                <w:iCs/>
                <w:sz w:val="20"/>
                <w:szCs w:val="20"/>
                <w:lang w:val="ro-RO"/>
              </w:rPr>
              <w:t xml:space="preserve"> ajustată suplimentar pentru orice neconcordanță de scadențe, în conformitate cu dispozițiile din secțiunea 5;</w:t>
            </w:r>
            <w:r w:rsidRPr="00595B15">
              <w:rPr>
                <w:rFonts w:ascii="Times New Roman" w:hAnsi="Times New Roman" w:cs="Times New Roman"/>
                <w:sz w:val="20"/>
                <w:szCs w:val="20"/>
                <w:lang w:val="ro-RO"/>
              </w:rPr>
              <w:t xml:space="preserve"> </w:t>
            </w:r>
          </w:p>
        </w:tc>
        <w:tc>
          <w:tcPr>
            <w:tcW w:w="1636" w:type="pct"/>
            <w:shd w:val="clear" w:color="auto" w:fill="auto"/>
          </w:tcPr>
          <w:p w14:paraId="1E420D7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B45138">
              <w:rPr>
                <w:rFonts w:ascii="Times New Roman" w:hAnsi="Times New Roman"/>
                <w:b/>
                <w:bCs/>
                <w:sz w:val="20"/>
                <w:szCs w:val="20"/>
                <w:lang w:val="ro-RO" w:eastAsia="ru-RU"/>
              </w:rPr>
              <w:t>92.</w:t>
            </w:r>
            <w:r w:rsidRPr="002C32BA">
              <w:rPr>
                <w:rFonts w:ascii="Times New Roman" w:hAnsi="Times New Roman"/>
                <w:sz w:val="20"/>
                <w:szCs w:val="20"/>
                <w:lang w:val="ro-RO" w:eastAsia="ru-RU"/>
              </w:rPr>
              <w:t xml:space="preserve"> Băncile trebuie să calculeze valoarea ajustată integral a expunerii (E*), ținând seama atât de volatilitate, cât și de efectele de diminuare a riscului ale garanției reale, după cum urmează: </w:t>
            </w:r>
          </w:p>
          <w:p w14:paraId="670B089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p>
          <w:p w14:paraId="2D5630F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unde: </w:t>
            </w:r>
          </w:p>
          <w:p w14:paraId="5EA1944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E</w:t>
            </w:r>
            <w:r w:rsidRPr="002C32BA">
              <w:rPr>
                <w:rFonts w:ascii="Times New Roman" w:hAnsi="Times New Roman"/>
                <w:sz w:val="20"/>
                <w:szCs w:val="20"/>
                <w:vertAlign w:val="subscript"/>
                <w:lang w:val="ro-RO" w:eastAsia="ru-RU"/>
              </w:rPr>
              <w:t>VA</w:t>
            </w:r>
            <w:r w:rsidRPr="002C32BA">
              <w:rPr>
                <w:rFonts w:ascii="Times New Roman" w:hAnsi="Times New Roman"/>
                <w:sz w:val="20"/>
                <w:szCs w:val="20"/>
                <w:lang w:val="ro-RO" w:eastAsia="ru-RU"/>
              </w:rPr>
              <w:t xml:space="preserve"> = valoarea ajustată în funcție de volatilitate a expunerii, astfel cum a fost calculată la punctele 89 și 90; </w:t>
            </w:r>
          </w:p>
          <w:p w14:paraId="77C331A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C</w:t>
            </w:r>
            <w:r w:rsidRPr="002C32BA">
              <w:rPr>
                <w:rFonts w:ascii="Times New Roman" w:hAnsi="Times New Roman"/>
                <w:sz w:val="20"/>
                <w:szCs w:val="20"/>
                <w:vertAlign w:val="subscript"/>
                <w:lang w:val="ro-RO" w:eastAsia="ru-RU"/>
              </w:rPr>
              <w:t>VAM</w:t>
            </w:r>
            <w:r w:rsidRPr="002C32BA">
              <w:rPr>
                <w:rFonts w:ascii="Times New Roman" w:hAnsi="Times New Roman"/>
                <w:sz w:val="20"/>
                <w:szCs w:val="20"/>
                <w:lang w:val="ro-RO" w:eastAsia="ru-RU"/>
              </w:rPr>
              <w:t xml:space="preserve"> = C</w:t>
            </w:r>
            <w:r w:rsidRPr="002C32BA">
              <w:rPr>
                <w:rFonts w:ascii="Times New Roman" w:hAnsi="Times New Roman"/>
                <w:sz w:val="20"/>
                <w:szCs w:val="20"/>
                <w:vertAlign w:val="subscript"/>
                <w:lang w:val="ro-RO" w:eastAsia="ru-RU"/>
              </w:rPr>
              <w:t>VA</w:t>
            </w:r>
            <w:r w:rsidRPr="002C32BA">
              <w:rPr>
                <w:rFonts w:ascii="Times New Roman" w:hAnsi="Times New Roman"/>
                <w:sz w:val="20"/>
                <w:szCs w:val="20"/>
                <w:lang w:val="ro-RO" w:eastAsia="ru-RU"/>
              </w:rPr>
              <w:t xml:space="preserve"> indicată la punctul 87, ajustată suplimentar pentru orice neconcordanță de scadențe, în conformitate cu dispozițiile din titlul V.</w:t>
            </w:r>
          </w:p>
        </w:tc>
        <w:tc>
          <w:tcPr>
            <w:tcW w:w="562" w:type="pct"/>
          </w:tcPr>
          <w:p w14:paraId="1653B74C"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4AB8EF1" w14:textId="0ADFE2A8"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64976D18" w14:textId="77777777" w:rsidR="00D62F3C" w:rsidRPr="002C32BA" w:rsidRDefault="00D62F3C" w:rsidP="00D62F3C">
            <w:pPr>
              <w:jc w:val="both"/>
              <w:rPr>
                <w:rFonts w:ascii="Times New Roman" w:hAnsi="Times New Roman" w:cs="Times New Roman"/>
                <w:sz w:val="20"/>
                <w:szCs w:val="20"/>
                <w:lang w:val="ro-RO"/>
              </w:rPr>
            </w:pPr>
          </w:p>
        </w:tc>
      </w:tr>
      <w:tr w:rsidR="00E144F3" w:rsidRPr="002C32BA" w14:paraId="62C8CE1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756CFDBC" w14:textId="77777777" w:rsidR="00E144F3" w:rsidRPr="002C32BA" w:rsidRDefault="00E144F3" w:rsidP="00E144F3">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▼M8</w:t>
            </w:r>
          </w:p>
          <w:p w14:paraId="74C0D08B" w14:textId="714F19EB" w:rsidR="00E144F3" w:rsidRPr="002C32BA" w:rsidRDefault="00E144F3" w:rsidP="00E144F3">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rPr>
              <w:t xml:space="preserve">În cazul tranzacțiilor cu instrumente financiare derivate </w:t>
            </w:r>
            <w:proofErr w:type="spellStart"/>
            <w:r w:rsidRPr="002C32BA">
              <w:rPr>
                <w:rFonts w:ascii="Times New Roman" w:hAnsi="Times New Roman"/>
                <w:iCs/>
                <w:sz w:val="20"/>
                <w:szCs w:val="20"/>
                <w:lang w:val="ro-RO"/>
              </w:rPr>
              <w:t>extrabursiere</w:t>
            </w:r>
            <w:proofErr w:type="spellEnd"/>
            <w:r w:rsidRPr="002C32BA">
              <w:rPr>
                <w:rFonts w:ascii="Times New Roman" w:hAnsi="Times New Roman"/>
                <w:iCs/>
                <w:sz w:val="20"/>
                <w:szCs w:val="20"/>
                <w:lang w:val="ro-RO"/>
              </w:rPr>
              <w:t>, instituțiile care utilizează metodele prevăzute în capitolul 6 secțiunile 3, 4 și 5 țin seama de efectele de diminuare a riscului ale garanțiilor reale în conformitate cu dispozițiile prevăzute în capitolul 6 secțiunile 3, 4 și 5, după caz.</w:t>
            </w:r>
          </w:p>
        </w:tc>
        <w:tc>
          <w:tcPr>
            <w:tcW w:w="1636" w:type="pct"/>
            <w:shd w:val="clear" w:color="auto" w:fill="auto"/>
          </w:tcPr>
          <w:p w14:paraId="308695F7" w14:textId="5BF8B7F9" w:rsidR="00E144F3" w:rsidRDefault="00E144F3" w:rsidP="00D62F3C">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b/>
                <w:bCs/>
                <w:color w:val="000000" w:themeColor="text1"/>
                <w:sz w:val="20"/>
                <w:szCs w:val="20"/>
                <w:lang w:val="ro-RO" w:eastAsia="ro-MD"/>
              </w:rPr>
              <w:t>92</w:t>
            </w:r>
            <w:r w:rsidRPr="005C3300">
              <w:rPr>
                <w:rFonts w:ascii="Times New Roman" w:hAnsi="Times New Roman"/>
                <w:b/>
                <w:bCs/>
                <w:color w:val="000000" w:themeColor="text1"/>
                <w:sz w:val="20"/>
                <w:szCs w:val="20"/>
                <w:vertAlign w:val="superscript"/>
                <w:lang w:val="ro-RO" w:eastAsia="ro-MD"/>
              </w:rPr>
              <w:t>1</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În cazul tranzacțiilor cu instrumente financiare derivate </w:t>
            </w:r>
            <w:proofErr w:type="spellStart"/>
            <w:r w:rsidRPr="005C3300">
              <w:rPr>
                <w:rFonts w:ascii="Times New Roman" w:hAnsi="Times New Roman"/>
                <w:color w:val="000000" w:themeColor="text1"/>
                <w:sz w:val="20"/>
                <w:szCs w:val="20"/>
                <w:lang w:val="ro-RO" w:eastAsia="ro-MD"/>
              </w:rPr>
              <w:t>extrabursiere</w:t>
            </w:r>
            <w:proofErr w:type="spellEnd"/>
            <w:r w:rsidRPr="005C3300">
              <w:rPr>
                <w:rFonts w:ascii="Times New Roman" w:hAnsi="Times New Roman"/>
                <w:color w:val="000000" w:themeColor="text1"/>
                <w:sz w:val="20"/>
                <w:szCs w:val="20"/>
                <w:lang w:val="ro-RO" w:eastAsia="ro-MD"/>
              </w:rPr>
              <w:t xml:space="preserve">, băncile care utilizează metodele abordării standardizate, abordării standardizate simplificate și metoda expunerii inițiale prevăzute în </w:t>
            </w:r>
            <w:r w:rsidR="00FD6C35" w:rsidRPr="00FD6C35">
              <w:rPr>
                <w:rFonts w:ascii="Times New Roman" w:hAnsi="Times New Roman"/>
                <w:color w:val="000000" w:themeColor="text1"/>
                <w:sz w:val="20"/>
                <w:szCs w:val="20"/>
                <w:lang w:val="ro-RO" w:eastAsia="ro-MD"/>
              </w:rPr>
              <w:t>Regulamentul nr.220/2025</w:t>
            </w:r>
            <w:r w:rsidRPr="005C3300">
              <w:rPr>
                <w:rFonts w:ascii="Times New Roman" w:hAnsi="Times New Roman"/>
                <w:color w:val="000000" w:themeColor="text1"/>
                <w:sz w:val="20"/>
                <w:szCs w:val="20"/>
                <w:lang w:val="ro-RO" w:eastAsia="ro-MD"/>
              </w:rPr>
              <w:t>, țin seama de efectele de diminuare a riscului ale garanțiilor reale în conformitate cu dispozițiile aferente metodelor enumerate, prevăzute în actele normative menționate la prezentul punct, după caz.</w:t>
            </w:r>
          </w:p>
          <w:p w14:paraId="240D6227" w14:textId="7CB19890" w:rsidR="00E144F3" w:rsidRPr="00E144F3" w:rsidRDefault="00E144F3" w:rsidP="00E144F3">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07B3D2C" w14:textId="248C15BE" w:rsidR="00E144F3" w:rsidRPr="002C32BA" w:rsidRDefault="00E144F3"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02E69402" w14:textId="77777777" w:rsidR="00E144F3" w:rsidRDefault="00E144F3" w:rsidP="00D62F3C">
            <w:pPr>
              <w:jc w:val="both"/>
              <w:rPr>
                <w:rFonts w:ascii="Times New Roman" w:hAnsi="Times New Roman" w:cs="Times New Roman"/>
                <w:sz w:val="20"/>
                <w:szCs w:val="20"/>
                <w:lang w:val="ro-RO"/>
              </w:rPr>
            </w:pPr>
          </w:p>
        </w:tc>
      </w:tr>
      <w:tr w:rsidR="00D62F3C" w:rsidRPr="002C32BA" w14:paraId="753CAE9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C0B1E36" w14:textId="77777777" w:rsidR="00E144F3" w:rsidRPr="00E144F3" w:rsidRDefault="00E144F3" w:rsidP="00E144F3">
            <w:pPr>
              <w:pStyle w:val="CM4"/>
              <w:tabs>
                <w:tab w:val="left" w:pos="150"/>
              </w:tabs>
              <w:ind w:left="-43"/>
              <w:jc w:val="both"/>
              <w:rPr>
                <w:rFonts w:ascii="Times New Roman" w:hAnsi="Times New Roman"/>
                <w:iCs/>
                <w:sz w:val="20"/>
                <w:szCs w:val="20"/>
                <w:lang w:val="ro-RO" w:eastAsia="ru-RU"/>
              </w:rPr>
            </w:pPr>
            <w:r w:rsidRPr="00E144F3">
              <w:rPr>
                <w:rFonts w:ascii="Times New Roman" w:hAnsi="Times New Roman"/>
                <w:iCs/>
                <w:sz w:val="20"/>
                <w:szCs w:val="20"/>
                <w:lang w:val="ro-RO" w:eastAsia="ru-RU"/>
              </w:rPr>
              <w:t>▼M17</w:t>
            </w:r>
          </w:p>
          <w:p w14:paraId="70331463" w14:textId="45BA3F35" w:rsidR="00D62F3C" w:rsidRPr="002C32BA" w:rsidRDefault="00E144F3" w:rsidP="00E144F3">
            <w:pPr>
              <w:pStyle w:val="CM4"/>
              <w:tabs>
                <w:tab w:val="left" w:pos="150"/>
              </w:tabs>
              <w:ind w:left="-43"/>
              <w:jc w:val="both"/>
              <w:rPr>
                <w:rFonts w:ascii="Times New Roman" w:hAnsi="Times New Roman"/>
                <w:iCs/>
                <w:sz w:val="20"/>
                <w:szCs w:val="20"/>
                <w:lang w:val="ro-RO" w:eastAsia="ru-RU"/>
              </w:rPr>
            </w:pPr>
            <w:r w:rsidRPr="00E144F3">
              <w:rPr>
                <w:rFonts w:ascii="Times New Roman" w:hAnsi="Times New Roman"/>
                <w:iCs/>
                <w:sz w:val="20"/>
                <w:szCs w:val="20"/>
                <w:lang w:val="ro-RO" w:eastAsia="ru-RU"/>
              </w:rPr>
              <w:t>(6)   Instituțiile calculează ajustările de volatilitate utilizând abordarea bazată pe ajustări de volatilitate reglementate menționată la articolele 224-227.</w:t>
            </w:r>
          </w:p>
        </w:tc>
        <w:tc>
          <w:tcPr>
            <w:tcW w:w="1636" w:type="pct"/>
            <w:shd w:val="clear" w:color="auto" w:fill="auto"/>
          </w:tcPr>
          <w:p w14:paraId="72A211C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A94811">
              <w:rPr>
                <w:rFonts w:ascii="Times New Roman" w:hAnsi="Times New Roman"/>
                <w:b/>
                <w:bCs/>
                <w:sz w:val="20"/>
                <w:szCs w:val="20"/>
                <w:lang w:val="ro-RO" w:eastAsia="ru-RU"/>
              </w:rPr>
              <w:t>93.</w:t>
            </w:r>
            <w:r w:rsidRPr="002C32BA">
              <w:rPr>
                <w:rFonts w:ascii="Times New Roman" w:hAnsi="Times New Roman"/>
                <w:sz w:val="20"/>
                <w:szCs w:val="20"/>
                <w:lang w:val="ro-RO" w:eastAsia="ru-RU"/>
              </w:rPr>
              <w:t xml:space="preserve"> Băncile trebuie să calculeze ajustările de volatilitate utilizând abordarea bazată pe ajustări de volatilitate reglementate menționată la secțiunea 6 din prezentul capitol.</w:t>
            </w:r>
          </w:p>
        </w:tc>
        <w:tc>
          <w:tcPr>
            <w:tcW w:w="562" w:type="pct"/>
          </w:tcPr>
          <w:p w14:paraId="4E90C3DA"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p w14:paraId="1A0FA4DE" w14:textId="1517AA46" w:rsidR="00D62F3C" w:rsidRPr="002C32BA" w:rsidRDefault="00D62F3C" w:rsidP="00E144F3">
            <w:pPr>
              <w:rPr>
                <w:rFonts w:ascii="Times New Roman" w:hAnsi="Times New Roman" w:cs="Times New Roman"/>
                <w:sz w:val="20"/>
                <w:szCs w:val="20"/>
                <w:lang w:val="ro-RO"/>
              </w:rPr>
            </w:pPr>
          </w:p>
        </w:tc>
        <w:tc>
          <w:tcPr>
            <w:tcW w:w="885" w:type="pct"/>
          </w:tcPr>
          <w:p w14:paraId="65348F6B" w14:textId="09073BED"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1C409910" w14:textId="47EC06FC" w:rsidR="00D62F3C" w:rsidRPr="002C32BA" w:rsidRDefault="00D62F3C" w:rsidP="00E144F3">
            <w:pPr>
              <w:jc w:val="both"/>
              <w:rPr>
                <w:rFonts w:ascii="Times New Roman" w:hAnsi="Times New Roman" w:cs="Times New Roman"/>
                <w:sz w:val="20"/>
                <w:szCs w:val="20"/>
                <w:lang w:val="ro-RO"/>
              </w:rPr>
            </w:pPr>
          </w:p>
        </w:tc>
      </w:tr>
      <w:tr w:rsidR="00D62F3C" w:rsidRPr="002C32BA" w14:paraId="1BCF45F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4029E0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(7) În cazul în care garanția reală constă într-un număr de elemente eligibile, instituțiile calculează ajustarea de volatilitate (H) după cum urmează:</w:t>
            </w:r>
          </w:p>
          <w:p w14:paraId="6375AEB0" w14:textId="77777777" w:rsidR="00D62F3C" w:rsidRPr="002C32BA" w:rsidRDefault="00D62F3C" w:rsidP="00D62F3C">
            <w:pPr>
              <w:rPr>
                <w:rFonts w:ascii="Times New Roman" w:hAnsi="Times New Roman" w:cs="Times New Roman"/>
                <w:sz w:val="20"/>
                <w:szCs w:val="20"/>
                <w:lang w:val="ro-RO"/>
              </w:rPr>
            </w:pPr>
            <w:r w:rsidRPr="002C32BA">
              <w:rPr>
                <w:rFonts w:ascii="Times New Roman" w:eastAsia="Arial Unicode MS" w:hAnsi="Times New Roman" w:cs="Times New Roman"/>
                <w:noProof/>
                <w:sz w:val="20"/>
                <w:szCs w:val="20"/>
                <w:lang w:val="ro-RO"/>
              </w:rPr>
              <w:drawing>
                <wp:inline distT="0" distB="0" distL="0" distR="0" wp14:anchorId="3EC1A167" wp14:editId="2559D3BF">
                  <wp:extent cx="966470" cy="448310"/>
                  <wp:effectExtent l="0" t="0" r="0" b="0"/>
                  <wp:docPr id="29" name="Picture 29"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6470" cy="448310"/>
                          </a:xfrm>
                          <a:prstGeom prst="rect">
                            <a:avLst/>
                          </a:prstGeom>
                          <a:noFill/>
                          <a:ln>
                            <a:noFill/>
                          </a:ln>
                        </pic:spPr>
                      </pic:pic>
                    </a:graphicData>
                  </a:graphic>
                </wp:inline>
              </w:drawing>
            </w:r>
          </w:p>
          <w:p w14:paraId="34BB7399" w14:textId="77777777"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unde:</w:t>
            </w:r>
          </w:p>
          <w:p w14:paraId="164E905F" w14:textId="77777777" w:rsidR="00D62F3C" w:rsidRPr="002C32BA" w:rsidRDefault="00D62F3C" w:rsidP="00D62F3C">
            <w:pPr>
              <w:rPr>
                <w:rFonts w:ascii="Times New Roman" w:hAnsi="Times New Roman" w:cs="Times New Roman"/>
                <w:iCs/>
                <w:sz w:val="20"/>
                <w:szCs w:val="20"/>
                <w:lang w:val="ro-RO"/>
              </w:rPr>
            </w:pPr>
            <w:r w:rsidRPr="002C32BA">
              <w:rPr>
                <w:rFonts w:ascii="Times New Roman" w:hAnsi="Times New Roman" w:cs="Times New Roman"/>
                <w:iCs/>
                <w:sz w:val="20"/>
                <w:szCs w:val="20"/>
                <w:lang w:val="ro-RO"/>
              </w:rPr>
              <w:t xml:space="preserve">a </w:t>
            </w:r>
            <w:r w:rsidRPr="002C32BA">
              <w:rPr>
                <w:rFonts w:ascii="Times New Roman" w:hAnsi="Times New Roman" w:cs="Times New Roman"/>
                <w:iCs/>
                <w:sz w:val="20"/>
                <w:szCs w:val="20"/>
                <w:vertAlign w:val="subscript"/>
                <w:lang w:val="ro-RO"/>
              </w:rPr>
              <w:t>i</w:t>
            </w:r>
            <w:r w:rsidRPr="002C32BA">
              <w:rPr>
                <w:rFonts w:ascii="Times New Roman" w:hAnsi="Times New Roman" w:cs="Times New Roman"/>
                <w:iCs/>
                <w:sz w:val="20"/>
                <w:szCs w:val="20"/>
                <w:lang w:val="ro-RO"/>
              </w:rPr>
              <w:t xml:space="preserve"> = proporția corespunzătoare valorii unui element eligibil i în valoarea totală a garanției reale;</w:t>
            </w:r>
          </w:p>
          <w:p w14:paraId="5F05538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iCs/>
                <w:sz w:val="20"/>
                <w:szCs w:val="20"/>
                <w:lang w:val="ro-RO"/>
              </w:rPr>
              <w:t xml:space="preserve">H </w:t>
            </w:r>
            <w:r w:rsidRPr="002C32BA">
              <w:rPr>
                <w:rFonts w:ascii="Times New Roman" w:hAnsi="Times New Roman" w:cs="Times New Roman"/>
                <w:iCs/>
                <w:sz w:val="20"/>
                <w:szCs w:val="20"/>
                <w:vertAlign w:val="subscript"/>
                <w:lang w:val="ro-RO"/>
              </w:rPr>
              <w:t>i</w:t>
            </w:r>
            <w:r w:rsidRPr="002C32BA">
              <w:rPr>
                <w:rFonts w:ascii="Times New Roman" w:hAnsi="Times New Roman" w:cs="Times New Roman"/>
                <w:iCs/>
                <w:sz w:val="20"/>
                <w:szCs w:val="20"/>
                <w:lang w:val="ro-RO"/>
              </w:rPr>
              <w:t xml:space="preserve"> = ajustarea de volatilitate aplicabilă elementului eligibil i.</w:t>
            </w:r>
          </w:p>
        </w:tc>
        <w:tc>
          <w:tcPr>
            <w:tcW w:w="1636" w:type="pct"/>
            <w:shd w:val="clear" w:color="auto" w:fill="auto"/>
          </w:tcPr>
          <w:p w14:paraId="6A62DCD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A94811">
              <w:rPr>
                <w:rFonts w:ascii="Times New Roman" w:hAnsi="Times New Roman"/>
                <w:b/>
                <w:bCs/>
                <w:sz w:val="20"/>
                <w:szCs w:val="20"/>
                <w:lang w:val="ro-RO" w:eastAsia="ru-RU"/>
              </w:rPr>
              <w:t>94.</w:t>
            </w:r>
            <w:r w:rsidRPr="002C32BA">
              <w:rPr>
                <w:rFonts w:ascii="Times New Roman" w:hAnsi="Times New Roman"/>
                <w:sz w:val="20"/>
                <w:szCs w:val="20"/>
                <w:lang w:val="ro-RO" w:eastAsia="ru-RU"/>
              </w:rPr>
              <w:t xml:space="preserve"> În cazul în care garanția reală constă într-un număr de elemente eligibile, băncile trebuie să calculeze ajustarea de volatilitate (H) după cum urmează: </w:t>
            </w:r>
          </w:p>
          <w:p w14:paraId="6DBE88F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r w:rsidRPr="002C32BA">
              <w:rPr>
                <w:rFonts w:ascii="Times New Roman" w:eastAsia="Arial Unicode MS" w:hAnsi="Times New Roman"/>
                <w:noProof/>
                <w:sz w:val="20"/>
                <w:szCs w:val="20"/>
                <w:lang w:val="ro-RO"/>
              </w:rPr>
              <w:drawing>
                <wp:inline distT="0" distB="0" distL="0" distR="0" wp14:anchorId="021D0C60" wp14:editId="2F706504">
                  <wp:extent cx="966470" cy="448310"/>
                  <wp:effectExtent l="0" t="0" r="0" b="0"/>
                  <wp:docPr id="16" name="Picture 16"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6470" cy="448310"/>
                          </a:xfrm>
                          <a:prstGeom prst="rect">
                            <a:avLst/>
                          </a:prstGeom>
                          <a:noFill/>
                          <a:ln>
                            <a:noFill/>
                          </a:ln>
                        </pic:spPr>
                      </pic:pic>
                    </a:graphicData>
                  </a:graphic>
                </wp:inline>
              </w:drawing>
            </w:r>
          </w:p>
          <w:p w14:paraId="4199E877"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unde: </w:t>
            </w:r>
          </w:p>
          <w:p w14:paraId="4877EAA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a</w:t>
            </w:r>
            <w:r w:rsidRPr="002C32BA">
              <w:rPr>
                <w:rFonts w:ascii="Times New Roman" w:hAnsi="Times New Roman"/>
                <w:sz w:val="20"/>
                <w:szCs w:val="20"/>
                <w:vertAlign w:val="subscript"/>
                <w:lang w:val="ro-RO" w:eastAsia="ru-RU"/>
              </w:rPr>
              <w:t>i</w:t>
            </w:r>
            <w:r w:rsidRPr="002C32BA">
              <w:rPr>
                <w:rFonts w:ascii="Times New Roman" w:hAnsi="Times New Roman"/>
                <w:sz w:val="20"/>
                <w:szCs w:val="20"/>
                <w:lang w:val="ro-RO" w:eastAsia="ru-RU"/>
              </w:rPr>
              <w:t xml:space="preserve"> = ponderea valorii unui element eligibil i în valoarea totală a garanției reale; </w:t>
            </w:r>
          </w:p>
          <w:p w14:paraId="3B7114A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H</w:t>
            </w:r>
            <w:r w:rsidRPr="002C32BA">
              <w:rPr>
                <w:rFonts w:ascii="Times New Roman" w:hAnsi="Times New Roman"/>
                <w:sz w:val="20"/>
                <w:szCs w:val="20"/>
                <w:vertAlign w:val="subscript"/>
                <w:lang w:val="ro-RO" w:eastAsia="ru-RU"/>
              </w:rPr>
              <w:t>i</w:t>
            </w:r>
            <w:r w:rsidRPr="002C32BA">
              <w:rPr>
                <w:rFonts w:ascii="Times New Roman" w:hAnsi="Times New Roman"/>
                <w:sz w:val="20"/>
                <w:szCs w:val="20"/>
                <w:lang w:val="ro-RO" w:eastAsia="ru-RU"/>
              </w:rPr>
              <w:t xml:space="preserve"> = ajustarea de volatilitate aplicabilă elementului eligibil i.</w:t>
            </w:r>
          </w:p>
        </w:tc>
        <w:tc>
          <w:tcPr>
            <w:tcW w:w="562" w:type="pct"/>
          </w:tcPr>
          <w:p w14:paraId="7C332A27"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1E51D4B" w14:textId="1906E4CE"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5DA19B4A"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72B7BAD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79BB0324" w14:textId="77777777" w:rsidR="00D62F3C" w:rsidRPr="00A94811" w:rsidRDefault="00D62F3C" w:rsidP="00D62F3C">
            <w:pPr>
              <w:pStyle w:val="CM4"/>
              <w:tabs>
                <w:tab w:val="left" w:pos="150"/>
              </w:tabs>
              <w:ind w:left="-43"/>
              <w:jc w:val="both"/>
              <w:rPr>
                <w:rFonts w:ascii="Times New Roman" w:hAnsi="Times New Roman"/>
                <w:b/>
                <w:iCs/>
                <w:sz w:val="20"/>
                <w:szCs w:val="20"/>
                <w:lang w:val="ro-RO" w:eastAsia="ru-RU"/>
              </w:rPr>
            </w:pPr>
            <w:r w:rsidRPr="00A94811">
              <w:rPr>
                <w:rFonts w:ascii="Times New Roman" w:hAnsi="Times New Roman"/>
                <w:i/>
                <w:iCs/>
                <w:sz w:val="20"/>
                <w:szCs w:val="20"/>
                <w:lang w:val="ro-RO" w:eastAsia="ru-RU"/>
              </w:rPr>
              <w:t>Articolul 224</w:t>
            </w:r>
            <w:r w:rsidRPr="00A94811">
              <w:rPr>
                <w:rFonts w:ascii="Times New Roman" w:hAnsi="Times New Roman"/>
                <w:iCs/>
                <w:sz w:val="20"/>
                <w:szCs w:val="20"/>
                <w:lang w:val="ro-RO" w:eastAsia="ru-RU"/>
              </w:rPr>
              <w:t xml:space="preserve"> </w:t>
            </w:r>
            <w:r w:rsidRPr="00A94811">
              <w:rPr>
                <w:rFonts w:ascii="Times New Roman" w:hAnsi="Times New Roman"/>
                <w:b/>
                <w:iCs/>
                <w:sz w:val="20"/>
                <w:szCs w:val="20"/>
                <w:lang w:val="ro-RO" w:eastAsia="ru-RU"/>
              </w:rPr>
              <w:t>Aplicarea în cadrul metodei extinse a garanțiilor financiare a ajustărilor de volatilitate reglementate</w:t>
            </w:r>
          </w:p>
          <w:p w14:paraId="16747F0E" w14:textId="77777777" w:rsidR="00D62F3C" w:rsidRPr="00A94811" w:rsidRDefault="00D62F3C" w:rsidP="00D62F3C">
            <w:pPr>
              <w:pStyle w:val="CM4"/>
              <w:tabs>
                <w:tab w:val="left" w:pos="150"/>
              </w:tabs>
              <w:ind w:left="-43"/>
              <w:jc w:val="both"/>
              <w:rPr>
                <w:rFonts w:ascii="Times New Roman" w:hAnsi="Times New Roman"/>
                <w:iCs/>
                <w:sz w:val="20"/>
                <w:szCs w:val="20"/>
                <w:lang w:val="ro-RO" w:eastAsia="ru-RU"/>
              </w:rPr>
            </w:pPr>
            <w:r w:rsidRPr="00A94811">
              <w:rPr>
                <w:rFonts w:ascii="Times New Roman" w:hAnsi="Times New Roman"/>
                <w:iCs/>
                <w:sz w:val="20"/>
                <w:szCs w:val="20"/>
                <w:lang w:val="ro-RO" w:eastAsia="ru-RU"/>
              </w:rPr>
              <w:t>(1) Ajustările de volatilitate care trebuie aplicate de instituții în cadrul abordării bazate pe ajustări de volatilitate reglementate, presupunând că reevaluarea se efectuează zilnic, sunt prevăzute în tabelele 1- 4 din prezentul alineat.</w:t>
            </w:r>
          </w:p>
          <w:p w14:paraId="4A5AC626" w14:textId="77777777" w:rsidR="00A94811" w:rsidRPr="00A94811" w:rsidRDefault="00A94811" w:rsidP="00A94811">
            <w:pPr>
              <w:pStyle w:val="modref"/>
              <w:shd w:val="clear" w:color="auto" w:fill="FFFFFF"/>
              <w:spacing w:before="120" w:beforeAutospacing="0" w:after="0" w:afterAutospacing="0" w:line="312" w:lineRule="atLeast"/>
              <w:rPr>
                <w:b/>
                <w:bCs/>
                <w:color w:val="333333"/>
                <w:sz w:val="20"/>
                <w:szCs w:val="20"/>
              </w:rPr>
            </w:pPr>
            <w:hyperlink r:id="rId40" w:tooltip="32024R1623: REPLACED" w:history="1">
              <w:r w:rsidRPr="00A94811">
                <w:rPr>
                  <w:rStyle w:val="Hyperlink"/>
                  <w:b/>
                  <w:bCs/>
                  <w:color w:val="0E47CB"/>
                  <w:sz w:val="20"/>
                  <w:szCs w:val="20"/>
                </w:rPr>
                <w:t>▼M17</w:t>
              </w:r>
            </w:hyperlink>
          </w:p>
          <w:p w14:paraId="692FB7A9" w14:textId="77777777" w:rsidR="00A94811" w:rsidRPr="00A94811" w:rsidRDefault="00A94811" w:rsidP="00A94811">
            <w:pPr>
              <w:pStyle w:val="title-table"/>
              <w:shd w:val="clear" w:color="auto" w:fill="FFFFFF"/>
              <w:spacing w:line="312" w:lineRule="atLeast"/>
              <w:rPr>
                <w:color w:val="333333"/>
                <w:sz w:val="20"/>
                <w:szCs w:val="20"/>
              </w:rPr>
            </w:pPr>
            <w:proofErr w:type="spellStart"/>
            <w:r w:rsidRPr="00A94811">
              <w:rPr>
                <w:b w:val="0"/>
                <w:bCs w:val="0"/>
                <w:color w:val="333333"/>
                <w:sz w:val="20"/>
                <w:szCs w:val="20"/>
              </w:rPr>
              <w:t>Tabelul</w:t>
            </w:r>
            <w:proofErr w:type="spellEnd"/>
            <w:r w:rsidRPr="00A94811">
              <w:rPr>
                <w:b w:val="0"/>
                <w:bCs w:val="0"/>
                <w:color w:val="333333"/>
                <w:sz w:val="20"/>
                <w:szCs w:val="20"/>
              </w:rPr>
              <w:t xml:space="preserve"> 1</w:t>
            </w:r>
          </w:p>
          <w:tbl>
            <w:tblPr>
              <w:tblW w:w="573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5"/>
              <w:gridCol w:w="570"/>
              <w:gridCol w:w="502"/>
              <w:gridCol w:w="502"/>
              <w:gridCol w:w="505"/>
              <w:gridCol w:w="503"/>
              <w:gridCol w:w="503"/>
              <w:gridCol w:w="504"/>
              <w:gridCol w:w="503"/>
              <w:gridCol w:w="503"/>
              <w:gridCol w:w="504"/>
            </w:tblGrid>
            <w:tr w:rsidR="00A94811" w:rsidRPr="00A94811" w14:paraId="343A0425" w14:textId="77777777" w:rsidTr="00A94811">
              <w:trPr>
                <w:trHeight w:val="2463"/>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66A5CF32"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Nivelul</w:t>
                  </w:r>
                  <w:proofErr w:type="spellEnd"/>
                  <w:r w:rsidRPr="00A94811">
                    <w:rPr>
                      <w:b/>
                      <w:bCs/>
                      <w:sz w:val="20"/>
                      <w:szCs w:val="20"/>
                    </w:rPr>
                    <w:t xml:space="preserve"> de </w:t>
                  </w:r>
                  <w:proofErr w:type="spellStart"/>
                  <w:r w:rsidRPr="00A94811">
                    <w:rPr>
                      <w:b/>
                      <w:bCs/>
                      <w:sz w:val="20"/>
                      <w:szCs w:val="20"/>
                    </w:rPr>
                    <w:t>calitate</w:t>
                  </w:r>
                  <w:proofErr w:type="spellEnd"/>
                  <w:r w:rsidRPr="00A94811">
                    <w:rPr>
                      <w:b/>
                      <w:bCs/>
                      <w:sz w:val="20"/>
                      <w:szCs w:val="20"/>
                    </w:rPr>
                    <w:t xml:space="preserve"> a </w:t>
                  </w:r>
                  <w:proofErr w:type="spellStart"/>
                  <w:r w:rsidRPr="00A94811">
                    <w:rPr>
                      <w:b/>
                      <w:bCs/>
                      <w:sz w:val="20"/>
                      <w:szCs w:val="20"/>
                    </w:rPr>
                    <w:t>creditului</w:t>
                  </w:r>
                  <w:proofErr w:type="spellEnd"/>
                  <w:r w:rsidRPr="00A94811">
                    <w:rPr>
                      <w:b/>
                      <w:bCs/>
                      <w:sz w:val="20"/>
                      <w:szCs w:val="20"/>
                    </w:rPr>
                    <w:t xml:space="preserve"> cu care </w:t>
                  </w:r>
                  <w:proofErr w:type="spellStart"/>
                  <w:r w:rsidRPr="00A94811">
                    <w:rPr>
                      <w:b/>
                      <w:bCs/>
                      <w:sz w:val="20"/>
                      <w:szCs w:val="20"/>
                    </w:rPr>
                    <w:t>este</w:t>
                  </w:r>
                  <w:proofErr w:type="spellEnd"/>
                  <w:r w:rsidRPr="00A94811">
                    <w:rPr>
                      <w:b/>
                      <w:bCs/>
                      <w:sz w:val="20"/>
                      <w:szCs w:val="20"/>
                    </w:rPr>
                    <w:t xml:space="preserve"> </w:t>
                  </w:r>
                  <w:proofErr w:type="spellStart"/>
                  <w:r w:rsidRPr="00A94811">
                    <w:rPr>
                      <w:b/>
                      <w:bCs/>
                      <w:sz w:val="20"/>
                      <w:szCs w:val="20"/>
                    </w:rPr>
                    <w:t>asociată</w:t>
                  </w:r>
                  <w:proofErr w:type="spellEnd"/>
                  <w:r w:rsidRPr="00A94811">
                    <w:rPr>
                      <w:b/>
                      <w:bCs/>
                      <w:sz w:val="20"/>
                      <w:szCs w:val="20"/>
                    </w:rPr>
                    <w:t xml:space="preserve"> </w:t>
                  </w:r>
                  <w:proofErr w:type="spellStart"/>
                  <w:r w:rsidRPr="00A94811">
                    <w:rPr>
                      <w:b/>
                      <w:bCs/>
                      <w:sz w:val="20"/>
                      <w:szCs w:val="20"/>
                    </w:rPr>
                    <w:t>evaluarea</w:t>
                  </w:r>
                  <w:proofErr w:type="spellEnd"/>
                  <w:r w:rsidRPr="00A94811">
                    <w:rPr>
                      <w:b/>
                      <w:bCs/>
                      <w:sz w:val="20"/>
                      <w:szCs w:val="20"/>
                    </w:rPr>
                    <w:t xml:space="preserve"> </w:t>
                  </w:r>
                  <w:proofErr w:type="spellStart"/>
                  <w:r w:rsidRPr="00A94811">
                    <w:rPr>
                      <w:b/>
                      <w:bCs/>
                      <w:sz w:val="20"/>
                      <w:szCs w:val="20"/>
                    </w:rPr>
                    <w:t>creditului</w:t>
                  </w:r>
                  <w:proofErr w:type="spellEnd"/>
                  <w:r w:rsidRPr="00A94811">
                    <w:rPr>
                      <w:b/>
                      <w:bCs/>
                      <w:sz w:val="20"/>
                      <w:szCs w:val="20"/>
                    </w:rPr>
                    <w:t xml:space="preserve"> </w:t>
                  </w:r>
                  <w:proofErr w:type="spellStart"/>
                  <w:r w:rsidRPr="00A94811">
                    <w:rPr>
                      <w:b/>
                      <w:bCs/>
                      <w:sz w:val="20"/>
                      <w:szCs w:val="20"/>
                    </w:rPr>
                    <w:t>pentru</w:t>
                  </w:r>
                  <w:proofErr w:type="spellEnd"/>
                  <w:r w:rsidRPr="00A94811">
                    <w:rPr>
                      <w:b/>
                      <w:bCs/>
                      <w:sz w:val="20"/>
                      <w:szCs w:val="20"/>
                    </w:rPr>
                    <w:t xml:space="preserve"> </w:t>
                  </w:r>
                  <w:proofErr w:type="spellStart"/>
                  <w:r w:rsidRPr="00A94811">
                    <w:rPr>
                      <w:b/>
                      <w:bCs/>
                      <w:sz w:val="20"/>
                      <w:szCs w:val="20"/>
                    </w:rPr>
                    <w:t>titlul</w:t>
                  </w:r>
                  <w:proofErr w:type="spellEnd"/>
                  <w:r w:rsidRPr="00A94811">
                    <w:rPr>
                      <w:b/>
                      <w:bCs/>
                      <w:sz w:val="20"/>
                      <w:szCs w:val="20"/>
                    </w:rPr>
                    <w:t xml:space="preserve"> de </w:t>
                  </w:r>
                  <w:proofErr w:type="spellStart"/>
                  <w:r w:rsidRPr="00A94811">
                    <w:rPr>
                      <w:b/>
                      <w:bCs/>
                      <w:sz w:val="20"/>
                      <w:szCs w:val="20"/>
                    </w:rPr>
                    <w:t>datorie</w:t>
                  </w:r>
                  <w:proofErr w:type="spellEnd"/>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020A9439"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Scadența</w:t>
                  </w:r>
                  <w:proofErr w:type="spellEnd"/>
                  <w:r w:rsidRPr="00A94811">
                    <w:rPr>
                      <w:b/>
                      <w:bCs/>
                      <w:sz w:val="20"/>
                      <w:szCs w:val="20"/>
                    </w:rPr>
                    <w:t xml:space="preserve"> </w:t>
                  </w:r>
                  <w:proofErr w:type="spellStart"/>
                  <w:r w:rsidRPr="00A94811">
                    <w:rPr>
                      <w:b/>
                      <w:bCs/>
                      <w:sz w:val="20"/>
                      <w:szCs w:val="20"/>
                    </w:rPr>
                    <w:t>reziduală</w:t>
                  </w:r>
                  <w:proofErr w:type="spellEnd"/>
                  <w:r w:rsidRPr="00A94811">
                    <w:rPr>
                      <w:b/>
                      <w:bCs/>
                      <w:sz w:val="20"/>
                      <w:szCs w:val="20"/>
                    </w:rPr>
                    <w:t xml:space="preserve"> (m), </w:t>
                  </w:r>
                  <w:proofErr w:type="spellStart"/>
                  <w:r w:rsidRPr="00A94811">
                    <w:rPr>
                      <w:b/>
                      <w:bCs/>
                      <w:sz w:val="20"/>
                      <w:szCs w:val="20"/>
                    </w:rPr>
                    <w:t>exprimată</w:t>
                  </w:r>
                  <w:proofErr w:type="spellEnd"/>
                  <w:r w:rsidRPr="00A94811">
                    <w:rPr>
                      <w:b/>
                      <w:bCs/>
                      <w:sz w:val="20"/>
                      <w:szCs w:val="20"/>
                    </w:rPr>
                    <w:t xml:space="preserve"> </w:t>
                  </w:r>
                  <w:proofErr w:type="spellStart"/>
                  <w:r w:rsidRPr="00A94811">
                    <w:rPr>
                      <w:b/>
                      <w:bCs/>
                      <w:sz w:val="20"/>
                      <w:szCs w:val="20"/>
                    </w:rPr>
                    <w:t>în</w:t>
                  </w:r>
                  <w:proofErr w:type="spellEnd"/>
                  <w:r w:rsidRPr="00A94811">
                    <w:rPr>
                      <w:b/>
                      <w:bCs/>
                      <w:sz w:val="20"/>
                      <w:szCs w:val="20"/>
                    </w:rPr>
                    <w:t xml:space="preserve"> ani</w:t>
                  </w:r>
                </w:p>
              </w:tc>
              <w:tc>
                <w:tcPr>
                  <w:tcW w:w="1509" w:type="dxa"/>
                  <w:gridSpan w:val="3"/>
                  <w:tcBorders>
                    <w:top w:val="outset" w:sz="6" w:space="0" w:color="auto"/>
                    <w:left w:val="outset" w:sz="6" w:space="0" w:color="auto"/>
                    <w:bottom w:val="outset" w:sz="6" w:space="0" w:color="auto"/>
                    <w:right w:val="outset" w:sz="6" w:space="0" w:color="auto"/>
                  </w:tcBorders>
                  <w:shd w:val="clear" w:color="auto" w:fill="auto"/>
                  <w:hideMark/>
                </w:tcPr>
                <w:p w14:paraId="6AE50720"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Ajustările</w:t>
                  </w:r>
                  <w:proofErr w:type="spellEnd"/>
                  <w:r w:rsidRPr="00A94811">
                    <w:rPr>
                      <w:b/>
                      <w:bCs/>
                      <w:sz w:val="20"/>
                      <w:szCs w:val="20"/>
                    </w:rPr>
                    <w:t xml:space="preserve"> de </w:t>
                  </w:r>
                  <w:proofErr w:type="spellStart"/>
                  <w:r w:rsidRPr="00A94811">
                    <w:rPr>
                      <w:b/>
                      <w:bCs/>
                      <w:sz w:val="20"/>
                      <w:szCs w:val="20"/>
                    </w:rPr>
                    <w:t>volatilitate</w:t>
                  </w:r>
                  <w:proofErr w:type="spellEnd"/>
                  <w:r w:rsidRPr="00A94811">
                    <w:rPr>
                      <w:b/>
                      <w:bCs/>
                      <w:sz w:val="20"/>
                      <w:szCs w:val="20"/>
                    </w:rPr>
                    <w:t xml:space="preserve"> </w:t>
                  </w:r>
                  <w:proofErr w:type="spellStart"/>
                  <w:r w:rsidRPr="00A94811">
                    <w:rPr>
                      <w:b/>
                      <w:bCs/>
                      <w:sz w:val="20"/>
                      <w:szCs w:val="20"/>
                    </w:rPr>
                    <w:t>pentru</w:t>
                  </w:r>
                  <w:proofErr w:type="spellEnd"/>
                  <w:r w:rsidRPr="00A94811">
                    <w:rPr>
                      <w:b/>
                      <w:bCs/>
                      <w:sz w:val="20"/>
                      <w:szCs w:val="20"/>
                    </w:rPr>
                    <w:t xml:space="preserve"> </w:t>
                  </w:r>
                  <w:proofErr w:type="spellStart"/>
                  <w:r w:rsidRPr="00A94811">
                    <w:rPr>
                      <w:b/>
                      <w:bCs/>
                      <w:sz w:val="20"/>
                      <w:szCs w:val="20"/>
                    </w:rPr>
                    <w:t>titlurile</w:t>
                  </w:r>
                  <w:proofErr w:type="spellEnd"/>
                  <w:r w:rsidRPr="00A94811">
                    <w:rPr>
                      <w:b/>
                      <w:bCs/>
                      <w:sz w:val="20"/>
                      <w:szCs w:val="20"/>
                    </w:rPr>
                    <w:t xml:space="preserve"> de </w:t>
                  </w:r>
                  <w:proofErr w:type="spellStart"/>
                  <w:r w:rsidRPr="00A94811">
                    <w:rPr>
                      <w:b/>
                      <w:bCs/>
                      <w:sz w:val="20"/>
                      <w:szCs w:val="20"/>
                    </w:rPr>
                    <w:t>datorie</w:t>
                  </w:r>
                  <w:proofErr w:type="spellEnd"/>
                  <w:r w:rsidRPr="00A94811">
                    <w:rPr>
                      <w:b/>
                      <w:bCs/>
                      <w:sz w:val="20"/>
                      <w:szCs w:val="20"/>
                    </w:rPr>
                    <w:t xml:space="preserve"> </w:t>
                  </w:r>
                  <w:proofErr w:type="spellStart"/>
                  <w:r w:rsidRPr="00A94811">
                    <w:rPr>
                      <w:b/>
                      <w:bCs/>
                      <w:sz w:val="20"/>
                      <w:szCs w:val="20"/>
                    </w:rPr>
                    <w:t>emise</w:t>
                  </w:r>
                  <w:proofErr w:type="spellEnd"/>
                  <w:r w:rsidRPr="00A94811">
                    <w:rPr>
                      <w:b/>
                      <w:bCs/>
                      <w:sz w:val="20"/>
                      <w:szCs w:val="20"/>
                    </w:rPr>
                    <w:t xml:space="preserve"> de </w:t>
                  </w:r>
                  <w:proofErr w:type="spellStart"/>
                  <w:r w:rsidRPr="00A94811">
                    <w:rPr>
                      <w:b/>
                      <w:bCs/>
                      <w:sz w:val="20"/>
                      <w:szCs w:val="20"/>
                    </w:rPr>
                    <w:t>entitățile</w:t>
                  </w:r>
                  <w:proofErr w:type="spellEnd"/>
                  <w:r w:rsidRPr="00A94811">
                    <w:rPr>
                      <w:b/>
                      <w:bCs/>
                      <w:sz w:val="20"/>
                      <w:szCs w:val="20"/>
                    </w:rPr>
                    <w:t xml:space="preserve"> </w:t>
                  </w:r>
                  <w:proofErr w:type="spellStart"/>
                  <w:r w:rsidRPr="00A94811">
                    <w:rPr>
                      <w:b/>
                      <w:bCs/>
                      <w:sz w:val="20"/>
                      <w:szCs w:val="20"/>
                    </w:rPr>
                    <w:t>menționate</w:t>
                  </w:r>
                  <w:proofErr w:type="spellEnd"/>
                  <w:r w:rsidRPr="00A94811">
                    <w:rPr>
                      <w:b/>
                      <w:bCs/>
                      <w:sz w:val="20"/>
                      <w:szCs w:val="20"/>
                    </w:rPr>
                    <w:t xml:space="preserve"> la </w:t>
                  </w:r>
                  <w:proofErr w:type="spellStart"/>
                  <w:r w:rsidRPr="00A94811">
                    <w:rPr>
                      <w:b/>
                      <w:bCs/>
                      <w:sz w:val="20"/>
                      <w:szCs w:val="20"/>
                    </w:rPr>
                    <w:t>articolul</w:t>
                  </w:r>
                  <w:proofErr w:type="spellEnd"/>
                  <w:r w:rsidRPr="00A94811">
                    <w:rPr>
                      <w:b/>
                      <w:bCs/>
                      <w:sz w:val="20"/>
                      <w:szCs w:val="20"/>
                    </w:rPr>
                    <w:t xml:space="preserve"> 197 </w:t>
                  </w:r>
                  <w:proofErr w:type="spellStart"/>
                  <w:r w:rsidRPr="00A94811">
                    <w:rPr>
                      <w:b/>
                      <w:bCs/>
                      <w:sz w:val="20"/>
                      <w:szCs w:val="20"/>
                    </w:rPr>
                    <w:t>alineatul</w:t>
                  </w:r>
                  <w:proofErr w:type="spellEnd"/>
                  <w:r w:rsidRPr="00A94811">
                    <w:rPr>
                      <w:b/>
                      <w:bCs/>
                      <w:sz w:val="20"/>
                      <w:szCs w:val="20"/>
                    </w:rPr>
                    <w:t xml:space="preserve"> (1) </w:t>
                  </w:r>
                  <w:proofErr w:type="spellStart"/>
                  <w:r w:rsidRPr="00A94811">
                    <w:rPr>
                      <w:b/>
                      <w:bCs/>
                      <w:sz w:val="20"/>
                      <w:szCs w:val="20"/>
                    </w:rPr>
                    <w:t>litera</w:t>
                  </w:r>
                  <w:proofErr w:type="spellEnd"/>
                  <w:r w:rsidRPr="00A94811">
                    <w:rPr>
                      <w:b/>
                      <w:bCs/>
                      <w:sz w:val="20"/>
                      <w:szCs w:val="20"/>
                    </w:rPr>
                    <w:t> (b)</w:t>
                  </w:r>
                </w:p>
              </w:tc>
              <w:tc>
                <w:tcPr>
                  <w:tcW w:w="1510" w:type="dxa"/>
                  <w:gridSpan w:val="3"/>
                  <w:tcBorders>
                    <w:top w:val="outset" w:sz="6" w:space="0" w:color="auto"/>
                    <w:left w:val="outset" w:sz="6" w:space="0" w:color="auto"/>
                    <w:bottom w:val="outset" w:sz="6" w:space="0" w:color="auto"/>
                    <w:right w:val="outset" w:sz="6" w:space="0" w:color="auto"/>
                  </w:tcBorders>
                  <w:shd w:val="clear" w:color="auto" w:fill="auto"/>
                  <w:hideMark/>
                </w:tcPr>
                <w:p w14:paraId="6F4F4E36"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Ajustările</w:t>
                  </w:r>
                  <w:proofErr w:type="spellEnd"/>
                  <w:r w:rsidRPr="00A94811">
                    <w:rPr>
                      <w:b/>
                      <w:bCs/>
                      <w:sz w:val="20"/>
                      <w:szCs w:val="20"/>
                    </w:rPr>
                    <w:t xml:space="preserve"> de </w:t>
                  </w:r>
                  <w:proofErr w:type="spellStart"/>
                  <w:r w:rsidRPr="00A94811">
                    <w:rPr>
                      <w:b/>
                      <w:bCs/>
                      <w:sz w:val="20"/>
                      <w:szCs w:val="20"/>
                    </w:rPr>
                    <w:t>volatilitate</w:t>
                  </w:r>
                  <w:proofErr w:type="spellEnd"/>
                  <w:r w:rsidRPr="00A94811">
                    <w:rPr>
                      <w:b/>
                      <w:bCs/>
                      <w:sz w:val="20"/>
                      <w:szCs w:val="20"/>
                    </w:rPr>
                    <w:t xml:space="preserve"> </w:t>
                  </w:r>
                  <w:proofErr w:type="spellStart"/>
                  <w:r w:rsidRPr="00A94811">
                    <w:rPr>
                      <w:b/>
                      <w:bCs/>
                      <w:sz w:val="20"/>
                      <w:szCs w:val="20"/>
                    </w:rPr>
                    <w:t>pentru</w:t>
                  </w:r>
                  <w:proofErr w:type="spellEnd"/>
                  <w:r w:rsidRPr="00A94811">
                    <w:rPr>
                      <w:b/>
                      <w:bCs/>
                      <w:sz w:val="20"/>
                      <w:szCs w:val="20"/>
                    </w:rPr>
                    <w:t xml:space="preserve"> </w:t>
                  </w:r>
                  <w:proofErr w:type="spellStart"/>
                  <w:r w:rsidRPr="00A94811">
                    <w:rPr>
                      <w:b/>
                      <w:bCs/>
                      <w:sz w:val="20"/>
                      <w:szCs w:val="20"/>
                    </w:rPr>
                    <w:t>titlurile</w:t>
                  </w:r>
                  <w:proofErr w:type="spellEnd"/>
                  <w:r w:rsidRPr="00A94811">
                    <w:rPr>
                      <w:b/>
                      <w:bCs/>
                      <w:sz w:val="20"/>
                      <w:szCs w:val="20"/>
                    </w:rPr>
                    <w:t xml:space="preserve"> de </w:t>
                  </w:r>
                  <w:proofErr w:type="spellStart"/>
                  <w:r w:rsidRPr="00A94811">
                    <w:rPr>
                      <w:b/>
                      <w:bCs/>
                      <w:sz w:val="20"/>
                      <w:szCs w:val="20"/>
                    </w:rPr>
                    <w:t>datorie</w:t>
                  </w:r>
                  <w:proofErr w:type="spellEnd"/>
                  <w:r w:rsidRPr="00A94811">
                    <w:rPr>
                      <w:b/>
                      <w:bCs/>
                      <w:sz w:val="20"/>
                      <w:szCs w:val="20"/>
                    </w:rPr>
                    <w:t xml:space="preserve"> </w:t>
                  </w:r>
                  <w:proofErr w:type="spellStart"/>
                  <w:r w:rsidRPr="00A94811">
                    <w:rPr>
                      <w:b/>
                      <w:bCs/>
                      <w:sz w:val="20"/>
                      <w:szCs w:val="20"/>
                    </w:rPr>
                    <w:t>emise</w:t>
                  </w:r>
                  <w:proofErr w:type="spellEnd"/>
                  <w:r w:rsidRPr="00A94811">
                    <w:rPr>
                      <w:b/>
                      <w:bCs/>
                      <w:sz w:val="20"/>
                      <w:szCs w:val="20"/>
                    </w:rPr>
                    <w:t xml:space="preserve"> de </w:t>
                  </w:r>
                  <w:proofErr w:type="spellStart"/>
                  <w:r w:rsidRPr="00A94811">
                    <w:rPr>
                      <w:b/>
                      <w:bCs/>
                      <w:sz w:val="20"/>
                      <w:szCs w:val="20"/>
                    </w:rPr>
                    <w:t>entitățile</w:t>
                  </w:r>
                  <w:proofErr w:type="spellEnd"/>
                  <w:r w:rsidRPr="00A94811">
                    <w:rPr>
                      <w:b/>
                      <w:bCs/>
                      <w:sz w:val="20"/>
                      <w:szCs w:val="20"/>
                    </w:rPr>
                    <w:t xml:space="preserve"> </w:t>
                  </w:r>
                  <w:proofErr w:type="spellStart"/>
                  <w:r w:rsidRPr="00A94811">
                    <w:rPr>
                      <w:b/>
                      <w:bCs/>
                      <w:sz w:val="20"/>
                      <w:szCs w:val="20"/>
                    </w:rPr>
                    <w:t>menționate</w:t>
                  </w:r>
                  <w:proofErr w:type="spellEnd"/>
                  <w:r w:rsidRPr="00A94811">
                    <w:rPr>
                      <w:b/>
                      <w:bCs/>
                      <w:sz w:val="20"/>
                      <w:szCs w:val="20"/>
                    </w:rPr>
                    <w:t xml:space="preserve"> la </w:t>
                  </w:r>
                  <w:proofErr w:type="spellStart"/>
                  <w:r w:rsidRPr="00A94811">
                    <w:rPr>
                      <w:b/>
                      <w:bCs/>
                      <w:sz w:val="20"/>
                      <w:szCs w:val="20"/>
                    </w:rPr>
                    <w:t>articolul</w:t>
                  </w:r>
                  <w:proofErr w:type="spellEnd"/>
                  <w:r w:rsidRPr="00A94811">
                    <w:rPr>
                      <w:b/>
                      <w:bCs/>
                      <w:sz w:val="20"/>
                      <w:szCs w:val="20"/>
                    </w:rPr>
                    <w:t xml:space="preserve"> 197 </w:t>
                  </w:r>
                  <w:proofErr w:type="spellStart"/>
                  <w:r w:rsidRPr="00A94811">
                    <w:rPr>
                      <w:b/>
                      <w:bCs/>
                      <w:sz w:val="20"/>
                      <w:szCs w:val="20"/>
                    </w:rPr>
                    <w:t>alineatul</w:t>
                  </w:r>
                  <w:proofErr w:type="spellEnd"/>
                  <w:r w:rsidRPr="00A94811">
                    <w:rPr>
                      <w:b/>
                      <w:bCs/>
                      <w:sz w:val="20"/>
                      <w:szCs w:val="20"/>
                    </w:rPr>
                    <w:t xml:space="preserve"> (1) </w:t>
                  </w:r>
                  <w:proofErr w:type="spellStart"/>
                  <w:r w:rsidRPr="00A94811">
                    <w:rPr>
                      <w:b/>
                      <w:bCs/>
                      <w:sz w:val="20"/>
                      <w:szCs w:val="20"/>
                    </w:rPr>
                    <w:t>literele</w:t>
                  </w:r>
                  <w:proofErr w:type="spellEnd"/>
                  <w:r w:rsidRPr="00A94811">
                    <w:rPr>
                      <w:b/>
                      <w:bCs/>
                      <w:sz w:val="20"/>
                      <w:szCs w:val="20"/>
                    </w:rPr>
                    <w:t xml:space="preserve"> (c) </w:t>
                  </w:r>
                  <w:proofErr w:type="spellStart"/>
                  <w:r w:rsidRPr="00A94811">
                    <w:rPr>
                      <w:b/>
                      <w:bCs/>
                      <w:sz w:val="20"/>
                      <w:szCs w:val="20"/>
                    </w:rPr>
                    <w:t>și</w:t>
                  </w:r>
                  <w:proofErr w:type="spellEnd"/>
                  <w:r w:rsidRPr="00A94811">
                    <w:rPr>
                      <w:b/>
                      <w:bCs/>
                      <w:sz w:val="20"/>
                      <w:szCs w:val="20"/>
                    </w:rPr>
                    <w:t xml:space="preserve"> (d)</w:t>
                  </w:r>
                </w:p>
              </w:tc>
              <w:tc>
                <w:tcPr>
                  <w:tcW w:w="1510" w:type="dxa"/>
                  <w:gridSpan w:val="3"/>
                  <w:tcBorders>
                    <w:top w:val="outset" w:sz="6" w:space="0" w:color="auto"/>
                    <w:left w:val="outset" w:sz="6" w:space="0" w:color="auto"/>
                    <w:bottom w:val="outset" w:sz="6" w:space="0" w:color="auto"/>
                    <w:right w:val="outset" w:sz="6" w:space="0" w:color="auto"/>
                  </w:tcBorders>
                  <w:shd w:val="clear" w:color="auto" w:fill="auto"/>
                  <w:hideMark/>
                </w:tcPr>
                <w:p w14:paraId="50785AA3"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Ajustările</w:t>
                  </w:r>
                  <w:proofErr w:type="spellEnd"/>
                  <w:r w:rsidRPr="00A94811">
                    <w:rPr>
                      <w:b/>
                      <w:bCs/>
                      <w:sz w:val="20"/>
                      <w:szCs w:val="20"/>
                    </w:rPr>
                    <w:t xml:space="preserve"> de </w:t>
                  </w:r>
                  <w:proofErr w:type="spellStart"/>
                  <w:r w:rsidRPr="00A94811">
                    <w:rPr>
                      <w:b/>
                      <w:bCs/>
                      <w:sz w:val="20"/>
                      <w:szCs w:val="20"/>
                    </w:rPr>
                    <w:t>volatilitate</w:t>
                  </w:r>
                  <w:proofErr w:type="spellEnd"/>
                  <w:r w:rsidRPr="00A94811">
                    <w:rPr>
                      <w:b/>
                      <w:bCs/>
                      <w:sz w:val="20"/>
                      <w:szCs w:val="20"/>
                    </w:rPr>
                    <w:t xml:space="preserve"> </w:t>
                  </w:r>
                  <w:proofErr w:type="spellStart"/>
                  <w:r w:rsidRPr="00A94811">
                    <w:rPr>
                      <w:b/>
                      <w:bCs/>
                      <w:sz w:val="20"/>
                      <w:szCs w:val="20"/>
                    </w:rPr>
                    <w:t>pentru</w:t>
                  </w:r>
                  <w:proofErr w:type="spellEnd"/>
                  <w:r w:rsidRPr="00A94811">
                    <w:rPr>
                      <w:b/>
                      <w:bCs/>
                      <w:sz w:val="20"/>
                      <w:szCs w:val="20"/>
                    </w:rPr>
                    <w:t xml:space="preserve"> </w:t>
                  </w:r>
                  <w:proofErr w:type="spellStart"/>
                  <w:r w:rsidRPr="00A94811">
                    <w:rPr>
                      <w:b/>
                      <w:bCs/>
                      <w:sz w:val="20"/>
                      <w:szCs w:val="20"/>
                    </w:rPr>
                    <w:t>pozițiile</w:t>
                  </w:r>
                  <w:proofErr w:type="spellEnd"/>
                  <w:r w:rsidRPr="00A94811">
                    <w:rPr>
                      <w:b/>
                      <w:bCs/>
                      <w:sz w:val="20"/>
                      <w:szCs w:val="20"/>
                    </w:rPr>
                    <w:t xml:space="preserve"> din </w:t>
                  </w:r>
                  <w:proofErr w:type="spellStart"/>
                  <w:r w:rsidRPr="00A94811">
                    <w:rPr>
                      <w:b/>
                      <w:bCs/>
                      <w:sz w:val="20"/>
                      <w:szCs w:val="20"/>
                    </w:rPr>
                    <w:t>securitizare</w:t>
                  </w:r>
                  <w:proofErr w:type="spellEnd"/>
                  <w:r w:rsidRPr="00A94811">
                    <w:rPr>
                      <w:b/>
                      <w:bCs/>
                      <w:sz w:val="20"/>
                      <w:szCs w:val="20"/>
                    </w:rPr>
                    <w:t xml:space="preserve"> care </w:t>
                  </w:r>
                  <w:proofErr w:type="spellStart"/>
                  <w:r w:rsidRPr="00A94811">
                    <w:rPr>
                      <w:b/>
                      <w:bCs/>
                      <w:sz w:val="20"/>
                      <w:szCs w:val="20"/>
                    </w:rPr>
                    <w:t>îndeplinesc</w:t>
                  </w:r>
                  <w:proofErr w:type="spellEnd"/>
                  <w:r w:rsidRPr="00A94811">
                    <w:rPr>
                      <w:b/>
                      <w:bCs/>
                      <w:sz w:val="20"/>
                      <w:szCs w:val="20"/>
                    </w:rPr>
                    <w:t xml:space="preserve"> </w:t>
                  </w:r>
                  <w:proofErr w:type="spellStart"/>
                  <w:r w:rsidRPr="00A94811">
                    <w:rPr>
                      <w:b/>
                      <w:bCs/>
                      <w:sz w:val="20"/>
                      <w:szCs w:val="20"/>
                    </w:rPr>
                    <w:t>criteriile</w:t>
                  </w:r>
                  <w:proofErr w:type="spellEnd"/>
                  <w:r w:rsidRPr="00A94811">
                    <w:rPr>
                      <w:b/>
                      <w:bCs/>
                      <w:sz w:val="20"/>
                      <w:szCs w:val="20"/>
                    </w:rPr>
                    <w:t xml:space="preserve"> </w:t>
                  </w:r>
                  <w:proofErr w:type="spellStart"/>
                  <w:r w:rsidRPr="00A94811">
                    <w:rPr>
                      <w:b/>
                      <w:bCs/>
                      <w:sz w:val="20"/>
                      <w:szCs w:val="20"/>
                    </w:rPr>
                    <w:t>stabilite</w:t>
                  </w:r>
                  <w:proofErr w:type="spellEnd"/>
                  <w:r w:rsidRPr="00A94811">
                    <w:rPr>
                      <w:b/>
                      <w:bCs/>
                      <w:sz w:val="20"/>
                      <w:szCs w:val="20"/>
                    </w:rPr>
                    <w:t xml:space="preserve"> la </w:t>
                  </w:r>
                  <w:proofErr w:type="spellStart"/>
                  <w:r w:rsidRPr="00A94811">
                    <w:rPr>
                      <w:b/>
                      <w:bCs/>
                      <w:sz w:val="20"/>
                      <w:szCs w:val="20"/>
                    </w:rPr>
                    <w:t>articolul</w:t>
                  </w:r>
                  <w:proofErr w:type="spellEnd"/>
                  <w:r w:rsidRPr="00A94811">
                    <w:rPr>
                      <w:b/>
                      <w:bCs/>
                      <w:sz w:val="20"/>
                      <w:szCs w:val="20"/>
                    </w:rPr>
                    <w:t xml:space="preserve"> 197 </w:t>
                  </w:r>
                  <w:proofErr w:type="spellStart"/>
                  <w:r w:rsidRPr="00A94811">
                    <w:rPr>
                      <w:b/>
                      <w:bCs/>
                      <w:sz w:val="20"/>
                      <w:szCs w:val="20"/>
                    </w:rPr>
                    <w:t>alineatul</w:t>
                  </w:r>
                  <w:proofErr w:type="spellEnd"/>
                  <w:r w:rsidRPr="00A94811">
                    <w:rPr>
                      <w:b/>
                      <w:bCs/>
                      <w:sz w:val="20"/>
                      <w:szCs w:val="20"/>
                    </w:rPr>
                    <w:t xml:space="preserve"> (1) </w:t>
                  </w:r>
                  <w:proofErr w:type="spellStart"/>
                  <w:r w:rsidRPr="00A94811">
                    <w:rPr>
                      <w:b/>
                      <w:bCs/>
                      <w:sz w:val="20"/>
                      <w:szCs w:val="20"/>
                    </w:rPr>
                    <w:t>litera</w:t>
                  </w:r>
                  <w:proofErr w:type="spellEnd"/>
                  <w:r w:rsidRPr="00A94811">
                    <w:rPr>
                      <w:b/>
                      <w:bCs/>
                      <w:sz w:val="20"/>
                      <w:szCs w:val="20"/>
                    </w:rPr>
                    <w:t> (h)</w:t>
                  </w:r>
                </w:p>
              </w:tc>
            </w:tr>
            <w:tr w:rsidR="00A94811" w:rsidRPr="00A94811" w14:paraId="161E56E1" w14:textId="77777777" w:rsidTr="00A94811">
              <w:trPr>
                <w:trHeight w:val="1912"/>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30BDCC9E" w14:textId="77777777" w:rsidR="00A94811" w:rsidRPr="00A94811" w:rsidRDefault="00A94811" w:rsidP="00A94811">
                  <w:pPr>
                    <w:pStyle w:val="Normal5"/>
                    <w:spacing w:before="0" w:beforeAutospacing="0" w:after="0" w:afterAutospacing="0" w:line="312" w:lineRule="atLeast"/>
                    <w:rPr>
                      <w:b/>
                      <w:bCs/>
                      <w:sz w:val="20"/>
                      <w:szCs w:val="20"/>
                    </w:rPr>
                  </w:pPr>
                  <w:r w:rsidRPr="00A94811">
                    <w:rPr>
                      <w:b/>
                      <w:bCs/>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7C5FA6AE" w14:textId="77777777" w:rsidR="00A94811" w:rsidRPr="00A94811" w:rsidRDefault="00A94811" w:rsidP="00A94811">
                  <w:pPr>
                    <w:pStyle w:val="Normal5"/>
                    <w:spacing w:before="0" w:beforeAutospacing="0" w:after="0" w:afterAutospacing="0" w:line="312" w:lineRule="atLeast"/>
                    <w:rPr>
                      <w:b/>
                      <w:bCs/>
                      <w:sz w:val="20"/>
                      <w:szCs w:val="20"/>
                    </w:rPr>
                  </w:pPr>
                  <w:r w:rsidRPr="00A94811">
                    <w:rPr>
                      <w:b/>
                      <w:bCs/>
                      <w:sz w:val="20"/>
                      <w:szCs w:val="20"/>
                    </w:rPr>
                    <w:t> </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7C8A66E1"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20 de </w:t>
                  </w:r>
                  <w:proofErr w:type="spellStart"/>
                  <w:r w:rsidRPr="00A94811">
                    <w:rPr>
                      <w:b/>
                      <w:bCs/>
                      <w:sz w:val="20"/>
                      <w:szCs w:val="20"/>
                    </w:rPr>
                    <w:t>zile</w:t>
                  </w:r>
                  <w:proofErr w:type="spellEnd"/>
                  <w:r w:rsidRPr="00A94811">
                    <w:rPr>
                      <w:b/>
                      <w:bCs/>
                      <w:sz w:val="20"/>
                      <w:szCs w:val="20"/>
                    </w:rPr>
                    <w:t xml:space="preserve"> (%)</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6499C7BD"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10 </w:t>
                  </w:r>
                  <w:proofErr w:type="spellStart"/>
                  <w:r w:rsidRPr="00A94811">
                    <w:rPr>
                      <w:b/>
                      <w:bCs/>
                      <w:sz w:val="20"/>
                      <w:szCs w:val="20"/>
                    </w:rPr>
                    <w:t>zile</w:t>
                  </w:r>
                  <w:proofErr w:type="spellEnd"/>
                  <w:r w:rsidRPr="00A94811">
                    <w:rPr>
                      <w:b/>
                      <w:bCs/>
                      <w:sz w:val="20"/>
                      <w:szCs w:val="20"/>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7A907D31"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5 </w:t>
                  </w:r>
                  <w:proofErr w:type="spellStart"/>
                  <w:r w:rsidRPr="00A94811">
                    <w:rPr>
                      <w:b/>
                      <w:bCs/>
                      <w:sz w:val="20"/>
                      <w:szCs w:val="20"/>
                    </w:rPr>
                    <w:t>zile</w:t>
                  </w:r>
                  <w:proofErr w:type="spellEnd"/>
                  <w:r w:rsidRPr="00A94811">
                    <w:rPr>
                      <w:b/>
                      <w:bCs/>
                      <w:sz w:val="20"/>
                      <w:szCs w:val="20"/>
                    </w:rPr>
                    <w:t xml:space="preserve"> (%)</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41FB159"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20 de </w:t>
                  </w:r>
                  <w:proofErr w:type="spellStart"/>
                  <w:r w:rsidRPr="00A94811">
                    <w:rPr>
                      <w:b/>
                      <w:bCs/>
                      <w:sz w:val="20"/>
                      <w:szCs w:val="20"/>
                    </w:rPr>
                    <w:t>zile</w:t>
                  </w:r>
                  <w:proofErr w:type="spellEnd"/>
                  <w:r w:rsidRPr="00A94811">
                    <w:rPr>
                      <w:b/>
                      <w:bCs/>
                      <w:sz w:val="20"/>
                      <w:szCs w:val="20"/>
                    </w:rPr>
                    <w:t xml:space="preserve"> (%)</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EE35037"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10 </w:t>
                  </w:r>
                  <w:proofErr w:type="spellStart"/>
                  <w:r w:rsidRPr="00A94811">
                    <w:rPr>
                      <w:b/>
                      <w:bCs/>
                      <w:sz w:val="20"/>
                      <w:szCs w:val="20"/>
                    </w:rPr>
                    <w:t>zile</w:t>
                  </w:r>
                  <w:proofErr w:type="spellEnd"/>
                  <w:r w:rsidRPr="00A94811">
                    <w:rPr>
                      <w:b/>
                      <w:bCs/>
                      <w:sz w:val="20"/>
                      <w:szCs w:val="20"/>
                    </w:rPr>
                    <w:t xml:space="preserve"> (%)</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1892041"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5 </w:t>
                  </w:r>
                  <w:proofErr w:type="spellStart"/>
                  <w:r w:rsidRPr="00A94811">
                    <w:rPr>
                      <w:b/>
                      <w:bCs/>
                      <w:sz w:val="20"/>
                      <w:szCs w:val="20"/>
                    </w:rPr>
                    <w:t>zile</w:t>
                  </w:r>
                  <w:proofErr w:type="spellEnd"/>
                  <w:r w:rsidRPr="00A94811">
                    <w:rPr>
                      <w:b/>
                      <w:bCs/>
                      <w:sz w:val="20"/>
                      <w:szCs w:val="20"/>
                    </w:rPr>
                    <w:t xml:space="preserve"> (%)</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4A72206"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20 de </w:t>
                  </w:r>
                  <w:proofErr w:type="spellStart"/>
                  <w:r w:rsidRPr="00A94811">
                    <w:rPr>
                      <w:b/>
                      <w:bCs/>
                      <w:sz w:val="20"/>
                      <w:szCs w:val="20"/>
                    </w:rPr>
                    <w:t>zile</w:t>
                  </w:r>
                  <w:proofErr w:type="spellEnd"/>
                  <w:r w:rsidRPr="00A94811">
                    <w:rPr>
                      <w:b/>
                      <w:bCs/>
                      <w:sz w:val="20"/>
                      <w:szCs w:val="20"/>
                    </w:rPr>
                    <w:t xml:space="preserve"> (%)</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2AD113CD"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10 </w:t>
                  </w:r>
                  <w:proofErr w:type="spellStart"/>
                  <w:r w:rsidRPr="00A94811">
                    <w:rPr>
                      <w:b/>
                      <w:bCs/>
                      <w:sz w:val="20"/>
                      <w:szCs w:val="20"/>
                    </w:rPr>
                    <w:t>zile</w:t>
                  </w:r>
                  <w:proofErr w:type="spellEnd"/>
                  <w:r w:rsidRPr="00A94811">
                    <w:rPr>
                      <w:b/>
                      <w:bCs/>
                      <w:sz w:val="20"/>
                      <w:szCs w:val="20"/>
                    </w:rPr>
                    <w:t xml:space="preserve"> (%)</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1F16E39"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5 </w:t>
                  </w:r>
                  <w:proofErr w:type="spellStart"/>
                  <w:r w:rsidRPr="00A94811">
                    <w:rPr>
                      <w:b/>
                      <w:bCs/>
                      <w:sz w:val="20"/>
                      <w:szCs w:val="20"/>
                    </w:rPr>
                    <w:t>zile</w:t>
                  </w:r>
                  <w:proofErr w:type="spellEnd"/>
                  <w:r w:rsidRPr="00A94811">
                    <w:rPr>
                      <w:b/>
                      <w:bCs/>
                      <w:sz w:val="20"/>
                      <w:szCs w:val="20"/>
                    </w:rPr>
                    <w:t xml:space="preserve"> (%)</w:t>
                  </w:r>
                </w:p>
              </w:tc>
            </w:tr>
            <w:tr w:rsidR="00A94811" w:rsidRPr="00A94811" w14:paraId="464D00E6" w14:textId="77777777" w:rsidTr="00A94811">
              <w:trPr>
                <w:trHeight w:val="419"/>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24F7A4DF" w14:textId="77777777" w:rsidR="00A94811" w:rsidRPr="00A94811" w:rsidRDefault="00A94811" w:rsidP="00A94811">
                  <w:pPr>
                    <w:pStyle w:val="tbl-norm"/>
                    <w:spacing w:line="312" w:lineRule="atLeast"/>
                    <w:rPr>
                      <w:sz w:val="20"/>
                      <w:szCs w:val="20"/>
                    </w:rPr>
                  </w:pPr>
                  <w:r w:rsidRPr="00A94811">
                    <w:rPr>
                      <w:sz w:val="20"/>
                      <w:szCs w:val="20"/>
                    </w:rPr>
                    <w:t>1</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4B7CBC27" w14:textId="77777777" w:rsidR="00A94811" w:rsidRPr="00A94811" w:rsidRDefault="00A94811" w:rsidP="00A94811">
                  <w:pPr>
                    <w:pStyle w:val="tbl-norm"/>
                    <w:spacing w:line="312" w:lineRule="atLeast"/>
                    <w:rPr>
                      <w:sz w:val="20"/>
                      <w:szCs w:val="20"/>
                    </w:rPr>
                  </w:pPr>
                  <w:r w:rsidRPr="00A94811">
                    <w:rPr>
                      <w:sz w:val="20"/>
                      <w:szCs w:val="20"/>
                    </w:rPr>
                    <w:t>m ≤ 1</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0B4B0667" w14:textId="77777777" w:rsidR="00A94811" w:rsidRPr="00A94811" w:rsidRDefault="00A94811" w:rsidP="00A94811">
                  <w:pPr>
                    <w:pStyle w:val="tbl-norm"/>
                    <w:spacing w:line="312" w:lineRule="atLeast"/>
                    <w:rPr>
                      <w:sz w:val="20"/>
                      <w:szCs w:val="20"/>
                    </w:rPr>
                  </w:pPr>
                  <w:r w:rsidRPr="00A94811">
                    <w:rPr>
                      <w:sz w:val="20"/>
                      <w:szCs w:val="20"/>
                    </w:rPr>
                    <w:t>0,707</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584155EA" w14:textId="77777777" w:rsidR="00A94811" w:rsidRPr="00A94811" w:rsidRDefault="00A94811" w:rsidP="00A94811">
                  <w:pPr>
                    <w:pStyle w:val="tbl-norm"/>
                    <w:spacing w:line="312" w:lineRule="atLeast"/>
                    <w:rPr>
                      <w:sz w:val="20"/>
                      <w:szCs w:val="20"/>
                    </w:rPr>
                  </w:pPr>
                  <w:r w:rsidRPr="00A94811">
                    <w:rPr>
                      <w:sz w:val="20"/>
                      <w:szCs w:val="20"/>
                    </w:rPr>
                    <w:t>0,5</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5D89CA32" w14:textId="77777777" w:rsidR="00A94811" w:rsidRPr="00A94811" w:rsidRDefault="00A94811" w:rsidP="00A94811">
                  <w:pPr>
                    <w:pStyle w:val="tbl-norm"/>
                    <w:spacing w:line="312" w:lineRule="atLeast"/>
                    <w:rPr>
                      <w:sz w:val="20"/>
                      <w:szCs w:val="20"/>
                    </w:rPr>
                  </w:pPr>
                  <w:r w:rsidRPr="00A94811">
                    <w:rPr>
                      <w:sz w:val="20"/>
                      <w:szCs w:val="20"/>
                    </w:rPr>
                    <w:t>0,354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A1ED85A" w14:textId="77777777" w:rsidR="00A94811" w:rsidRPr="00A94811" w:rsidRDefault="00A94811" w:rsidP="00A94811">
                  <w:pPr>
                    <w:pStyle w:val="tbl-norm"/>
                    <w:spacing w:line="312" w:lineRule="atLeast"/>
                    <w:rPr>
                      <w:sz w:val="20"/>
                      <w:szCs w:val="20"/>
                    </w:rPr>
                  </w:pPr>
                  <w:r w:rsidRPr="00A94811">
                    <w:rPr>
                      <w:sz w:val="20"/>
                      <w:szCs w:val="20"/>
                    </w:rPr>
                    <w:t>1,414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C5EB5A8" w14:textId="77777777" w:rsidR="00A94811" w:rsidRPr="00A94811" w:rsidRDefault="00A94811" w:rsidP="00A94811">
                  <w:pPr>
                    <w:pStyle w:val="tbl-norm"/>
                    <w:spacing w:line="312" w:lineRule="atLeast"/>
                    <w:rPr>
                      <w:sz w:val="20"/>
                      <w:szCs w:val="20"/>
                    </w:rPr>
                  </w:pPr>
                  <w:r w:rsidRPr="00A94811">
                    <w:rPr>
                      <w:sz w:val="20"/>
                      <w:szCs w:val="20"/>
                    </w:rPr>
                    <w:t>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86BDA61" w14:textId="77777777" w:rsidR="00A94811" w:rsidRPr="00A94811" w:rsidRDefault="00A94811" w:rsidP="00A94811">
                  <w:pPr>
                    <w:pStyle w:val="tbl-norm"/>
                    <w:spacing w:line="312" w:lineRule="atLeast"/>
                    <w:rPr>
                      <w:sz w:val="20"/>
                      <w:szCs w:val="20"/>
                    </w:rPr>
                  </w:pPr>
                  <w:r w:rsidRPr="00A94811">
                    <w:rPr>
                      <w:sz w:val="20"/>
                      <w:szCs w:val="20"/>
                    </w:rPr>
                    <w:t>0,707</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CA587BE" w14:textId="77777777" w:rsidR="00A94811" w:rsidRPr="00A94811" w:rsidRDefault="00A94811" w:rsidP="00A94811">
                  <w:pPr>
                    <w:pStyle w:val="tbl-norm"/>
                    <w:spacing w:line="312" w:lineRule="atLeast"/>
                    <w:rPr>
                      <w:sz w:val="20"/>
                      <w:szCs w:val="20"/>
                    </w:rPr>
                  </w:pPr>
                  <w:r w:rsidRPr="00A94811">
                    <w:rPr>
                      <w:sz w:val="20"/>
                      <w:szCs w:val="20"/>
                    </w:rPr>
                    <w:t>2,828</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55548F6" w14:textId="77777777" w:rsidR="00A94811" w:rsidRPr="00A94811" w:rsidRDefault="00A94811" w:rsidP="00A94811">
                  <w:pPr>
                    <w:pStyle w:val="tbl-norm"/>
                    <w:spacing w:line="312" w:lineRule="atLeast"/>
                    <w:rPr>
                      <w:sz w:val="20"/>
                      <w:szCs w:val="20"/>
                    </w:rPr>
                  </w:pPr>
                  <w:r w:rsidRPr="00A94811">
                    <w:rPr>
                      <w:sz w:val="20"/>
                      <w:szCs w:val="20"/>
                    </w:rPr>
                    <w:t>2</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3DCBD0B" w14:textId="77777777" w:rsidR="00A94811" w:rsidRPr="00A94811" w:rsidRDefault="00A94811" w:rsidP="00A94811">
                  <w:pPr>
                    <w:pStyle w:val="tbl-norm"/>
                    <w:spacing w:line="312" w:lineRule="atLeast"/>
                    <w:rPr>
                      <w:sz w:val="20"/>
                      <w:szCs w:val="20"/>
                    </w:rPr>
                  </w:pPr>
                  <w:r w:rsidRPr="00A94811">
                    <w:rPr>
                      <w:sz w:val="20"/>
                      <w:szCs w:val="20"/>
                    </w:rPr>
                    <w:t>1,414</w:t>
                  </w:r>
                </w:p>
              </w:tc>
            </w:tr>
            <w:tr w:rsidR="00A94811" w:rsidRPr="00A94811" w14:paraId="7F5ED381" w14:textId="77777777" w:rsidTr="00A94811">
              <w:trPr>
                <w:trHeight w:val="419"/>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13285059" w14:textId="77777777" w:rsidR="00A94811" w:rsidRPr="00A94811" w:rsidRDefault="00A94811" w:rsidP="00A94811">
                  <w:pPr>
                    <w:pStyle w:val="Normal5"/>
                    <w:spacing w:before="0" w:beforeAutospacing="0" w:after="0" w:afterAutospacing="0" w:line="312" w:lineRule="atLeast"/>
                    <w:rPr>
                      <w:sz w:val="20"/>
                      <w:szCs w:val="20"/>
                    </w:rPr>
                  </w:pPr>
                  <w:r w:rsidRPr="00A94811">
                    <w:rPr>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0C9F232D" w14:textId="77777777" w:rsidR="00A94811" w:rsidRPr="00A94811" w:rsidRDefault="00A94811" w:rsidP="00A94811">
                  <w:pPr>
                    <w:pStyle w:val="tbl-norm"/>
                    <w:spacing w:line="312" w:lineRule="atLeast"/>
                    <w:rPr>
                      <w:sz w:val="20"/>
                      <w:szCs w:val="20"/>
                    </w:rPr>
                  </w:pPr>
                  <w:r w:rsidRPr="00A94811">
                    <w:rPr>
                      <w:sz w:val="20"/>
                      <w:szCs w:val="20"/>
                    </w:rPr>
                    <w:t>1 &lt; m ≤ 3</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50153BB4" w14:textId="77777777" w:rsidR="00A94811" w:rsidRPr="00A94811" w:rsidRDefault="00A94811" w:rsidP="00A94811">
                  <w:pPr>
                    <w:pStyle w:val="tbl-norm"/>
                    <w:spacing w:line="312" w:lineRule="atLeast"/>
                    <w:rPr>
                      <w:sz w:val="20"/>
                      <w:szCs w:val="20"/>
                    </w:rPr>
                  </w:pPr>
                  <w:r w:rsidRPr="00A94811">
                    <w:rPr>
                      <w:sz w:val="20"/>
                      <w:szCs w:val="20"/>
                    </w:rPr>
                    <w:t>2,828</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59A057BC" w14:textId="77777777" w:rsidR="00A94811" w:rsidRPr="00A94811" w:rsidRDefault="00A94811" w:rsidP="00A94811">
                  <w:pPr>
                    <w:pStyle w:val="tbl-norm"/>
                    <w:spacing w:line="312" w:lineRule="atLeast"/>
                    <w:rPr>
                      <w:sz w:val="20"/>
                      <w:szCs w:val="20"/>
                    </w:rPr>
                  </w:pPr>
                  <w:r w:rsidRPr="00A94811">
                    <w:rPr>
                      <w:sz w:val="20"/>
                      <w:szCs w:val="20"/>
                    </w:rPr>
                    <w:t>2</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77529DFC" w14:textId="77777777" w:rsidR="00A94811" w:rsidRPr="00A94811" w:rsidRDefault="00A94811" w:rsidP="00A94811">
                  <w:pPr>
                    <w:pStyle w:val="tbl-norm"/>
                    <w:spacing w:line="312" w:lineRule="atLeast"/>
                    <w:rPr>
                      <w:sz w:val="20"/>
                      <w:szCs w:val="20"/>
                    </w:rPr>
                  </w:pPr>
                  <w:r w:rsidRPr="00A94811">
                    <w:rPr>
                      <w:sz w:val="20"/>
                      <w:szCs w:val="20"/>
                    </w:rPr>
                    <w:t>1,414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783D2D2" w14:textId="77777777" w:rsidR="00A94811" w:rsidRPr="00A94811" w:rsidRDefault="00A94811" w:rsidP="00A94811">
                  <w:pPr>
                    <w:pStyle w:val="tbl-norm"/>
                    <w:spacing w:line="312" w:lineRule="atLeast"/>
                    <w:rPr>
                      <w:sz w:val="20"/>
                      <w:szCs w:val="20"/>
                    </w:rPr>
                  </w:pPr>
                  <w:r w:rsidRPr="00A94811">
                    <w:rPr>
                      <w:sz w:val="20"/>
                      <w:szCs w:val="20"/>
                    </w:rPr>
                    <w:t>4,243</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73B88F2" w14:textId="77777777" w:rsidR="00A94811" w:rsidRPr="00A94811" w:rsidRDefault="00A94811" w:rsidP="00A94811">
                  <w:pPr>
                    <w:pStyle w:val="tbl-norm"/>
                    <w:spacing w:line="312" w:lineRule="atLeast"/>
                    <w:rPr>
                      <w:sz w:val="20"/>
                      <w:szCs w:val="20"/>
                    </w:rPr>
                  </w:pPr>
                  <w:r w:rsidRPr="00A94811">
                    <w:rPr>
                      <w:sz w:val="20"/>
                      <w:szCs w:val="20"/>
                    </w:rPr>
                    <w:t>3</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220190C5" w14:textId="77777777" w:rsidR="00A94811" w:rsidRPr="00A94811" w:rsidRDefault="00A94811" w:rsidP="00A94811">
                  <w:pPr>
                    <w:pStyle w:val="tbl-norm"/>
                    <w:spacing w:line="312" w:lineRule="atLeast"/>
                    <w:rPr>
                      <w:sz w:val="20"/>
                      <w:szCs w:val="20"/>
                    </w:rPr>
                  </w:pPr>
                  <w:r w:rsidRPr="00A94811">
                    <w:rPr>
                      <w:sz w:val="20"/>
                      <w:szCs w:val="20"/>
                    </w:rPr>
                    <w:t>2,121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11B9BC7" w14:textId="77777777" w:rsidR="00A94811" w:rsidRPr="00A94811" w:rsidRDefault="00A94811" w:rsidP="00A94811">
                  <w:pPr>
                    <w:pStyle w:val="tbl-norm"/>
                    <w:spacing w:line="312" w:lineRule="atLeast"/>
                    <w:rPr>
                      <w:sz w:val="20"/>
                      <w:szCs w:val="20"/>
                    </w:rPr>
                  </w:pPr>
                  <w:r w:rsidRPr="00A94811">
                    <w:rPr>
                      <w:sz w:val="20"/>
                      <w:szCs w:val="20"/>
                    </w:rPr>
                    <w:t>11,314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B33DC57" w14:textId="77777777" w:rsidR="00A94811" w:rsidRPr="00A94811" w:rsidRDefault="00A94811" w:rsidP="00A94811">
                  <w:pPr>
                    <w:pStyle w:val="tbl-norm"/>
                    <w:spacing w:line="312" w:lineRule="atLeast"/>
                    <w:rPr>
                      <w:sz w:val="20"/>
                      <w:szCs w:val="20"/>
                    </w:rPr>
                  </w:pPr>
                  <w:r w:rsidRPr="00A94811">
                    <w:rPr>
                      <w:sz w:val="20"/>
                      <w:szCs w:val="20"/>
                    </w:rPr>
                    <w:t>8</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F98AE2D" w14:textId="77777777" w:rsidR="00A94811" w:rsidRPr="00A94811" w:rsidRDefault="00A94811" w:rsidP="00A94811">
                  <w:pPr>
                    <w:pStyle w:val="tbl-norm"/>
                    <w:spacing w:line="312" w:lineRule="atLeast"/>
                    <w:rPr>
                      <w:sz w:val="20"/>
                      <w:szCs w:val="20"/>
                    </w:rPr>
                  </w:pPr>
                  <w:r w:rsidRPr="00A94811">
                    <w:rPr>
                      <w:sz w:val="20"/>
                      <w:szCs w:val="20"/>
                    </w:rPr>
                    <w:t>5,657</w:t>
                  </w:r>
                </w:p>
              </w:tc>
            </w:tr>
            <w:tr w:rsidR="00A94811" w:rsidRPr="00A94811" w14:paraId="7F32A4E3" w14:textId="77777777" w:rsidTr="00A94811">
              <w:trPr>
                <w:trHeight w:val="419"/>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73E4EFED" w14:textId="77777777" w:rsidR="00A94811" w:rsidRPr="00A94811" w:rsidRDefault="00A94811" w:rsidP="00A94811">
                  <w:pPr>
                    <w:pStyle w:val="Normal5"/>
                    <w:spacing w:before="0" w:beforeAutospacing="0" w:after="0" w:afterAutospacing="0" w:line="312" w:lineRule="atLeast"/>
                    <w:rPr>
                      <w:sz w:val="20"/>
                      <w:szCs w:val="20"/>
                    </w:rPr>
                  </w:pPr>
                  <w:r w:rsidRPr="00A94811">
                    <w:rPr>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30D53EE0" w14:textId="77777777" w:rsidR="00A94811" w:rsidRPr="00A94811" w:rsidRDefault="00A94811" w:rsidP="00A94811">
                  <w:pPr>
                    <w:pStyle w:val="tbl-norm"/>
                    <w:spacing w:line="312" w:lineRule="atLeast"/>
                    <w:rPr>
                      <w:sz w:val="20"/>
                      <w:szCs w:val="20"/>
                    </w:rPr>
                  </w:pPr>
                  <w:r w:rsidRPr="00A94811">
                    <w:rPr>
                      <w:sz w:val="20"/>
                      <w:szCs w:val="20"/>
                    </w:rPr>
                    <w:t>3 &lt; m ≤ 5</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7FD9E0E0" w14:textId="77777777" w:rsidR="00A94811" w:rsidRPr="00A94811" w:rsidRDefault="00A94811" w:rsidP="00A94811">
                  <w:pPr>
                    <w:pStyle w:val="tbl-norm"/>
                    <w:spacing w:line="312" w:lineRule="atLeast"/>
                    <w:rPr>
                      <w:sz w:val="20"/>
                      <w:szCs w:val="20"/>
                    </w:rPr>
                  </w:pPr>
                  <w:r w:rsidRPr="00A94811">
                    <w:rPr>
                      <w:sz w:val="20"/>
                      <w:szCs w:val="20"/>
                    </w:rPr>
                    <w:t>2,828</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6494F8D8" w14:textId="77777777" w:rsidR="00A94811" w:rsidRPr="00A94811" w:rsidRDefault="00A94811" w:rsidP="00A94811">
                  <w:pPr>
                    <w:pStyle w:val="tbl-norm"/>
                    <w:spacing w:line="312" w:lineRule="atLeast"/>
                    <w:rPr>
                      <w:sz w:val="20"/>
                      <w:szCs w:val="20"/>
                    </w:rPr>
                  </w:pPr>
                  <w:r w:rsidRPr="00A94811">
                    <w:rPr>
                      <w:sz w:val="20"/>
                      <w:szCs w:val="20"/>
                    </w:rPr>
                    <w:t>2</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421B5FE5" w14:textId="77777777" w:rsidR="00A94811" w:rsidRPr="00A94811" w:rsidRDefault="00A94811" w:rsidP="00A94811">
                  <w:pPr>
                    <w:pStyle w:val="tbl-norm"/>
                    <w:spacing w:line="312" w:lineRule="atLeast"/>
                    <w:rPr>
                      <w:sz w:val="20"/>
                      <w:szCs w:val="20"/>
                    </w:rPr>
                  </w:pPr>
                  <w:r w:rsidRPr="00A94811">
                    <w:rPr>
                      <w:sz w:val="20"/>
                      <w:szCs w:val="20"/>
                    </w:rPr>
                    <w:t>1,414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2F3A9D79" w14:textId="77777777" w:rsidR="00A94811" w:rsidRPr="00A94811" w:rsidRDefault="00A94811" w:rsidP="00A94811">
                  <w:pPr>
                    <w:pStyle w:val="tbl-norm"/>
                    <w:spacing w:line="312" w:lineRule="atLeast"/>
                    <w:rPr>
                      <w:sz w:val="20"/>
                      <w:szCs w:val="20"/>
                    </w:rPr>
                  </w:pPr>
                  <w:r w:rsidRPr="00A94811">
                    <w:rPr>
                      <w:sz w:val="20"/>
                      <w:szCs w:val="20"/>
                    </w:rPr>
                    <w:t>5,657</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6B7F728" w14:textId="77777777" w:rsidR="00A94811" w:rsidRPr="00A94811" w:rsidRDefault="00A94811" w:rsidP="00A94811">
                  <w:pPr>
                    <w:pStyle w:val="tbl-norm"/>
                    <w:spacing w:line="312" w:lineRule="atLeast"/>
                    <w:rPr>
                      <w:sz w:val="20"/>
                      <w:szCs w:val="20"/>
                    </w:rPr>
                  </w:pPr>
                  <w:r w:rsidRPr="00A94811">
                    <w:rPr>
                      <w:sz w:val="20"/>
                      <w:szCs w:val="20"/>
                    </w:rPr>
                    <w:t>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A91AF52" w14:textId="77777777" w:rsidR="00A94811" w:rsidRPr="00A94811" w:rsidRDefault="00A94811" w:rsidP="00A94811">
                  <w:pPr>
                    <w:pStyle w:val="tbl-norm"/>
                    <w:spacing w:line="312" w:lineRule="atLeast"/>
                    <w:rPr>
                      <w:sz w:val="20"/>
                      <w:szCs w:val="20"/>
                    </w:rPr>
                  </w:pPr>
                  <w:r w:rsidRPr="00A94811">
                    <w:rPr>
                      <w:sz w:val="20"/>
                      <w:szCs w:val="20"/>
                    </w:rPr>
                    <w:t>2,828</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1FFA4F3" w14:textId="77777777" w:rsidR="00A94811" w:rsidRPr="00A94811" w:rsidRDefault="00A94811" w:rsidP="00A94811">
                  <w:pPr>
                    <w:pStyle w:val="tbl-norm"/>
                    <w:spacing w:line="312" w:lineRule="atLeast"/>
                    <w:rPr>
                      <w:sz w:val="20"/>
                      <w:szCs w:val="20"/>
                    </w:rPr>
                  </w:pPr>
                  <w:r w:rsidRPr="00A94811">
                    <w:rPr>
                      <w:sz w:val="20"/>
                      <w:szCs w:val="20"/>
                    </w:rPr>
                    <w:t>11,314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767AEAF" w14:textId="77777777" w:rsidR="00A94811" w:rsidRPr="00A94811" w:rsidRDefault="00A94811" w:rsidP="00A94811">
                  <w:pPr>
                    <w:pStyle w:val="tbl-norm"/>
                    <w:spacing w:line="312" w:lineRule="atLeast"/>
                    <w:rPr>
                      <w:sz w:val="20"/>
                      <w:szCs w:val="20"/>
                    </w:rPr>
                  </w:pPr>
                  <w:r w:rsidRPr="00A94811">
                    <w:rPr>
                      <w:sz w:val="20"/>
                      <w:szCs w:val="20"/>
                    </w:rPr>
                    <w:t>8</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FA53015" w14:textId="77777777" w:rsidR="00A94811" w:rsidRPr="00A94811" w:rsidRDefault="00A94811" w:rsidP="00A94811">
                  <w:pPr>
                    <w:pStyle w:val="tbl-norm"/>
                    <w:spacing w:line="312" w:lineRule="atLeast"/>
                    <w:rPr>
                      <w:sz w:val="20"/>
                      <w:szCs w:val="20"/>
                    </w:rPr>
                  </w:pPr>
                  <w:r w:rsidRPr="00A94811">
                    <w:rPr>
                      <w:sz w:val="20"/>
                      <w:szCs w:val="20"/>
                    </w:rPr>
                    <w:t>5,657</w:t>
                  </w:r>
                </w:p>
              </w:tc>
            </w:tr>
            <w:tr w:rsidR="00A94811" w:rsidRPr="00A94811" w14:paraId="2C604C09" w14:textId="77777777" w:rsidTr="00A94811">
              <w:trPr>
                <w:trHeight w:val="419"/>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54ECA40E" w14:textId="77777777" w:rsidR="00A94811" w:rsidRPr="00A94811" w:rsidRDefault="00A94811" w:rsidP="00A94811">
                  <w:pPr>
                    <w:pStyle w:val="Normal5"/>
                    <w:spacing w:before="0" w:beforeAutospacing="0" w:after="0" w:afterAutospacing="0" w:line="312" w:lineRule="atLeast"/>
                    <w:rPr>
                      <w:sz w:val="20"/>
                      <w:szCs w:val="20"/>
                    </w:rPr>
                  </w:pPr>
                  <w:r w:rsidRPr="00A94811">
                    <w:rPr>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155E9637" w14:textId="77777777" w:rsidR="00A94811" w:rsidRPr="00A94811" w:rsidRDefault="00A94811" w:rsidP="00A94811">
                  <w:pPr>
                    <w:pStyle w:val="tbl-norm"/>
                    <w:spacing w:line="312" w:lineRule="atLeast"/>
                    <w:rPr>
                      <w:sz w:val="20"/>
                      <w:szCs w:val="20"/>
                    </w:rPr>
                  </w:pPr>
                  <w:r w:rsidRPr="00A94811">
                    <w:rPr>
                      <w:sz w:val="20"/>
                      <w:szCs w:val="20"/>
                    </w:rPr>
                    <w:t>5 &lt; m ≤ 10</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68B56963" w14:textId="77777777" w:rsidR="00A94811" w:rsidRPr="00A94811" w:rsidRDefault="00A94811" w:rsidP="00A94811">
                  <w:pPr>
                    <w:pStyle w:val="tbl-norm"/>
                    <w:spacing w:line="312" w:lineRule="atLeast"/>
                    <w:rPr>
                      <w:sz w:val="20"/>
                      <w:szCs w:val="20"/>
                    </w:rPr>
                  </w:pPr>
                  <w:r w:rsidRPr="00A94811">
                    <w:rPr>
                      <w:sz w:val="20"/>
                      <w:szCs w:val="20"/>
                    </w:rPr>
                    <w:t>5,657</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1298D7A7" w14:textId="77777777" w:rsidR="00A94811" w:rsidRPr="00A94811" w:rsidRDefault="00A94811" w:rsidP="00A94811">
                  <w:pPr>
                    <w:pStyle w:val="tbl-norm"/>
                    <w:spacing w:line="312" w:lineRule="atLeast"/>
                    <w:rPr>
                      <w:sz w:val="20"/>
                      <w:szCs w:val="20"/>
                    </w:rPr>
                  </w:pPr>
                  <w:r w:rsidRPr="00A94811">
                    <w:rPr>
                      <w:sz w:val="20"/>
                      <w:szCs w:val="20"/>
                    </w:rPr>
                    <w:t>4</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0C95EF99" w14:textId="77777777" w:rsidR="00A94811" w:rsidRPr="00A94811" w:rsidRDefault="00A94811" w:rsidP="00A94811">
                  <w:pPr>
                    <w:pStyle w:val="tbl-norm"/>
                    <w:spacing w:line="312" w:lineRule="atLeast"/>
                    <w:rPr>
                      <w:sz w:val="20"/>
                      <w:szCs w:val="20"/>
                    </w:rPr>
                  </w:pPr>
                  <w:r w:rsidRPr="00A94811">
                    <w:rPr>
                      <w:sz w:val="20"/>
                      <w:szCs w:val="20"/>
                    </w:rPr>
                    <w:t>2,828</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6F157075" w14:textId="77777777" w:rsidR="00A94811" w:rsidRPr="00A94811" w:rsidRDefault="00A94811" w:rsidP="00A94811">
                  <w:pPr>
                    <w:pStyle w:val="tbl-norm"/>
                    <w:spacing w:line="312" w:lineRule="atLeast"/>
                    <w:rPr>
                      <w:sz w:val="20"/>
                      <w:szCs w:val="20"/>
                    </w:rPr>
                  </w:pPr>
                  <w:r w:rsidRPr="00A94811">
                    <w:rPr>
                      <w:sz w:val="20"/>
                      <w:szCs w:val="20"/>
                    </w:rPr>
                    <w:t>8,485</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24883B55" w14:textId="77777777" w:rsidR="00A94811" w:rsidRPr="00A94811" w:rsidRDefault="00A94811" w:rsidP="00A94811">
                  <w:pPr>
                    <w:pStyle w:val="tbl-norm"/>
                    <w:spacing w:line="312" w:lineRule="atLeast"/>
                    <w:rPr>
                      <w:sz w:val="20"/>
                      <w:szCs w:val="20"/>
                    </w:rPr>
                  </w:pPr>
                  <w:r w:rsidRPr="00A94811">
                    <w:rPr>
                      <w:sz w:val="20"/>
                      <w:szCs w:val="20"/>
                    </w:rPr>
                    <w:t>6</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958E50D" w14:textId="77777777" w:rsidR="00A94811" w:rsidRPr="00A94811" w:rsidRDefault="00A94811" w:rsidP="00A94811">
                  <w:pPr>
                    <w:pStyle w:val="tbl-norm"/>
                    <w:spacing w:line="312" w:lineRule="atLeast"/>
                    <w:rPr>
                      <w:sz w:val="20"/>
                      <w:szCs w:val="20"/>
                    </w:rPr>
                  </w:pPr>
                  <w:r w:rsidRPr="00A94811">
                    <w:rPr>
                      <w:sz w:val="20"/>
                      <w:szCs w:val="20"/>
                    </w:rPr>
                    <w:t>4,243</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257EDE8" w14:textId="77777777" w:rsidR="00A94811" w:rsidRPr="00A94811" w:rsidRDefault="00A94811" w:rsidP="00A94811">
                  <w:pPr>
                    <w:pStyle w:val="tbl-norm"/>
                    <w:spacing w:line="312" w:lineRule="atLeast"/>
                    <w:rPr>
                      <w:sz w:val="20"/>
                      <w:szCs w:val="20"/>
                    </w:rPr>
                  </w:pPr>
                  <w:r w:rsidRPr="00A94811">
                    <w:rPr>
                      <w:sz w:val="20"/>
                      <w:szCs w:val="20"/>
                    </w:rPr>
                    <w:t>22,627</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24E8A04" w14:textId="77777777" w:rsidR="00A94811" w:rsidRPr="00A94811" w:rsidRDefault="00A94811" w:rsidP="00A94811">
                  <w:pPr>
                    <w:pStyle w:val="tbl-norm"/>
                    <w:spacing w:line="312" w:lineRule="atLeast"/>
                    <w:rPr>
                      <w:sz w:val="20"/>
                      <w:szCs w:val="20"/>
                    </w:rPr>
                  </w:pPr>
                  <w:r w:rsidRPr="00A94811">
                    <w:rPr>
                      <w:sz w:val="20"/>
                      <w:szCs w:val="20"/>
                    </w:rPr>
                    <w:t>16</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A117FCB" w14:textId="77777777" w:rsidR="00A94811" w:rsidRPr="00A94811" w:rsidRDefault="00A94811" w:rsidP="00A94811">
                  <w:pPr>
                    <w:pStyle w:val="tbl-norm"/>
                    <w:spacing w:line="312" w:lineRule="atLeast"/>
                    <w:rPr>
                      <w:sz w:val="20"/>
                      <w:szCs w:val="20"/>
                    </w:rPr>
                  </w:pPr>
                  <w:r w:rsidRPr="00A94811">
                    <w:rPr>
                      <w:sz w:val="20"/>
                      <w:szCs w:val="20"/>
                    </w:rPr>
                    <w:t>11,314</w:t>
                  </w:r>
                </w:p>
              </w:tc>
            </w:tr>
            <w:tr w:rsidR="00A94811" w:rsidRPr="00A94811" w14:paraId="00D1A863" w14:textId="77777777" w:rsidTr="00A94811">
              <w:trPr>
                <w:trHeight w:val="404"/>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0551B774" w14:textId="77777777" w:rsidR="00A94811" w:rsidRPr="00A94811" w:rsidRDefault="00A94811" w:rsidP="00A94811">
                  <w:pPr>
                    <w:pStyle w:val="Normal5"/>
                    <w:spacing w:before="0" w:beforeAutospacing="0" w:after="0" w:afterAutospacing="0" w:line="312" w:lineRule="atLeast"/>
                    <w:rPr>
                      <w:sz w:val="20"/>
                      <w:szCs w:val="20"/>
                    </w:rPr>
                  </w:pPr>
                  <w:r w:rsidRPr="00A94811">
                    <w:rPr>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2AF797A9" w14:textId="77777777" w:rsidR="00A94811" w:rsidRPr="00A94811" w:rsidRDefault="00A94811" w:rsidP="00A94811">
                  <w:pPr>
                    <w:pStyle w:val="tbl-norm"/>
                    <w:spacing w:line="312" w:lineRule="atLeast"/>
                    <w:rPr>
                      <w:sz w:val="20"/>
                      <w:szCs w:val="20"/>
                    </w:rPr>
                  </w:pPr>
                  <w:r w:rsidRPr="00A94811">
                    <w:rPr>
                      <w:sz w:val="20"/>
                      <w:szCs w:val="20"/>
                    </w:rPr>
                    <w:t>m &gt; 10</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778202E9" w14:textId="77777777" w:rsidR="00A94811" w:rsidRPr="00A94811" w:rsidRDefault="00A94811" w:rsidP="00A94811">
                  <w:pPr>
                    <w:pStyle w:val="tbl-norm"/>
                    <w:spacing w:line="312" w:lineRule="atLeast"/>
                    <w:rPr>
                      <w:sz w:val="20"/>
                      <w:szCs w:val="20"/>
                    </w:rPr>
                  </w:pPr>
                  <w:r w:rsidRPr="00A94811">
                    <w:rPr>
                      <w:sz w:val="20"/>
                      <w:szCs w:val="20"/>
                    </w:rPr>
                    <w:t>5,657</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51B6A0A6" w14:textId="77777777" w:rsidR="00A94811" w:rsidRPr="00A94811" w:rsidRDefault="00A94811" w:rsidP="00A94811">
                  <w:pPr>
                    <w:pStyle w:val="tbl-norm"/>
                    <w:spacing w:line="312" w:lineRule="atLeast"/>
                    <w:rPr>
                      <w:sz w:val="20"/>
                      <w:szCs w:val="20"/>
                    </w:rPr>
                  </w:pPr>
                  <w:r w:rsidRPr="00A94811">
                    <w:rPr>
                      <w:sz w:val="20"/>
                      <w:szCs w:val="20"/>
                    </w:rPr>
                    <w:t>4</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663DF1D2" w14:textId="77777777" w:rsidR="00A94811" w:rsidRPr="00A94811" w:rsidRDefault="00A94811" w:rsidP="00A94811">
                  <w:pPr>
                    <w:pStyle w:val="tbl-norm"/>
                    <w:spacing w:line="312" w:lineRule="atLeast"/>
                    <w:rPr>
                      <w:sz w:val="20"/>
                      <w:szCs w:val="20"/>
                    </w:rPr>
                  </w:pPr>
                  <w:r w:rsidRPr="00A94811">
                    <w:rPr>
                      <w:sz w:val="20"/>
                      <w:szCs w:val="20"/>
                    </w:rPr>
                    <w:t>2,828</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172E63E" w14:textId="77777777" w:rsidR="00A94811" w:rsidRPr="00A94811" w:rsidRDefault="00A94811" w:rsidP="00A94811">
                  <w:pPr>
                    <w:pStyle w:val="tbl-norm"/>
                    <w:spacing w:line="312" w:lineRule="atLeast"/>
                    <w:rPr>
                      <w:sz w:val="20"/>
                      <w:szCs w:val="20"/>
                    </w:rPr>
                  </w:pPr>
                  <w:r w:rsidRPr="00A94811">
                    <w:rPr>
                      <w:sz w:val="20"/>
                      <w:szCs w:val="20"/>
                    </w:rPr>
                    <w:t>16,971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FF7DA5F" w14:textId="77777777" w:rsidR="00A94811" w:rsidRPr="00A94811" w:rsidRDefault="00A94811" w:rsidP="00A94811">
                  <w:pPr>
                    <w:pStyle w:val="tbl-norm"/>
                    <w:spacing w:line="312" w:lineRule="atLeast"/>
                    <w:rPr>
                      <w:sz w:val="20"/>
                      <w:szCs w:val="20"/>
                    </w:rPr>
                  </w:pPr>
                  <w:r w:rsidRPr="00A94811">
                    <w:rPr>
                      <w:sz w:val="20"/>
                      <w:szCs w:val="20"/>
                    </w:rPr>
                    <w:t>12</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42816679" w14:textId="77777777" w:rsidR="00A94811" w:rsidRPr="00A94811" w:rsidRDefault="00A94811" w:rsidP="00A94811">
                  <w:pPr>
                    <w:pStyle w:val="tbl-norm"/>
                    <w:spacing w:line="312" w:lineRule="atLeast"/>
                    <w:rPr>
                      <w:sz w:val="20"/>
                      <w:szCs w:val="20"/>
                    </w:rPr>
                  </w:pPr>
                  <w:r w:rsidRPr="00A94811">
                    <w:rPr>
                      <w:sz w:val="20"/>
                      <w:szCs w:val="20"/>
                    </w:rPr>
                    <w:t>8,485</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9450260" w14:textId="77777777" w:rsidR="00A94811" w:rsidRPr="00A94811" w:rsidRDefault="00A94811" w:rsidP="00A94811">
                  <w:pPr>
                    <w:pStyle w:val="tbl-norm"/>
                    <w:spacing w:line="312" w:lineRule="atLeast"/>
                    <w:rPr>
                      <w:sz w:val="20"/>
                      <w:szCs w:val="20"/>
                    </w:rPr>
                  </w:pPr>
                  <w:r w:rsidRPr="00A94811">
                    <w:rPr>
                      <w:sz w:val="20"/>
                      <w:szCs w:val="20"/>
                    </w:rPr>
                    <w:t>22,627</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67791595" w14:textId="77777777" w:rsidR="00A94811" w:rsidRPr="00A94811" w:rsidRDefault="00A94811" w:rsidP="00A94811">
                  <w:pPr>
                    <w:pStyle w:val="tbl-norm"/>
                    <w:spacing w:line="312" w:lineRule="atLeast"/>
                    <w:rPr>
                      <w:sz w:val="20"/>
                      <w:szCs w:val="20"/>
                    </w:rPr>
                  </w:pPr>
                  <w:r w:rsidRPr="00A94811">
                    <w:rPr>
                      <w:sz w:val="20"/>
                      <w:szCs w:val="20"/>
                    </w:rPr>
                    <w:t>16</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2B3DE6F2" w14:textId="77777777" w:rsidR="00A94811" w:rsidRPr="00A94811" w:rsidRDefault="00A94811" w:rsidP="00A94811">
                  <w:pPr>
                    <w:pStyle w:val="tbl-norm"/>
                    <w:spacing w:line="312" w:lineRule="atLeast"/>
                    <w:rPr>
                      <w:sz w:val="20"/>
                      <w:szCs w:val="20"/>
                    </w:rPr>
                  </w:pPr>
                  <w:r w:rsidRPr="00A94811">
                    <w:rPr>
                      <w:sz w:val="20"/>
                      <w:szCs w:val="20"/>
                    </w:rPr>
                    <w:t>11,314</w:t>
                  </w:r>
                </w:p>
              </w:tc>
            </w:tr>
            <w:tr w:rsidR="00A94811" w:rsidRPr="00A94811" w14:paraId="3F219BC4" w14:textId="77777777" w:rsidTr="00A94811">
              <w:trPr>
                <w:trHeight w:val="419"/>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0635829C" w14:textId="77777777" w:rsidR="00A94811" w:rsidRPr="00A94811" w:rsidRDefault="00A94811" w:rsidP="00A94811">
                  <w:pPr>
                    <w:pStyle w:val="tbl-norm"/>
                    <w:spacing w:line="312" w:lineRule="atLeast"/>
                    <w:rPr>
                      <w:sz w:val="20"/>
                      <w:szCs w:val="20"/>
                    </w:rPr>
                  </w:pPr>
                  <w:r w:rsidRPr="00A94811">
                    <w:rPr>
                      <w:sz w:val="20"/>
                      <w:szCs w:val="20"/>
                    </w:rPr>
                    <w:t>2-3</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4DE04754" w14:textId="77777777" w:rsidR="00A94811" w:rsidRPr="00A94811" w:rsidRDefault="00A94811" w:rsidP="00A94811">
                  <w:pPr>
                    <w:pStyle w:val="tbl-norm"/>
                    <w:spacing w:line="312" w:lineRule="atLeast"/>
                    <w:rPr>
                      <w:sz w:val="20"/>
                      <w:szCs w:val="20"/>
                    </w:rPr>
                  </w:pPr>
                  <w:r w:rsidRPr="00A94811">
                    <w:rPr>
                      <w:sz w:val="20"/>
                      <w:szCs w:val="20"/>
                    </w:rPr>
                    <w:t>m ≤ 1</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301D50BE" w14:textId="77777777" w:rsidR="00A94811" w:rsidRPr="00A94811" w:rsidRDefault="00A94811" w:rsidP="00A94811">
                  <w:pPr>
                    <w:pStyle w:val="tbl-norm"/>
                    <w:spacing w:line="312" w:lineRule="atLeast"/>
                    <w:rPr>
                      <w:sz w:val="20"/>
                      <w:szCs w:val="20"/>
                    </w:rPr>
                  </w:pPr>
                  <w:r w:rsidRPr="00A94811">
                    <w:rPr>
                      <w:sz w:val="20"/>
                      <w:szCs w:val="20"/>
                    </w:rPr>
                    <w:t>1,414</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6FAF60D6" w14:textId="77777777" w:rsidR="00A94811" w:rsidRPr="00A94811" w:rsidRDefault="00A94811" w:rsidP="00A94811">
                  <w:pPr>
                    <w:pStyle w:val="tbl-norm"/>
                    <w:spacing w:line="312" w:lineRule="atLeast"/>
                    <w:rPr>
                      <w:sz w:val="20"/>
                      <w:szCs w:val="20"/>
                    </w:rPr>
                  </w:pPr>
                  <w:r w:rsidRPr="00A94811">
                    <w:rPr>
                      <w:sz w:val="20"/>
                      <w:szCs w:val="20"/>
                    </w:rPr>
                    <w:t>1</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3622ED73" w14:textId="77777777" w:rsidR="00A94811" w:rsidRPr="00A94811" w:rsidRDefault="00A94811" w:rsidP="00A94811">
                  <w:pPr>
                    <w:pStyle w:val="tbl-norm"/>
                    <w:spacing w:line="312" w:lineRule="atLeast"/>
                    <w:rPr>
                      <w:sz w:val="20"/>
                      <w:szCs w:val="20"/>
                    </w:rPr>
                  </w:pPr>
                  <w:r w:rsidRPr="00A94811">
                    <w:rPr>
                      <w:sz w:val="20"/>
                      <w:szCs w:val="20"/>
                    </w:rPr>
                    <w:t>0,707</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4FC2A6B" w14:textId="77777777" w:rsidR="00A94811" w:rsidRPr="00A94811" w:rsidRDefault="00A94811" w:rsidP="00A94811">
                  <w:pPr>
                    <w:pStyle w:val="tbl-norm"/>
                    <w:spacing w:line="312" w:lineRule="atLeast"/>
                    <w:rPr>
                      <w:sz w:val="20"/>
                      <w:szCs w:val="20"/>
                    </w:rPr>
                  </w:pPr>
                  <w:r w:rsidRPr="00A94811">
                    <w:rPr>
                      <w:sz w:val="20"/>
                      <w:szCs w:val="20"/>
                    </w:rPr>
                    <w:t>2,828</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8F43C51" w14:textId="77777777" w:rsidR="00A94811" w:rsidRPr="00A94811" w:rsidRDefault="00A94811" w:rsidP="00A94811">
                  <w:pPr>
                    <w:pStyle w:val="tbl-norm"/>
                    <w:spacing w:line="312" w:lineRule="atLeast"/>
                    <w:rPr>
                      <w:sz w:val="20"/>
                      <w:szCs w:val="20"/>
                    </w:rPr>
                  </w:pPr>
                  <w:r w:rsidRPr="00A94811">
                    <w:rPr>
                      <w:sz w:val="20"/>
                      <w:szCs w:val="20"/>
                    </w:rPr>
                    <w:t>2</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CBAA334" w14:textId="77777777" w:rsidR="00A94811" w:rsidRPr="00A94811" w:rsidRDefault="00A94811" w:rsidP="00A94811">
                  <w:pPr>
                    <w:pStyle w:val="tbl-norm"/>
                    <w:spacing w:line="312" w:lineRule="atLeast"/>
                    <w:rPr>
                      <w:sz w:val="20"/>
                      <w:szCs w:val="20"/>
                    </w:rPr>
                  </w:pPr>
                  <w:r w:rsidRPr="00A94811">
                    <w:rPr>
                      <w:sz w:val="20"/>
                      <w:szCs w:val="20"/>
                    </w:rPr>
                    <w:t>1,414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F13C913" w14:textId="77777777" w:rsidR="00A94811" w:rsidRPr="00A94811" w:rsidRDefault="00A94811" w:rsidP="00A94811">
                  <w:pPr>
                    <w:pStyle w:val="tbl-norm"/>
                    <w:spacing w:line="312" w:lineRule="atLeast"/>
                    <w:rPr>
                      <w:sz w:val="20"/>
                      <w:szCs w:val="20"/>
                    </w:rPr>
                  </w:pPr>
                  <w:r w:rsidRPr="00A94811">
                    <w:rPr>
                      <w:sz w:val="20"/>
                      <w:szCs w:val="20"/>
                    </w:rPr>
                    <w:t>5,657</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515A6CE" w14:textId="77777777" w:rsidR="00A94811" w:rsidRPr="00A94811" w:rsidRDefault="00A94811" w:rsidP="00A94811">
                  <w:pPr>
                    <w:pStyle w:val="tbl-norm"/>
                    <w:spacing w:line="312" w:lineRule="atLeast"/>
                    <w:rPr>
                      <w:sz w:val="20"/>
                      <w:szCs w:val="20"/>
                    </w:rPr>
                  </w:pPr>
                  <w:r w:rsidRPr="00A94811">
                    <w:rPr>
                      <w:sz w:val="20"/>
                      <w:szCs w:val="20"/>
                    </w:rPr>
                    <w:t>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AAD22EC" w14:textId="77777777" w:rsidR="00A94811" w:rsidRPr="00A94811" w:rsidRDefault="00A94811" w:rsidP="00A94811">
                  <w:pPr>
                    <w:pStyle w:val="tbl-norm"/>
                    <w:spacing w:line="312" w:lineRule="atLeast"/>
                    <w:rPr>
                      <w:sz w:val="20"/>
                      <w:szCs w:val="20"/>
                    </w:rPr>
                  </w:pPr>
                  <w:r w:rsidRPr="00A94811">
                    <w:rPr>
                      <w:sz w:val="20"/>
                      <w:szCs w:val="20"/>
                    </w:rPr>
                    <w:t>2,828</w:t>
                  </w:r>
                </w:p>
              </w:tc>
            </w:tr>
            <w:tr w:rsidR="00A94811" w:rsidRPr="00A94811" w14:paraId="4710E336" w14:textId="77777777" w:rsidTr="00A94811">
              <w:trPr>
                <w:trHeight w:val="419"/>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0761747D" w14:textId="77777777" w:rsidR="00A94811" w:rsidRPr="00A94811" w:rsidRDefault="00A94811" w:rsidP="00A94811">
                  <w:pPr>
                    <w:pStyle w:val="Normal5"/>
                    <w:spacing w:before="0" w:beforeAutospacing="0" w:after="0" w:afterAutospacing="0" w:line="312" w:lineRule="atLeast"/>
                    <w:rPr>
                      <w:sz w:val="20"/>
                      <w:szCs w:val="20"/>
                    </w:rPr>
                  </w:pPr>
                  <w:r w:rsidRPr="00A94811">
                    <w:rPr>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40BEA16C" w14:textId="77777777" w:rsidR="00A94811" w:rsidRPr="00A94811" w:rsidRDefault="00A94811" w:rsidP="00A94811">
                  <w:pPr>
                    <w:pStyle w:val="tbl-norm"/>
                    <w:spacing w:line="312" w:lineRule="atLeast"/>
                    <w:rPr>
                      <w:sz w:val="20"/>
                      <w:szCs w:val="20"/>
                    </w:rPr>
                  </w:pPr>
                  <w:r w:rsidRPr="00A94811">
                    <w:rPr>
                      <w:sz w:val="20"/>
                      <w:szCs w:val="20"/>
                    </w:rPr>
                    <w:t>1 &lt; m ≤ 3</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6C43870C" w14:textId="77777777" w:rsidR="00A94811" w:rsidRPr="00A94811" w:rsidRDefault="00A94811" w:rsidP="00A94811">
                  <w:pPr>
                    <w:pStyle w:val="tbl-norm"/>
                    <w:spacing w:line="312" w:lineRule="atLeast"/>
                    <w:rPr>
                      <w:sz w:val="20"/>
                      <w:szCs w:val="20"/>
                    </w:rPr>
                  </w:pPr>
                  <w:r w:rsidRPr="00A94811">
                    <w:rPr>
                      <w:sz w:val="20"/>
                      <w:szCs w:val="20"/>
                    </w:rPr>
                    <w:t>4,243</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75A0B6E4" w14:textId="77777777" w:rsidR="00A94811" w:rsidRPr="00A94811" w:rsidRDefault="00A94811" w:rsidP="00A94811">
                  <w:pPr>
                    <w:pStyle w:val="tbl-norm"/>
                    <w:spacing w:line="312" w:lineRule="atLeast"/>
                    <w:rPr>
                      <w:sz w:val="20"/>
                      <w:szCs w:val="20"/>
                    </w:rPr>
                  </w:pPr>
                  <w:r w:rsidRPr="00A94811">
                    <w:rPr>
                      <w:sz w:val="20"/>
                      <w:szCs w:val="20"/>
                    </w:rPr>
                    <w:t>3</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31953972" w14:textId="77777777" w:rsidR="00A94811" w:rsidRPr="00A94811" w:rsidRDefault="00A94811" w:rsidP="00A94811">
                  <w:pPr>
                    <w:pStyle w:val="tbl-norm"/>
                    <w:spacing w:line="312" w:lineRule="atLeast"/>
                    <w:rPr>
                      <w:sz w:val="20"/>
                      <w:szCs w:val="20"/>
                    </w:rPr>
                  </w:pPr>
                  <w:r w:rsidRPr="00A94811">
                    <w:rPr>
                      <w:sz w:val="20"/>
                      <w:szCs w:val="20"/>
                    </w:rPr>
                    <w:t>2,121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44C9A48E" w14:textId="77777777" w:rsidR="00A94811" w:rsidRPr="00A94811" w:rsidRDefault="00A94811" w:rsidP="00A94811">
                  <w:pPr>
                    <w:pStyle w:val="tbl-norm"/>
                    <w:spacing w:line="312" w:lineRule="atLeast"/>
                    <w:rPr>
                      <w:sz w:val="20"/>
                      <w:szCs w:val="20"/>
                    </w:rPr>
                  </w:pPr>
                  <w:r w:rsidRPr="00A94811">
                    <w:rPr>
                      <w:sz w:val="20"/>
                      <w:szCs w:val="20"/>
                    </w:rPr>
                    <w:t>5,657</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6BAA2C6" w14:textId="77777777" w:rsidR="00A94811" w:rsidRPr="00A94811" w:rsidRDefault="00A94811" w:rsidP="00A94811">
                  <w:pPr>
                    <w:pStyle w:val="tbl-norm"/>
                    <w:spacing w:line="312" w:lineRule="atLeast"/>
                    <w:rPr>
                      <w:sz w:val="20"/>
                      <w:szCs w:val="20"/>
                    </w:rPr>
                  </w:pPr>
                  <w:r w:rsidRPr="00A94811">
                    <w:rPr>
                      <w:sz w:val="20"/>
                      <w:szCs w:val="20"/>
                    </w:rPr>
                    <w:t>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41032879" w14:textId="77777777" w:rsidR="00A94811" w:rsidRPr="00A94811" w:rsidRDefault="00A94811" w:rsidP="00A94811">
                  <w:pPr>
                    <w:pStyle w:val="tbl-norm"/>
                    <w:spacing w:line="312" w:lineRule="atLeast"/>
                    <w:rPr>
                      <w:sz w:val="20"/>
                      <w:szCs w:val="20"/>
                    </w:rPr>
                  </w:pPr>
                  <w:r w:rsidRPr="00A94811">
                    <w:rPr>
                      <w:sz w:val="20"/>
                      <w:szCs w:val="20"/>
                    </w:rPr>
                    <w:t>2,828</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13479AF" w14:textId="77777777" w:rsidR="00A94811" w:rsidRPr="00A94811" w:rsidRDefault="00A94811" w:rsidP="00A94811">
                  <w:pPr>
                    <w:pStyle w:val="tbl-norm"/>
                    <w:spacing w:line="312" w:lineRule="atLeast"/>
                    <w:rPr>
                      <w:sz w:val="20"/>
                      <w:szCs w:val="20"/>
                    </w:rPr>
                  </w:pPr>
                  <w:r w:rsidRPr="00A94811">
                    <w:rPr>
                      <w:sz w:val="20"/>
                      <w:szCs w:val="20"/>
                    </w:rPr>
                    <w:t>16,971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452CEC3D" w14:textId="77777777" w:rsidR="00A94811" w:rsidRPr="00A94811" w:rsidRDefault="00A94811" w:rsidP="00A94811">
                  <w:pPr>
                    <w:pStyle w:val="tbl-norm"/>
                    <w:spacing w:line="312" w:lineRule="atLeast"/>
                    <w:rPr>
                      <w:sz w:val="20"/>
                      <w:szCs w:val="20"/>
                    </w:rPr>
                  </w:pPr>
                  <w:r w:rsidRPr="00A94811">
                    <w:rPr>
                      <w:sz w:val="20"/>
                      <w:szCs w:val="20"/>
                    </w:rPr>
                    <w:t>12</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676FCCCE" w14:textId="77777777" w:rsidR="00A94811" w:rsidRPr="00A94811" w:rsidRDefault="00A94811" w:rsidP="00A94811">
                  <w:pPr>
                    <w:pStyle w:val="tbl-norm"/>
                    <w:spacing w:line="312" w:lineRule="atLeast"/>
                    <w:rPr>
                      <w:sz w:val="20"/>
                      <w:szCs w:val="20"/>
                    </w:rPr>
                  </w:pPr>
                  <w:r w:rsidRPr="00A94811">
                    <w:rPr>
                      <w:sz w:val="20"/>
                      <w:szCs w:val="20"/>
                    </w:rPr>
                    <w:t>8,485</w:t>
                  </w:r>
                </w:p>
              </w:tc>
            </w:tr>
            <w:tr w:rsidR="00A94811" w:rsidRPr="00A94811" w14:paraId="1C142403" w14:textId="77777777" w:rsidTr="00A94811">
              <w:trPr>
                <w:trHeight w:val="419"/>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6DE9696E" w14:textId="77777777" w:rsidR="00A94811" w:rsidRPr="00A94811" w:rsidRDefault="00A94811" w:rsidP="00A94811">
                  <w:pPr>
                    <w:pStyle w:val="Normal5"/>
                    <w:spacing w:before="0" w:beforeAutospacing="0" w:after="0" w:afterAutospacing="0" w:line="312" w:lineRule="atLeast"/>
                    <w:rPr>
                      <w:sz w:val="20"/>
                      <w:szCs w:val="20"/>
                    </w:rPr>
                  </w:pPr>
                  <w:r w:rsidRPr="00A94811">
                    <w:rPr>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2E7E807F" w14:textId="77777777" w:rsidR="00A94811" w:rsidRPr="00A94811" w:rsidRDefault="00A94811" w:rsidP="00A94811">
                  <w:pPr>
                    <w:pStyle w:val="tbl-norm"/>
                    <w:spacing w:line="312" w:lineRule="atLeast"/>
                    <w:rPr>
                      <w:sz w:val="20"/>
                      <w:szCs w:val="20"/>
                    </w:rPr>
                  </w:pPr>
                  <w:r w:rsidRPr="00A94811">
                    <w:rPr>
                      <w:sz w:val="20"/>
                      <w:szCs w:val="20"/>
                    </w:rPr>
                    <w:t>3 &lt; m ≤ 5</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46145264" w14:textId="77777777" w:rsidR="00A94811" w:rsidRPr="00A94811" w:rsidRDefault="00A94811" w:rsidP="00A94811">
                  <w:pPr>
                    <w:pStyle w:val="tbl-norm"/>
                    <w:spacing w:line="312" w:lineRule="atLeast"/>
                    <w:rPr>
                      <w:sz w:val="20"/>
                      <w:szCs w:val="20"/>
                    </w:rPr>
                  </w:pPr>
                  <w:r w:rsidRPr="00A94811">
                    <w:rPr>
                      <w:sz w:val="20"/>
                      <w:szCs w:val="20"/>
                    </w:rPr>
                    <w:t>4,243</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14A9A065" w14:textId="77777777" w:rsidR="00A94811" w:rsidRPr="00A94811" w:rsidRDefault="00A94811" w:rsidP="00A94811">
                  <w:pPr>
                    <w:pStyle w:val="tbl-norm"/>
                    <w:spacing w:line="312" w:lineRule="atLeast"/>
                    <w:rPr>
                      <w:sz w:val="20"/>
                      <w:szCs w:val="20"/>
                    </w:rPr>
                  </w:pPr>
                  <w:r w:rsidRPr="00A94811">
                    <w:rPr>
                      <w:sz w:val="20"/>
                      <w:szCs w:val="20"/>
                    </w:rPr>
                    <w:t>3</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4A7B02E8" w14:textId="77777777" w:rsidR="00A94811" w:rsidRPr="00A94811" w:rsidRDefault="00A94811" w:rsidP="00A94811">
                  <w:pPr>
                    <w:pStyle w:val="tbl-norm"/>
                    <w:spacing w:line="312" w:lineRule="atLeast"/>
                    <w:rPr>
                      <w:sz w:val="20"/>
                      <w:szCs w:val="20"/>
                    </w:rPr>
                  </w:pPr>
                  <w:r w:rsidRPr="00A94811">
                    <w:rPr>
                      <w:sz w:val="20"/>
                      <w:szCs w:val="20"/>
                    </w:rPr>
                    <w:t>2,121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6C2B4B4E" w14:textId="77777777" w:rsidR="00A94811" w:rsidRPr="00A94811" w:rsidRDefault="00A94811" w:rsidP="00A94811">
                  <w:pPr>
                    <w:pStyle w:val="tbl-norm"/>
                    <w:spacing w:line="312" w:lineRule="atLeast"/>
                    <w:rPr>
                      <w:sz w:val="20"/>
                      <w:szCs w:val="20"/>
                    </w:rPr>
                  </w:pPr>
                  <w:r w:rsidRPr="00A94811">
                    <w:rPr>
                      <w:sz w:val="20"/>
                      <w:szCs w:val="20"/>
                    </w:rPr>
                    <w:t>8,485</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3F4E50C" w14:textId="77777777" w:rsidR="00A94811" w:rsidRPr="00A94811" w:rsidRDefault="00A94811" w:rsidP="00A94811">
                  <w:pPr>
                    <w:pStyle w:val="tbl-norm"/>
                    <w:spacing w:line="312" w:lineRule="atLeast"/>
                    <w:rPr>
                      <w:sz w:val="20"/>
                      <w:szCs w:val="20"/>
                    </w:rPr>
                  </w:pPr>
                  <w:r w:rsidRPr="00A94811">
                    <w:rPr>
                      <w:sz w:val="20"/>
                      <w:szCs w:val="20"/>
                    </w:rPr>
                    <w:t>6</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503E4FB" w14:textId="77777777" w:rsidR="00A94811" w:rsidRPr="00A94811" w:rsidRDefault="00A94811" w:rsidP="00A94811">
                  <w:pPr>
                    <w:pStyle w:val="tbl-norm"/>
                    <w:spacing w:line="312" w:lineRule="atLeast"/>
                    <w:rPr>
                      <w:sz w:val="20"/>
                      <w:szCs w:val="20"/>
                    </w:rPr>
                  </w:pPr>
                  <w:r w:rsidRPr="00A94811">
                    <w:rPr>
                      <w:sz w:val="20"/>
                      <w:szCs w:val="20"/>
                    </w:rPr>
                    <w:t>4,243</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1747968" w14:textId="77777777" w:rsidR="00A94811" w:rsidRPr="00A94811" w:rsidRDefault="00A94811" w:rsidP="00A94811">
                  <w:pPr>
                    <w:pStyle w:val="tbl-norm"/>
                    <w:spacing w:line="312" w:lineRule="atLeast"/>
                    <w:rPr>
                      <w:sz w:val="20"/>
                      <w:szCs w:val="20"/>
                    </w:rPr>
                  </w:pPr>
                  <w:r w:rsidRPr="00A94811">
                    <w:rPr>
                      <w:sz w:val="20"/>
                      <w:szCs w:val="20"/>
                    </w:rPr>
                    <w:t>16,971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C6246F2" w14:textId="77777777" w:rsidR="00A94811" w:rsidRPr="00A94811" w:rsidRDefault="00A94811" w:rsidP="00A94811">
                  <w:pPr>
                    <w:pStyle w:val="tbl-norm"/>
                    <w:spacing w:line="312" w:lineRule="atLeast"/>
                    <w:rPr>
                      <w:sz w:val="20"/>
                      <w:szCs w:val="20"/>
                    </w:rPr>
                  </w:pPr>
                  <w:r w:rsidRPr="00A94811">
                    <w:rPr>
                      <w:sz w:val="20"/>
                      <w:szCs w:val="20"/>
                    </w:rPr>
                    <w:t>12</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4148ACA6" w14:textId="77777777" w:rsidR="00A94811" w:rsidRPr="00A94811" w:rsidRDefault="00A94811" w:rsidP="00A94811">
                  <w:pPr>
                    <w:pStyle w:val="tbl-norm"/>
                    <w:spacing w:line="312" w:lineRule="atLeast"/>
                    <w:rPr>
                      <w:sz w:val="20"/>
                      <w:szCs w:val="20"/>
                    </w:rPr>
                  </w:pPr>
                  <w:r w:rsidRPr="00A94811">
                    <w:rPr>
                      <w:sz w:val="20"/>
                      <w:szCs w:val="20"/>
                    </w:rPr>
                    <w:t>8,485</w:t>
                  </w:r>
                </w:p>
              </w:tc>
            </w:tr>
            <w:tr w:rsidR="00A94811" w:rsidRPr="00A94811" w14:paraId="777F53F5" w14:textId="77777777" w:rsidTr="00A94811">
              <w:trPr>
                <w:trHeight w:val="419"/>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4BB65A69" w14:textId="77777777" w:rsidR="00A94811" w:rsidRPr="00A94811" w:rsidRDefault="00A94811" w:rsidP="00A94811">
                  <w:pPr>
                    <w:pStyle w:val="Normal5"/>
                    <w:spacing w:before="0" w:beforeAutospacing="0" w:after="0" w:afterAutospacing="0" w:line="312" w:lineRule="atLeast"/>
                    <w:rPr>
                      <w:sz w:val="20"/>
                      <w:szCs w:val="20"/>
                    </w:rPr>
                  </w:pPr>
                  <w:r w:rsidRPr="00A94811">
                    <w:rPr>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2DB74763" w14:textId="77777777" w:rsidR="00A94811" w:rsidRPr="00A94811" w:rsidRDefault="00A94811" w:rsidP="00A94811">
                  <w:pPr>
                    <w:pStyle w:val="tbl-norm"/>
                    <w:spacing w:line="312" w:lineRule="atLeast"/>
                    <w:rPr>
                      <w:sz w:val="20"/>
                      <w:szCs w:val="20"/>
                    </w:rPr>
                  </w:pPr>
                  <w:r w:rsidRPr="00A94811">
                    <w:rPr>
                      <w:sz w:val="20"/>
                      <w:szCs w:val="20"/>
                    </w:rPr>
                    <w:t>5 &lt; m ≤ 10</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6B3A6140" w14:textId="77777777" w:rsidR="00A94811" w:rsidRPr="00A94811" w:rsidRDefault="00A94811" w:rsidP="00A94811">
                  <w:pPr>
                    <w:pStyle w:val="tbl-norm"/>
                    <w:spacing w:line="312" w:lineRule="atLeast"/>
                    <w:rPr>
                      <w:sz w:val="20"/>
                      <w:szCs w:val="20"/>
                    </w:rPr>
                  </w:pPr>
                  <w:r w:rsidRPr="00A94811">
                    <w:rPr>
                      <w:sz w:val="20"/>
                      <w:szCs w:val="20"/>
                    </w:rPr>
                    <w:t>8,485</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39B1CE9C" w14:textId="77777777" w:rsidR="00A94811" w:rsidRPr="00A94811" w:rsidRDefault="00A94811" w:rsidP="00A94811">
                  <w:pPr>
                    <w:pStyle w:val="tbl-norm"/>
                    <w:spacing w:line="312" w:lineRule="atLeast"/>
                    <w:rPr>
                      <w:sz w:val="20"/>
                      <w:szCs w:val="20"/>
                    </w:rPr>
                  </w:pPr>
                  <w:r w:rsidRPr="00A94811">
                    <w:rPr>
                      <w:sz w:val="20"/>
                      <w:szCs w:val="20"/>
                    </w:rPr>
                    <w:t>6</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755001F9" w14:textId="77777777" w:rsidR="00A94811" w:rsidRPr="00A94811" w:rsidRDefault="00A94811" w:rsidP="00A94811">
                  <w:pPr>
                    <w:pStyle w:val="tbl-norm"/>
                    <w:spacing w:line="312" w:lineRule="atLeast"/>
                    <w:rPr>
                      <w:sz w:val="20"/>
                      <w:szCs w:val="20"/>
                    </w:rPr>
                  </w:pPr>
                  <w:r w:rsidRPr="00A94811">
                    <w:rPr>
                      <w:sz w:val="20"/>
                      <w:szCs w:val="20"/>
                    </w:rPr>
                    <w:t>4,243</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9689C5B" w14:textId="77777777" w:rsidR="00A94811" w:rsidRPr="00A94811" w:rsidRDefault="00A94811" w:rsidP="00A94811">
                  <w:pPr>
                    <w:pStyle w:val="tbl-norm"/>
                    <w:spacing w:line="312" w:lineRule="atLeast"/>
                    <w:rPr>
                      <w:sz w:val="20"/>
                      <w:szCs w:val="20"/>
                    </w:rPr>
                  </w:pPr>
                  <w:r w:rsidRPr="00A94811">
                    <w:rPr>
                      <w:sz w:val="20"/>
                      <w:szCs w:val="20"/>
                    </w:rPr>
                    <w:t>16,971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D42FBF0" w14:textId="77777777" w:rsidR="00A94811" w:rsidRPr="00A94811" w:rsidRDefault="00A94811" w:rsidP="00A94811">
                  <w:pPr>
                    <w:pStyle w:val="tbl-norm"/>
                    <w:spacing w:line="312" w:lineRule="atLeast"/>
                    <w:rPr>
                      <w:sz w:val="20"/>
                      <w:szCs w:val="20"/>
                    </w:rPr>
                  </w:pPr>
                  <w:r w:rsidRPr="00A94811">
                    <w:rPr>
                      <w:sz w:val="20"/>
                      <w:szCs w:val="20"/>
                    </w:rPr>
                    <w:t>12</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6DC81ED2" w14:textId="77777777" w:rsidR="00A94811" w:rsidRPr="00A94811" w:rsidRDefault="00A94811" w:rsidP="00A94811">
                  <w:pPr>
                    <w:pStyle w:val="tbl-norm"/>
                    <w:spacing w:line="312" w:lineRule="atLeast"/>
                    <w:rPr>
                      <w:sz w:val="20"/>
                      <w:szCs w:val="20"/>
                    </w:rPr>
                  </w:pPr>
                  <w:r w:rsidRPr="00A94811">
                    <w:rPr>
                      <w:sz w:val="20"/>
                      <w:szCs w:val="20"/>
                    </w:rPr>
                    <w:t>8,485</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1534910" w14:textId="77777777" w:rsidR="00A94811" w:rsidRPr="00A94811" w:rsidRDefault="00A94811" w:rsidP="00A94811">
                  <w:pPr>
                    <w:pStyle w:val="tbl-norm"/>
                    <w:spacing w:line="312" w:lineRule="atLeast"/>
                    <w:rPr>
                      <w:sz w:val="20"/>
                      <w:szCs w:val="20"/>
                    </w:rPr>
                  </w:pPr>
                  <w:r w:rsidRPr="00A94811">
                    <w:rPr>
                      <w:sz w:val="20"/>
                      <w:szCs w:val="20"/>
                    </w:rPr>
                    <w:t>33,941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6326BE81" w14:textId="77777777" w:rsidR="00A94811" w:rsidRPr="00A94811" w:rsidRDefault="00A94811" w:rsidP="00A94811">
                  <w:pPr>
                    <w:pStyle w:val="tbl-norm"/>
                    <w:spacing w:line="312" w:lineRule="atLeast"/>
                    <w:rPr>
                      <w:sz w:val="20"/>
                      <w:szCs w:val="20"/>
                    </w:rPr>
                  </w:pPr>
                  <w:r w:rsidRPr="00A94811">
                    <w:rPr>
                      <w:sz w:val="20"/>
                      <w:szCs w:val="20"/>
                    </w:rPr>
                    <w:t>24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606756F1" w14:textId="77777777" w:rsidR="00A94811" w:rsidRPr="00A94811" w:rsidRDefault="00A94811" w:rsidP="00A94811">
                  <w:pPr>
                    <w:pStyle w:val="tbl-norm"/>
                    <w:spacing w:line="312" w:lineRule="atLeast"/>
                    <w:rPr>
                      <w:sz w:val="20"/>
                      <w:szCs w:val="20"/>
                    </w:rPr>
                  </w:pPr>
                  <w:r w:rsidRPr="00A94811">
                    <w:rPr>
                      <w:sz w:val="20"/>
                      <w:szCs w:val="20"/>
                    </w:rPr>
                    <w:t>16,971</w:t>
                  </w:r>
                </w:p>
              </w:tc>
            </w:tr>
            <w:tr w:rsidR="00A94811" w:rsidRPr="00A94811" w14:paraId="04EB51ED" w14:textId="77777777" w:rsidTr="00A94811">
              <w:trPr>
                <w:trHeight w:val="404"/>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6AC4DA3C" w14:textId="77777777" w:rsidR="00A94811" w:rsidRPr="00A94811" w:rsidRDefault="00A94811" w:rsidP="00A94811">
                  <w:pPr>
                    <w:pStyle w:val="Normal5"/>
                    <w:spacing w:before="0" w:beforeAutospacing="0" w:after="0" w:afterAutospacing="0" w:line="312" w:lineRule="atLeast"/>
                    <w:rPr>
                      <w:sz w:val="20"/>
                      <w:szCs w:val="20"/>
                    </w:rPr>
                  </w:pPr>
                  <w:r w:rsidRPr="00A94811">
                    <w:rPr>
                      <w:sz w:val="20"/>
                      <w:szCs w:val="20"/>
                    </w:rPr>
                    <w:t> </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1CF50FEF" w14:textId="77777777" w:rsidR="00A94811" w:rsidRPr="00A94811" w:rsidRDefault="00A94811" w:rsidP="00A94811">
                  <w:pPr>
                    <w:pStyle w:val="tbl-norm"/>
                    <w:spacing w:line="312" w:lineRule="atLeast"/>
                    <w:rPr>
                      <w:sz w:val="20"/>
                      <w:szCs w:val="20"/>
                    </w:rPr>
                  </w:pPr>
                  <w:r w:rsidRPr="00A94811">
                    <w:rPr>
                      <w:sz w:val="20"/>
                      <w:szCs w:val="20"/>
                    </w:rPr>
                    <w:t>m &gt; 10</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0070F91A" w14:textId="77777777" w:rsidR="00A94811" w:rsidRPr="00A94811" w:rsidRDefault="00A94811" w:rsidP="00A94811">
                  <w:pPr>
                    <w:pStyle w:val="tbl-norm"/>
                    <w:spacing w:line="312" w:lineRule="atLeast"/>
                    <w:rPr>
                      <w:sz w:val="20"/>
                      <w:szCs w:val="20"/>
                    </w:rPr>
                  </w:pPr>
                  <w:r w:rsidRPr="00A94811">
                    <w:rPr>
                      <w:sz w:val="20"/>
                      <w:szCs w:val="20"/>
                    </w:rPr>
                    <w:t>8,485</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0911138B" w14:textId="77777777" w:rsidR="00A94811" w:rsidRPr="00A94811" w:rsidRDefault="00A94811" w:rsidP="00A94811">
                  <w:pPr>
                    <w:pStyle w:val="tbl-norm"/>
                    <w:spacing w:line="312" w:lineRule="atLeast"/>
                    <w:rPr>
                      <w:sz w:val="20"/>
                      <w:szCs w:val="20"/>
                    </w:rPr>
                  </w:pPr>
                  <w:r w:rsidRPr="00A94811">
                    <w:rPr>
                      <w:sz w:val="20"/>
                      <w:szCs w:val="20"/>
                    </w:rPr>
                    <w:t>6</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6F277EB5" w14:textId="77777777" w:rsidR="00A94811" w:rsidRPr="00A94811" w:rsidRDefault="00A94811" w:rsidP="00A94811">
                  <w:pPr>
                    <w:pStyle w:val="tbl-norm"/>
                    <w:spacing w:line="312" w:lineRule="atLeast"/>
                    <w:rPr>
                      <w:sz w:val="20"/>
                      <w:szCs w:val="20"/>
                    </w:rPr>
                  </w:pPr>
                  <w:r w:rsidRPr="00A94811">
                    <w:rPr>
                      <w:sz w:val="20"/>
                      <w:szCs w:val="20"/>
                    </w:rPr>
                    <w:t>4,243</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934C879" w14:textId="77777777" w:rsidR="00A94811" w:rsidRPr="00A94811" w:rsidRDefault="00A94811" w:rsidP="00A94811">
                  <w:pPr>
                    <w:pStyle w:val="tbl-norm"/>
                    <w:spacing w:line="312" w:lineRule="atLeast"/>
                    <w:rPr>
                      <w:sz w:val="20"/>
                      <w:szCs w:val="20"/>
                    </w:rPr>
                  </w:pPr>
                  <w:r w:rsidRPr="00A94811">
                    <w:rPr>
                      <w:sz w:val="20"/>
                      <w:szCs w:val="20"/>
                    </w:rPr>
                    <w:t>28,284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8FB9C9A" w14:textId="77777777" w:rsidR="00A94811" w:rsidRPr="00A94811" w:rsidRDefault="00A94811" w:rsidP="00A94811">
                  <w:pPr>
                    <w:pStyle w:val="tbl-norm"/>
                    <w:spacing w:line="312" w:lineRule="atLeast"/>
                    <w:rPr>
                      <w:sz w:val="20"/>
                      <w:szCs w:val="20"/>
                    </w:rPr>
                  </w:pPr>
                  <w:r w:rsidRPr="00A94811">
                    <w:rPr>
                      <w:sz w:val="20"/>
                      <w:szCs w:val="20"/>
                    </w:rPr>
                    <w:t>20</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47B3A732" w14:textId="77777777" w:rsidR="00A94811" w:rsidRPr="00A94811" w:rsidRDefault="00A94811" w:rsidP="00A94811">
                  <w:pPr>
                    <w:pStyle w:val="tbl-norm"/>
                    <w:spacing w:line="312" w:lineRule="atLeast"/>
                    <w:rPr>
                      <w:sz w:val="20"/>
                      <w:szCs w:val="20"/>
                    </w:rPr>
                  </w:pPr>
                  <w:r w:rsidRPr="00A94811">
                    <w:rPr>
                      <w:sz w:val="20"/>
                      <w:szCs w:val="20"/>
                    </w:rPr>
                    <w:t>14,142</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52220E8B" w14:textId="77777777" w:rsidR="00A94811" w:rsidRPr="00A94811" w:rsidRDefault="00A94811" w:rsidP="00A94811">
                  <w:pPr>
                    <w:pStyle w:val="tbl-norm"/>
                    <w:spacing w:line="312" w:lineRule="atLeast"/>
                    <w:rPr>
                      <w:sz w:val="20"/>
                      <w:szCs w:val="20"/>
                    </w:rPr>
                  </w:pPr>
                  <w:r w:rsidRPr="00A94811">
                    <w:rPr>
                      <w:sz w:val="20"/>
                      <w:szCs w:val="20"/>
                    </w:rPr>
                    <w:t>33,941</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F94BB1E" w14:textId="77777777" w:rsidR="00A94811" w:rsidRPr="00A94811" w:rsidRDefault="00A94811" w:rsidP="00A94811">
                  <w:pPr>
                    <w:pStyle w:val="tbl-norm"/>
                    <w:spacing w:line="312" w:lineRule="atLeast"/>
                    <w:rPr>
                      <w:sz w:val="20"/>
                      <w:szCs w:val="20"/>
                    </w:rPr>
                  </w:pPr>
                  <w:r w:rsidRPr="00A94811">
                    <w:rPr>
                      <w:sz w:val="20"/>
                      <w:szCs w:val="20"/>
                    </w:rPr>
                    <w:t>24</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7DB58D3" w14:textId="77777777" w:rsidR="00A94811" w:rsidRPr="00A94811" w:rsidRDefault="00A94811" w:rsidP="00A94811">
                  <w:pPr>
                    <w:pStyle w:val="tbl-norm"/>
                    <w:spacing w:line="312" w:lineRule="atLeast"/>
                    <w:rPr>
                      <w:sz w:val="20"/>
                      <w:szCs w:val="20"/>
                    </w:rPr>
                  </w:pPr>
                  <w:r w:rsidRPr="00A94811">
                    <w:rPr>
                      <w:sz w:val="20"/>
                      <w:szCs w:val="20"/>
                    </w:rPr>
                    <w:t>16,971</w:t>
                  </w:r>
                </w:p>
              </w:tc>
            </w:tr>
            <w:tr w:rsidR="00A94811" w:rsidRPr="00A94811" w14:paraId="26CB4390" w14:textId="77777777" w:rsidTr="00A94811">
              <w:trPr>
                <w:trHeight w:val="723"/>
                <w:jc w:val="center"/>
              </w:trPr>
              <w:tc>
                <w:tcPr>
                  <w:tcW w:w="635" w:type="dxa"/>
                  <w:tcBorders>
                    <w:top w:val="outset" w:sz="6" w:space="0" w:color="auto"/>
                    <w:left w:val="outset" w:sz="6" w:space="0" w:color="auto"/>
                    <w:bottom w:val="outset" w:sz="6" w:space="0" w:color="auto"/>
                    <w:right w:val="outset" w:sz="6" w:space="0" w:color="auto"/>
                  </w:tcBorders>
                  <w:shd w:val="clear" w:color="auto" w:fill="auto"/>
                  <w:hideMark/>
                </w:tcPr>
                <w:p w14:paraId="52B29836" w14:textId="77777777" w:rsidR="00A94811" w:rsidRPr="00A94811" w:rsidRDefault="00A94811" w:rsidP="00A94811">
                  <w:pPr>
                    <w:pStyle w:val="tbl-norm"/>
                    <w:spacing w:line="312" w:lineRule="atLeast"/>
                    <w:rPr>
                      <w:sz w:val="20"/>
                      <w:szCs w:val="20"/>
                    </w:rPr>
                  </w:pPr>
                  <w:r w:rsidRPr="00A94811">
                    <w:rPr>
                      <w:sz w:val="20"/>
                      <w:szCs w:val="20"/>
                    </w:rPr>
                    <w:t>4</w:t>
                  </w:r>
                </w:p>
              </w:tc>
              <w:tc>
                <w:tcPr>
                  <w:tcW w:w="570" w:type="dxa"/>
                  <w:tcBorders>
                    <w:top w:val="outset" w:sz="6" w:space="0" w:color="auto"/>
                    <w:left w:val="outset" w:sz="6" w:space="0" w:color="auto"/>
                    <w:bottom w:val="outset" w:sz="6" w:space="0" w:color="auto"/>
                    <w:right w:val="outset" w:sz="6" w:space="0" w:color="auto"/>
                  </w:tcBorders>
                  <w:shd w:val="clear" w:color="auto" w:fill="auto"/>
                  <w:hideMark/>
                </w:tcPr>
                <w:p w14:paraId="2886226A" w14:textId="77777777" w:rsidR="00A94811" w:rsidRPr="00A94811" w:rsidRDefault="00A94811" w:rsidP="00A94811">
                  <w:pPr>
                    <w:pStyle w:val="tbl-norm"/>
                    <w:spacing w:line="312" w:lineRule="atLeast"/>
                    <w:rPr>
                      <w:sz w:val="20"/>
                      <w:szCs w:val="20"/>
                    </w:rPr>
                  </w:pPr>
                  <w:proofErr w:type="spellStart"/>
                  <w:r w:rsidRPr="00A94811">
                    <w:rPr>
                      <w:sz w:val="20"/>
                      <w:szCs w:val="20"/>
                    </w:rPr>
                    <w:t>toți</w:t>
                  </w:r>
                  <w:proofErr w:type="spellEnd"/>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3CE30B55" w14:textId="77777777" w:rsidR="00A94811" w:rsidRPr="00A94811" w:rsidRDefault="00A94811" w:rsidP="00A94811">
                  <w:pPr>
                    <w:pStyle w:val="tbl-norm"/>
                    <w:spacing w:line="312" w:lineRule="atLeast"/>
                    <w:rPr>
                      <w:sz w:val="20"/>
                      <w:szCs w:val="20"/>
                    </w:rPr>
                  </w:pPr>
                  <w:r w:rsidRPr="00A94811">
                    <w:rPr>
                      <w:sz w:val="20"/>
                      <w:szCs w:val="20"/>
                    </w:rPr>
                    <w:t>21,213</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14:paraId="6D369903" w14:textId="77777777" w:rsidR="00A94811" w:rsidRPr="00A94811" w:rsidRDefault="00A94811" w:rsidP="00A94811">
                  <w:pPr>
                    <w:pStyle w:val="tbl-norm"/>
                    <w:spacing w:line="312" w:lineRule="atLeast"/>
                    <w:rPr>
                      <w:sz w:val="20"/>
                      <w:szCs w:val="20"/>
                    </w:rPr>
                  </w:pPr>
                  <w:r w:rsidRPr="00A94811">
                    <w:rPr>
                      <w:sz w:val="20"/>
                      <w:szCs w:val="20"/>
                    </w:rPr>
                    <w:t>15</w:t>
                  </w:r>
                </w:p>
              </w:tc>
              <w:tc>
                <w:tcPr>
                  <w:tcW w:w="504" w:type="dxa"/>
                  <w:tcBorders>
                    <w:top w:val="outset" w:sz="6" w:space="0" w:color="auto"/>
                    <w:left w:val="outset" w:sz="6" w:space="0" w:color="auto"/>
                    <w:bottom w:val="outset" w:sz="6" w:space="0" w:color="auto"/>
                    <w:right w:val="outset" w:sz="6" w:space="0" w:color="auto"/>
                  </w:tcBorders>
                  <w:shd w:val="clear" w:color="auto" w:fill="auto"/>
                  <w:hideMark/>
                </w:tcPr>
                <w:p w14:paraId="6298FFD3" w14:textId="77777777" w:rsidR="00A94811" w:rsidRPr="00A94811" w:rsidRDefault="00A94811" w:rsidP="00A94811">
                  <w:pPr>
                    <w:pStyle w:val="tbl-norm"/>
                    <w:spacing w:line="312" w:lineRule="atLeast"/>
                    <w:rPr>
                      <w:sz w:val="20"/>
                      <w:szCs w:val="20"/>
                    </w:rPr>
                  </w:pPr>
                  <w:r w:rsidRPr="00A94811">
                    <w:rPr>
                      <w:sz w:val="20"/>
                      <w:szCs w:val="20"/>
                    </w:rPr>
                    <w:t>10,607</w:t>
                  </w:r>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229B25AF" w14:textId="77777777" w:rsidR="00A94811" w:rsidRPr="00A94811" w:rsidRDefault="00A94811" w:rsidP="00A94811">
                  <w:pPr>
                    <w:pStyle w:val="tbl-norm"/>
                    <w:spacing w:line="312" w:lineRule="atLeast"/>
                    <w:rPr>
                      <w:sz w:val="18"/>
                      <w:szCs w:val="18"/>
                    </w:rPr>
                  </w:pPr>
                  <w:r w:rsidRPr="00A94811">
                    <w:rPr>
                      <w:sz w:val="18"/>
                      <w:szCs w:val="18"/>
                    </w:rPr>
                    <w:t xml:space="preserve">nu se </w:t>
                  </w:r>
                  <w:proofErr w:type="spellStart"/>
                  <w:r w:rsidRPr="00A94811">
                    <w:rPr>
                      <w:sz w:val="18"/>
                      <w:szCs w:val="18"/>
                    </w:rPr>
                    <w:t>aplică</w:t>
                  </w:r>
                  <w:proofErr w:type="spellEnd"/>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350170DC" w14:textId="77777777" w:rsidR="00A94811" w:rsidRPr="00A94811" w:rsidRDefault="00A94811" w:rsidP="00A94811">
                  <w:pPr>
                    <w:pStyle w:val="tbl-norm"/>
                    <w:spacing w:line="312" w:lineRule="atLeast"/>
                    <w:rPr>
                      <w:sz w:val="18"/>
                      <w:szCs w:val="18"/>
                    </w:rPr>
                  </w:pPr>
                  <w:r w:rsidRPr="00A94811">
                    <w:rPr>
                      <w:sz w:val="18"/>
                      <w:szCs w:val="18"/>
                    </w:rPr>
                    <w:t xml:space="preserve">nu se </w:t>
                  </w:r>
                  <w:proofErr w:type="spellStart"/>
                  <w:r w:rsidRPr="00A94811">
                    <w:rPr>
                      <w:sz w:val="18"/>
                      <w:szCs w:val="18"/>
                    </w:rPr>
                    <w:t>aplică</w:t>
                  </w:r>
                  <w:proofErr w:type="spellEnd"/>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135369F0" w14:textId="77777777" w:rsidR="00A94811" w:rsidRPr="00A94811" w:rsidRDefault="00A94811" w:rsidP="00A94811">
                  <w:pPr>
                    <w:pStyle w:val="tbl-norm"/>
                    <w:spacing w:line="312" w:lineRule="atLeast"/>
                    <w:rPr>
                      <w:sz w:val="18"/>
                      <w:szCs w:val="18"/>
                    </w:rPr>
                  </w:pPr>
                  <w:r w:rsidRPr="00A94811">
                    <w:rPr>
                      <w:sz w:val="18"/>
                      <w:szCs w:val="18"/>
                    </w:rPr>
                    <w:t xml:space="preserve">nu se </w:t>
                  </w:r>
                  <w:proofErr w:type="spellStart"/>
                  <w:r w:rsidRPr="00A94811">
                    <w:rPr>
                      <w:sz w:val="18"/>
                      <w:szCs w:val="18"/>
                    </w:rPr>
                    <w:t>aplică</w:t>
                  </w:r>
                  <w:proofErr w:type="spellEnd"/>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0213D0A4" w14:textId="77777777" w:rsidR="00A94811" w:rsidRPr="00A94811" w:rsidRDefault="00A94811" w:rsidP="00A94811">
                  <w:pPr>
                    <w:pStyle w:val="tbl-norm"/>
                    <w:spacing w:line="312" w:lineRule="atLeast"/>
                    <w:rPr>
                      <w:sz w:val="18"/>
                      <w:szCs w:val="18"/>
                    </w:rPr>
                  </w:pPr>
                  <w:r w:rsidRPr="00A94811">
                    <w:rPr>
                      <w:sz w:val="18"/>
                      <w:szCs w:val="18"/>
                    </w:rPr>
                    <w:t xml:space="preserve">nu se </w:t>
                  </w:r>
                  <w:proofErr w:type="spellStart"/>
                  <w:r w:rsidRPr="00A94811">
                    <w:rPr>
                      <w:sz w:val="18"/>
                      <w:szCs w:val="18"/>
                    </w:rPr>
                    <w:t>aplică</w:t>
                  </w:r>
                  <w:proofErr w:type="spellEnd"/>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4D37DCBF" w14:textId="77777777" w:rsidR="00A94811" w:rsidRPr="00A94811" w:rsidRDefault="00A94811" w:rsidP="00A94811">
                  <w:pPr>
                    <w:pStyle w:val="tbl-norm"/>
                    <w:spacing w:line="312" w:lineRule="atLeast"/>
                    <w:rPr>
                      <w:sz w:val="18"/>
                      <w:szCs w:val="18"/>
                    </w:rPr>
                  </w:pPr>
                  <w:r w:rsidRPr="00A94811">
                    <w:rPr>
                      <w:sz w:val="18"/>
                      <w:szCs w:val="18"/>
                    </w:rPr>
                    <w:t xml:space="preserve">nu se </w:t>
                  </w:r>
                  <w:proofErr w:type="spellStart"/>
                  <w:r w:rsidRPr="00A94811">
                    <w:rPr>
                      <w:sz w:val="18"/>
                      <w:szCs w:val="18"/>
                    </w:rPr>
                    <w:t>aplică</w:t>
                  </w:r>
                  <w:proofErr w:type="spellEnd"/>
                </w:p>
              </w:tc>
              <w:tc>
                <w:tcPr>
                  <w:tcW w:w="503" w:type="dxa"/>
                  <w:tcBorders>
                    <w:top w:val="outset" w:sz="6" w:space="0" w:color="auto"/>
                    <w:left w:val="outset" w:sz="6" w:space="0" w:color="auto"/>
                    <w:bottom w:val="outset" w:sz="6" w:space="0" w:color="auto"/>
                    <w:right w:val="outset" w:sz="6" w:space="0" w:color="auto"/>
                  </w:tcBorders>
                  <w:shd w:val="clear" w:color="auto" w:fill="auto"/>
                  <w:hideMark/>
                </w:tcPr>
                <w:p w14:paraId="731C7BEE" w14:textId="77777777" w:rsidR="00A94811" w:rsidRPr="00A94811" w:rsidRDefault="00A94811" w:rsidP="00A94811">
                  <w:pPr>
                    <w:pStyle w:val="tbl-norm"/>
                    <w:spacing w:line="312" w:lineRule="atLeast"/>
                    <w:rPr>
                      <w:sz w:val="18"/>
                      <w:szCs w:val="18"/>
                    </w:rPr>
                  </w:pPr>
                  <w:r w:rsidRPr="00A94811">
                    <w:rPr>
                      <w:sz w:val="18"/>
                      <w:szCs w:val="18"/>
                    </w:rPr>
                    <w:t xml:space="preserve">nu se </w:t>
                  </w:r>
                  <w:proofErr w:type="spellStart"/>
                  <w:r w:rsidRPr="00A94811">
                    <w:rPr>
                      <w:sz w:val="18"/>
                      <w:szCs w:val="18"/>
                    </w:rPr>
                    <w:t>aplică</w:t>
                  </w:r>
                  <w:proofErr w:type="spellEnd"/>
                </w:p>
              </w:tc>
            </w:tr>
          </w:tbl>
          <w:p w14:paraId="5EEBA694" w14:textId="77777777" w:rsidR="00A94811" w:rsidRPr="00A94811" w:rsidRDefault="00A94811" w:rsidP="00A94811">
            <w:pPr>
              <w:pStyle w:val="NormalWeb"/>
              <w:shd w:val="clear" w:color="auto" w:fill="FFFFFF"/>
              <w:spacing w:line="312" w:lineRule="atLeast"/>
              <w:rPr>
                <w:color w:val="333333"/>
                <w:sz w:val="20"/>
                <w:szCs w:val="20"/>
                <w:lang w:val="en-US"/>
              </w:rPr>
            </w:pPr>
          </w:p>
          <w:p w14:paraId="11626F9C" w14:textId="77777777" w:rsidR="00A94811" w:rsidRPr="00A94811" w:rsidRDefault="00A94811" w:rsidP="00A94811">
            <w:pPr>
              <w:pStyle w:val="NormalWeb"/>
              <w:shd w:val="clear" w:color="auto" w:fill="FFFFFF"/>
              <w:spacing w:line="312" w:lineRule="atLeast"/>
              <w:jc w:val="center"/>
              <w:rPr>
                <w:color w:val="333333"/>
                <w:sz w:val="20"/>
                <w:szCs w:val="20"/>
                <w:lang w:val="en-US"/>
              </w:rPr>
            </w:pPr>
          </w:p>
          <w:p w14:paraId="0860601C" w14:textId="77777777" w:rsidR="00A94811" w:rsidRPr="00A94811" w:rsidRDefault="00A94811" w:rsidP="00A94811">
            <w:pPr>
              <w:pStyle w:val="title-table"/>
              <w:shd w:val="clear" w:color="auto" w:fill="FFFFFF"/>
              <w:spacing w:line="312" w:lineRule="atLeast"/>
              <w:rPr>
                <w:color w:val="333333"/>
                <w:sz w:val="20"/>
                <w:szCs w:val="20"/>
              </w:rPr>
            </w:pPr>
            <w:proofErr w:type="spellStart"/>
            <w:r w:rsidRPr="00A94811">
              <w:rPr>
                <w:b w:val="0"/>
                <w:bCs w:val="0"/>
                <w:color w:val="333333"/>
                <w:sz w:val="20"/>
                <w:szCs w:val="20"/>
              </w:rPr>
              <w:t>Tabelul</w:t>
            </w:r>
            <w:proofErr w:type="spellEnd"/>
            <w:r w:rsidRPr="00A94811">
              <w:rPr>
                <w:b w:val="0"/>
                <w:bCs w:val="0"/>
                <w:color w:val="333333"/>
                <w:sz w:val="20"/>
                <w:szCs w:val="20"/>
              </w:rPr>
              <w:t xml:space="preserve"> 2</w:t>
            </w:r>
          </w:p>
          <w:tbl>
            <w:tblPr>
              <w:tblW w:w="518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74"/>
              <w:gridCol w:w="515"/>
              <w:gridCol w:w="453"/>
              <w:gridCol w:w="453"/>
              <w:gridCol w:w="458"/>
              <w:gridCol w:w="454"/>
              <w:gridCol w:w="454"/>
              <w:gridCol w:w="458"/>
              <w:gridCol w:w="454"/>
              <w:gridCol w:w="454"/>
              <w:gridCol w:w="458"/>
            </w:tblGrid>
            <w:tr w:rsidR="00A94811" w:rsidRPr="00A94811" w14:paraId="0177BCA5" w14:textId="77777777" w:rsidTr="00773D9D">
              <w:trPr>
                <w:trHeight w:val="529"/>
                <w:jc w:val="center"/>
              </w:trPr>
              <w:tc>
                <w:tcPr>
                  <w:tcW w:w="574" w:type="dxa"/>
                  <w:tcBorders>
                    <w:top w:val="outset" w:sz="6" w:space="0" w:color="auto"/>
                    <w:left w:val="outset" w:sz="6" w:space="0" w:color="auto"/>
                    <w:bottom w:val="outset" w:sz="6" w:space="0" w:color="auto"/>
                    <w:right w:val="outset" w:sz="6" w:space="0" w:color="auto"/>
                  </w:tcBorders>
                  <w:shd w:val="clear" w:color="auto" w:fill="auto"/>
                  <w:hideMark/>
                </w:tcPr>
                <w:p w14:paraId="7453BAA1"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Nivelul</w:t>
                  </w:r>
                  <w:proofErr w:type="spellEnd"/>
                  <w:r w:rsidRPr="00773D9D">
                    <w:rPr>
                      <w:b/>
                      <w:bCs/>
                      <w:sz w:val="16"/>
                      <w:szCs w:val="16"/>
                    </w:rPr>
                    <w:t xml:space="preserve"> de </w:t>
                  </w:r>
                  <w:proofErr w:type="spellStart"/>
                  <w:r w:rsidRPr="00773D9D">
                    <w:rPr>
                      <w:b/>
                      <w:bCs/>
                      <w:sz w:val="16"/>
                      <w:szCs w:val="16"/>
                    </w:rPr>
                    <w:t>calitate</w:t>
                  </w:r>
                  <w:proofErr w:type="spellEnd"/>
                  <w:r w:rsidRPr="00773D9D">
                    <w:rPr>
                      <w:b/>
                      <w:bCs/>
                      <w:sz w:val="16"/>
                      <w:szCs w:val="16"/>
                    </w:rPr>
                    <w:t xml:space="preserve"> a </w:t>
                  </w:r>
                  <w:proofErr w:type="spellStart"/>
                  <w:r w:rsidRPr="00773D9D">
                    <w:rPr>
                      <w:b/>
                      <w:bCs/>
                      <w:sz w:val="16"/>
                      <w:szCs w:val="16"/>
                    </w:rPr>
                    <w:t>creditului</w:t>
                  </w:r>
                  <w:proofErr w:type="spellEnd"/>
                  <w:r w:rsidRPr="00773D9D">
                    <w:rPr>
                      <w:b/>
                      <w:bCs/>
                      <w:sz w:val="16"/>
                      <w:szCs w:val="16"/>
                    </w:rPr>
                    <w:t xml:space="preserve"> cu care </w:t>
                  </w:r>
                  <w:proofErr w:type="spellStart"/>
                  <w:r w:rsidRPr="00773D9D">
                    <w:rPr>
                      <w:b/>
                      <w:bCs/>
                      <w:sz w:val="16"/>
                      <w:szCs w:val="16"/>
                    </w:rPr>
                    <w:t>este</w:t>
                  </w:r>
                  <w:proofErr w:type="spellEnd"/>
                  <w:r w:rsidRPr="00773D9D">
                    <w:rPr>
                      <w:b/>
                      <w:bCs/>
                      <w:sz w:val="16"/>
                      <w:szCs w:val="16"/>
                    </w:rPr>
                    <w:t xml:space="preserve"> </w:t>
                  </w:r>
                  <w:proofErr w:type="spellStart"/>
                  <w:r w:rsidRPr="00773D9D">
                    <w:rPr>
                      <w:b/>
                      <w:bCs/>
                      <w:sz w:val="16"/>
                      <w:szCs w:val="16"/>
                    </w:rPr>
                    <w:t>asociată</w:t>
                  </w:r>
                  <w:proofErr w:type="spellEnd"/>
                  <w:r w:rsidRPr="00773D9D">
                    <w:rPr>
                      <w:b/>
                      <w:bCs/>
                      <w:sz w:val="16"/>
                      <w:szCs w:val="16"/>
                    </w:rPr>
                    <w:t xml:space="preserve"> </w:t>
                  </w:r>
                  <w:proofErr w:type="spellStart"/>
                  <w:r w:rsidRPr="00773D9D">
                    <w:rPr>
                      <w:b/>
                      <w:bCs/>
                      <w:sz w:val="16"/>
                      <w:szCs w:val="16"/>
                    </w:rPr>
                    <w:t>evaluarea</w:t>
                  </w:r>
                  <w:proofErr w:type="spellEnd"/>
                  <w:r w:rsidRPr="00773D9D">
                    <w:rPr>
                      <w:b/>
                      <w:bCs/>
                      <w:sz w:val="16"/>
                      <w:szCs w:val="16"/>
                    </w:rPr>
                    <w:t xml:space="preserve"> de credit </w:t>
                  </w:r>
                  <w:proofErr w:type="spellStart"/>
                  <w:r w:rsidRPr="00773D9D">
                    <w:rPr>
                      <w:b/>
                      <w:bCs/>
                      <w:sz w:val="16"/>
                      <w:szCs w:val="16"/>
                    </w:rPr>
                    <w:t>pentru</w:t>
                  </w:r>
                  <w:proofErr w:type="spellEnd"/>
                  <w:r w:rsidRPr="00773D9D">
                    <w:rPr>
                      <w:b/>
                      <w:bCs/>
                      <w:sz w:val="16"/>
                      <w:szCs w:val="16"/>
                    </w:rPr>
                    <w:t xml:space="preserve"> </w:t>
                  </w:r>
                  <w:proofErr w:type="spellStart"/>
                  <w:r w:rsidRPr="00773D9D">
                    <w:rPr>
                      <w:b/>
                      <w:bCs/>
                      <w:sz w:val="16"/>
                      <w:szCs w:val="16"/>
                    </w:rPr>
                    <w:t>titlul</w:t>
                  </w:r>
                  <w:proofErr w:type="spellEnd"/>
                  <w:r w:rsidRPr="00773D9D">
                    <w:rPr>
                      <w:b/>
                      <w:bCs/>
                      <w:sz w:val="16"/>
                      <w:szCs w:val="16"/>
                    </w:rPr>
                    <w:t xml:space="preserve"> de </w:t>
                  </w:r>
                  <w:proofErr w:type="spellStart"/>
                  <w:r w:rsidRPr="00773D9D">
                    <w:rPr>
                      <w:b/>
                      <w:bCs/>
                      <w:sz w:val="16"/>
                      <w:szCs w:val="16"/>
                    </w:rPr>
                    <w:t>datorie</w:t>
                  </w:r>
                  <w:proofErr w:type="spellEnd"/>
                  <w:r w:rsidRPr="00773D9D">
                    <w:rPr>
                      <w:b/>
                      <w:bCs/>
                      <w:sz w:val="16"/>
                      <w:szCs w:val="16"/>
                    </w:rPr>
                    <w:t xml:space="preserve"> pe termen </w:t>
                  </w:r>
                  <w:proofErr w:type="spellStart"/>
                  <w:r w:rsidRPr="00773D9D">
                    <w:rPr>
                      <w:b/>
                      <w:bCs/>
                      <w:sz w:val="16"/>
                      <w:szCs w:val="16"/>
                    </w:rPr>
                    <w:t>scurt</w:t>
                  </w:r>
                  <w:proofErr w:type="spellEnd"/>
                </w:p>
              </w:tc>
              <w:tc>
                <w:tcPr>
                  <w:tcW w:w="515" w:type="dxa"/>
                  <w:tcBorders>
                    <w:top w:val="outset" w:sz="6" w:space="0" w:color="auto"/>
                    <w:left w:val="outset" w:sz="6" w:space="0" w:color="auto"/>
                    <w:bottom w:val="outset" w:sz="6" w:space="0" w:color="auto"/>
                    <w:right w:val="outset" w:sz="6" w:space="0" w:color="auto"/>
                  </w:tcBorders>
                  <w:shd w:val="clear" w:color="auto" w:fill="auto"/>
                  <w:hideMark/>
                </w:tcPr>
                <w:p w14:paraId="4B2BB5FD"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Scadența</w:t>
                  </w:r>
                  <w:proofErr w:type="spellEnd"/>
                  <w:r w:rsidRPr="00773D9D">
                    <w:rPr>
                      <w:b/>
                      <w:bCs/>
                      <w:sz w:val="16"/>
                      <w:szCs w:val="16"/>
                    </w:rPr>
                    <w:t xml:space="preserve"> </w:t>
                  </w:r>
                  <w:proofErr w:type="spellStart"/>
                  <w:r w:rsidRPr="00773D9D">
                    <w:rPr>
                      <w:b/>
                      <w:bCs/>
                      <w:sz w:val="16"/>
                      <w:szCs w:val="16"/>
                    </w:rPr>
                    <w:t>reziduală</w:t>
                  </w:r>
                  <w:proofErr w:type="spellEnd"/>
                  <w:r w:rsidRPr="00773D9D">
                    <w:rPr>
                      <w:b/>
                      <w:bCs/>
                      <w:sz w:val="16"/>
                      <w:szCs w:val="16"/>
                    </w:rPr>
                    <w:t xml:space="preserve"> (m), </w:t>
                  </w:r>
                  <w:proofErr w:type="spellStart"/>
                  <w:r w:rsidRPr="00773D9D">
                    <w:rPr>
                      <w:b/>
                      <w:bCs/>
                      <w:sz w:val="16"/>
                      <w:szCs w:val="16"/>
                    </w:rPr>
                    <w:t>exprimată</w:t>
                  </w:r>
                  <w:proofErr w:type="spellEnd"/>
                  <w:r w:rsidRPr="00773D9D">
                    <w:rPr>
                      <w:b/>
                      <w:bCs/>
                      <w:sz w:val="16"/>
                      <w:szCs w:val="16"/>
                    </w:rPr>
                    <w:t xml:space="preserve"> </w:t>
                  </w:r>
                  <w:proofErr w:type="spellStart"/>
                  <w:r w:rsidRPr="00773D9D">
                    <w:rPr>
                      <w:b/>
                      <w:bCs/>
                      <w:sz w:val="16"/>
                      <w:szCs w:val="16"/>
                    </w:rPr>
                    <w:t>în</w:t>
                  </w:r>
                  <w:proofErr w:type="spellEnd"/>
                  <w:r w:rsidRPr="00773D9D">
                    <w:rPr>
                      <w:b/>
                      <w:bCs/>
                      <w:sz w:val="16"/>
                      <w:szCs w:val="16"/>
                    </w:rPr>
                    <w:t xml:space="preserve"> ani</w:t>
                  </w:r>
                </w:p>
              </w:tc>
              <w:tc>
                <w:tcPr>
                  <w:tcW w:w="1364" w:type="dxa"/>
                  <w:gridSpan w:val="3"/>
                  <w:tcBorders>
                    <w:top w:val="outset" w:sz="6" w:space="0" w:color="auto"/>
                    <w:left w:val="outset" w:sz="6" w:space="0" w:color="auto"/>
                    <w:bottom w:val="outset" w:sz="6" w:space="0" w:color="auto"/>
                    <w:right w:val="outset" w:sz="6" w:space="0" w:color="auto"/>
                  </w:tcBorders>
                  <w:shd w:val="clear" w:color="auto" w:fill="auto"/>
                  <w:hideMark/>
                </w:tcPr>
                <w:p w14:paraId="66F17C5B"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Ajustările</w:t>
                  </w:r>
                  <w:proofErr w:type="spellEnd"/>
                  <w:r w:rsidRPr="00773D9D">
                    <w:rPr>
                      <w:b/>
                      <w:bCs/>
                      <w:sz w:val="16"/>
                      <w:szCs w:val="16"/>
                    </w:rPr>
                    <w:t xml:space="preserve"> de </w:t>
                  </w:r>
                  <w:proofErr w:type="spellStart"/>
                  <w:r w:rsidRPr="00773D9D">
                    <w:rPr>
                      <w:b/>
                      <w:bCs/>
                      <w:sz w:val="16"/>
                      <w:szCs w:val="16"/>
                    </w:rPr>
                    <w:t>volatilitate</w:t>
                  </w:r>
                  <w:proofErr w:type="spellEnd"/>
                  <w:r w:rsidRPr="00773D9D">
                    <w:rPr>
                      <w:b/>
                      <w:bCs/>
                      <w:sz w:val="16"/>
                      <w:szCs w:val="16"/>
                    </w:rPr>
                    <w:t xml:space="preserve"> </w:t>
                  </w:r>
                  <w:proofErr w:type="spellStart"/>
                  <w:r w:rsidRPr="00773D9D">
                    <w:rPr>
                      <w:b/>
                      <w:bCs/>
                      <w:sz w:val="16"/>
                      <w:szCs w:val="16"/>
                    </w:rPr>
                    <w:t>pentru</w:t>
                  </w:r>
                  <w:proofErr w:type="spellEnd"/>
                  <w:r w:rsidRPr="00773D9D">
                    <w:rPr>
                      <w:b/>
                      <w:bCs/>
                      <w:sz w:val="16"/>
                      <w:szCs w:val="16"/>
                    </w:rPr>
                    <w:t xml:space="preserve"> </w:t>
                  </w:r>
                  <w:proofErr w:type="spellStart"/>
                  <w:r w:rsidRPr="00773D9D">
                    <w:rPr>
                      <w:b/>
                      <w:bCs/>
                      <w:sz w:val="16"/>
                      <w:szCs w:val="16"/>
                    </w:rPr>
                    <w:t>titlurile</w:t>
                  </w:r>
                  <w:proofErr w:type="spellEnd"/>
                  <w:r w:rsidRPr="00773D9D">
                    <w:rPr>
                      <w:b/>
                      <w:bCs/>
                      <w:sz w:val="16"/>
                      <w:szCs w:val="16"/>
                    </w:rPr>
                    <w:t xml:space="preserve"> de </w:t>
                  </w:r>
                  <w:proofErr w:type="spellStart"/>
                  <w:r w:rsidRPr="00773D9D">
                    <w:rPr>
                      <w:b/>
                      <w:bCs/>
                      <w:sz w:val="16"/>
                      <w:szCs w:val="16"/>
                    </w:rPr>
                    <w:t>datorie</w:t>
                  </w:r>
                  <w:proofErr w:type="spellEnd"/>
                  <w:r w:rsidRPr="00773D9D">
                    <w:rPr>
                      <w:b/>
                      <w:bCs/>
                      <w:sz w:val="16"/>
                      <w:szCs w:val="16"/>
                    </w:rPr>
                    <w:t xml:space="preserve"> </w:t>
                  </w:r>
                  <w:proofErr w:type="spellStart"/>
                  <w:r w:rsidRPr="00773D9D">
                    <w:rPr>
                      <w:b/>
                      <w:bCs/>
                      <w:sz w:val="16"/>
                      <w:szCs w:val="16"/>
                    </w:rPr>
                    <w:t>emise</w:t>
                  </w:r>
                  <w:proofErr w:type="spellEnd"/>
                  <w:r w:rsidRPr="00773D9D">
                    <w:rPr>
                      <w:b/>
                      <w:bCs/>
                      <w:sz w:val="16"/>
                      <w:szCs w:val="16"/>
                    </w:rPr>
                    <w:t xml:space="preserve"> de </w:t>
                  </w:r>
                  <w:proofErr w:type="spellStart"/>
                  <w:r w:rsidRPr="00773D9D">
                    <w:rPr>
                      <w:b/>
                      <w:bCs/>
                      <w:sz w:val="16"/>
                      <w:szCs w:val="16"/>
                    </w:rPr>
                    <w:t>entitățile</w:t>
                  </w:r>
                  <w:proofErr w:type="spellEnd"/>
                  <w:r w:rsidRPr="00773D9D">
                    <w:rPr>
                      <w:b/>
                      <w:bCs/>
                      <w:sz w:val="16"/>
                      <w:szCs w:val="16"/>
                    </w:rPr>
                    <w:t xml:space="preserve"> </w:t>
                  </w:r>
                  <w:proofErr w:type="spellStart"/>
                  <w:r w:rsidRPr="00773D9D">
                    <w:rPr>
                      <w:b/>
                      <w:bCs/>
                      <w:sz w:val="16"/>
                      <w:szCs w:val="16"/>
                    </w:rPr>
                    <w:t>menționate</w:t>
                  </w:r>
                  <w:proofErr w:type="spellEnd"/>
                  <w:r w:rsidRPr="00773D9D">
                    <w:rPr>
                      <w:b/>
                      <w:bCs/>
                      <w:sz w:val="16"/>
                      <w:szCs w:val="16"/>
                    </w:rPr>
                    <w:t xml:space="preserve"> la </w:t>
                  </w:r>
                  <w:proofErr w:type="spellStart"/>
                  <w:r w:rsidRPr="00773D9D">
                    <w:rPr>
                      <w:b/>
                      <w:bCs/>
                      <w:sz w:val="16"/>
                      <w:szCs w:val="16"/>
                    </w:rPr>
                    <w:t>articolul</w:t>
                  </w:r>
                  <w:proofErr w:type="spellEnd"/>
                  <w:r w:rsidRPr="00773D9D">
                    <w:rPr>
                      <w:b/>
                      <w:bCs/>
                      <w:sz w:val="16"/>
                      <w:szCs w:val="16"/>
                    </w:rPr>
                    <w:t xml:space="preserve"> 197 </w:t>
                  </w:r>
                  <w:proofErr w:type="spellStart"/>
                  <w:r w:rsidRPr="00773D9D">
                    <w:rPr>
                      <w:b/>
                      <w:bCs/>
                      <w:sz w:val="16"/>
                      <w:szCs w:val="16"/>
                    </w:rPr>
                    <w:t>alineatul</w:t>
                  </w:r>
                  <w:proofErr w:type="spellEnd"/>
                  <w:r w:rsidRPr="00773D9D">
                    <w:rPr>
                      <w:b/>
                      <w:bCs/>
                      <w:sz w:val="16"/>
                      <w:szCs w:val="16"/>
                    </w:rPr>
                    <w:t xml:space="preserve"> (1) </w:t>
                  </w:r>
                  <w:proofErr w:type="spellStart"/>
                  <w:r w:rsidRPr="00773D9D">
                    <w:rPr>
                      <w:b/>
                      <w:bCs/>
                      <w:sz w:val="16"/>
                      <w:szCs w:val="16"/>
                    </w:rPr>
                    <w:t>litera</w:t>
                  </w:r>
                  <w:proofErr w:type="spellEnd"/>
                  <w:r w:rsidRPr="00773D9D">
                    <w:rPr>
                      <w:b/>
                      <w:bCs/>
                      <w:sz w:val="16"/>
                      <w:szCs w:val="16"/>
                    </w:rPr>
                    <w:t xml:space="preserve"> (b) </w:t>
                  </w:r>
                  <w:proofErr w:type="spellStart"/>
                  <w:r w:rsidRPr="00773D9D">
                    <w:rPr>
                      <w:b/>
                      <w:bCs/>
                      <w:sz w:val="16"/>
                      <w:szCs w:val="16"/>
                    </w:rPr>
                    <w:t>pentru</w:t>
                  </w:r>
                  <w:proofErr w:type="spellEnd"/>
                  <w:r w:rsidRPr="00773D9D">
                    <w:rPr>
                      <w:b/>
                      <w:bCs/>
                      <w:sz w:val="16"/>
                      <w:szCs w:val="16"/>
                    </w:rPr>
                    <w:t xml:space="preserve"> care s-au </w:t>
                  </w:r>
                  <w:proofErr w:type="spellStart"/>
                  <w:r w:rsidRPr="00773D9D">
                    <w:rPr>
                      <w:b/>
                      <w:bCs/>
                      <w:sz w:val="16"/>
                      <w:szCs w:val="16"/>
                    </w:rPr>
                    <w:t>efectuat</w:t>
                  </w:r>
                  <w:proofErr w:type="spellEnd"/>
                  <w:r w:rsidRPr="00773D9D">
                    <w:rPr>
                      <w:b/>
                      <w:bCs/>
                      <w:sz w:val="16"/>
                      <w:szCs w:val="16"/>
                    </w:rPr>
                    <w:t xml:space="preserve"> </w:t>
                  </w:r>
                  <w:proofErr w:type="spellStart"/>
                  <w:r w:rsidRPr="00773D9D">
                    <w:rPr>
                      <w:b/>
                      <w:bCs/>
                      <w:sz w:val="16"/>
                      <w:szCs w:val="16"/>
                    </w:rPr>
                    <w:t>evaluări</w:t>
                  </w:r>
                  <w:proofErr w:type="spellEnd"/>
                  <w:r w:rsidRPr="00773D9D">
                    <w:rPr>
                      <w:b/>
                      <w:bCs/>
                      <w:sz w:val="16"/>
                      <w:szCs w:val="16"/>
                    </w:rPr>
                    <w:t xml:space="preserve"> de credit pe termen </w:t>
                  </w:r>
                  <w:proofErr w:type="spellStart"/>
                  <w:r w:rsidRPr="00773D9D">
                    <w:rPr>
                      <w:b/>
                      <w:bCs/>
                      <w:sz w:val="16"/>
                      <w:szCs w:val="16"/>
                    </w:rPr>
                    <w:t>scurt</w:t>
                  </w:r>
                  <w:proofErr w:type="spellEnd"/>
                </w:p>
              </w:tc>
              <w:tc>
                <w:tcPr>
                  <w:tcW w:w="1366" w:type="dxa"/>
                  <w:gridSpan w:val="3"/>
                  <w:tcBorders>
                    <w:top w:val="outset" w:sz="6" w:space="0" w:color="auto"/>
                    <w:left w:val="outset" w:sz="6" w:space="0" w:color="auto"/>
                    <w:bottom w:val="outset" w:sz="6" w:space="0" w:color="auto"/>
                    <w:right w:val="outset" w:sz="6" w:space="0" w:color="auto"/>
                  </w:tcBorders>
                  <w:shd w:val="clear" w:color="auto" w:fill="auto"/>
                  <w:hideMark/>
                </w:tcPr>
                <w:p w14:paraId="593C99E8"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Ajustările</w:t>
                  </w:r>
                  <w:proofErr w:type="spellEnd"/>
                  <w:r w:rsidRPr="00773D9D">
                    <w:rPr>
                      <w:b/>
                      <w:bCs/>
                      <w:sz w:val="16"/>
                      <w:szCs w:val="16"/>
                    </w:rPr>
                    <w:t xml:space="preserve"> de </w:t>
                  </w:r>
                  <w:proofErr w:type="spellStart"/>
                  <w:r w:rsidRPr="00773D9D">
                    <w:rPr>
                      <w:b/>
                      <w:bCs/>
                      <w:sz w:val="16"/>
                      <w:szCs w:val="16"/>
                    </w:rPr>
                    <w:t>volatilitate</w:t>
                  </w:r>
                  <w:proofErr w:type="spellEnd"/>
                  <w:r w:rsidRPr="00773D9D">
                    <w:rPr>
                      <w:b/>
                      <w:bCs/>
                      <w:sz w:val="16"/>
                      <w:szCs w:val="16"/>
                    </w:rPr>
                    <w:t xml:space="preserve"> </w:t>
                  </w:r>
                  <w:proofErr w:type="spellStart"/>
                  <w:r w:rsidRPr="00773D9D">
                    <w:rPr>
                      <w:b/>
                      <w:bCs/>
                      <w:sz w:val="16"/>
                      <w:szCs w:val="16"/>
                    </w:rPr>
                    <w:t>pentru</w:t>
                  </w:r>
                  <w:proofErr w:type="spellEnd"/>
                  <w:r w:rsidRPr="00773D9D">
                    <w:rPr>
                      <w:b/>
                      <w:bCs/>
                      <w:sz w:val="16"/>
                      <w:szCs w:val="16"/>
                    </w:rPr>
                    <w:t xml:space="preserve"> </w:t>
                  </w:r>
                  <w:proofErr w:type="spellStart"/>
                  <w:r w:rsidRPr="00773D9D">
                    <w:rPr>
                      <w:b/>
                      <w:bCs/>
                      <w:sz w:val="16"/>
                      <w:szCs w:val="16"/>
                    </w:rPr>
                    <w:t>titlurile</w:t>
                  </w:r>
                  <w:proofErr w:type="spellEnd"/>
                  <w:r w:rsidRPr="00773D9D">
                    <w:rPr>
                      <w:b/>
                      <w:bCs/>
                      <w:sz w:val="16"/>
                      <w:szCs w:val="16"/>
                    </w:rPr>
                    <w:t xml:space="preserve"> de </w:t>
                  </w:r>
                  <w:proofErr w:type="spellStart"/>
                  <w:r w:rsidRPr="00773D9D">
                    <w:rPr>
                      <w:b/>
                      <w:bCs/>
                      <w:sz w:val="16"/>
                      <w:szCs w:val="16"/>
                    </w:rPr>
                    <w:t>datorie</w:t>
                  </w:r>
                  <w:proofErr w:type="spellEnd"/>
                  <w:r w:rsidRPr="00773D9D">
                    <w:rPr>
                      <w:b/>
                      <w:bCs/>
                      <w:sz w:val="16"/>
                      <w:szCs w:val="16"/>
                    </w:rPr>
                    <w:t xml:space="preserve"> </w:t>
                  </w:r>
                  <w:proofErr w:type="spellStart"/>
                  <w:r w:rsidRPr="00773D9D">
                    <w:rPr>
                      <w:b/>
                      <w:bCs/>
                      <w:sz w:val="16"/>
                      <w:szCs w:val="16"/>
                    </w:rPr>
                    <w:t>emise</w:t>
                  </w:r>
                  <w:proofErr w:type="spellEnd"/>
                  <w:r w:rsidRPr="00773D9D">
                    <w:rPr>
                      <w:b/>
                      <w:bCs/>
                      <w:sz w:val="16"/>
                      <w:szCs w:val="16"/>
                    </w:rPr>
                    <w:t xml:space="preserve"> de </w:t>
                  </w:r>
                  <w:proofErr w:type="spellStart"/>
                  <w:r w:rsidRPr="00773D9D">
                    <w:rPr>
                      <w:b/>
                      <w:bCs/>
                      <w:sz w:val="16"/>
                      <w:szCs w:val="16"/>
                    </w:rPr>
                    <w:t>entitățile</w:t>
                  </w:r>
                  <w:proofErr w:type="spellEnd"/>
                  <w:r w:rsidRPr="00773D9D">
                    <w:rPr>
                      <w:b/>
                      <w:bCs/>
                      <w:sz w:val="16"/>
                      <w:szCs w:val="16"/>
                    </w:rPr>
                    <w:t xml:space="preserve"> </w:t>
                  </w:r>
                  <w:proofErr w:type="spellStart"/>
                  <w:r w:rsidRPr="00773D9D">
                    <w:rPr>
                      <w:b/>
                      <w:bCs/>
                      <w:sz w:val="16"/>
                      <w:szCs w:val="16"/>
                    </w:rPr>
                    <w:t>menționate</w:t>
                  </w:r>
                  <w:proofErr w:type="spellEnd"/>
                  <w:r w:rsidRPr="00773D9D">
                    <w:rPr>
                      <w:b/>
                      <w:bCs/>
                      <w:sz w:val="16"/>
                      <w:szCs w:val="16"/>
                    </w:rPr>
                    <w:t xml:space="preserve"> la </w:t>
                  </w:r>
                  <w:proofErr w:type="spellStart"/>
                  <w:r w:rsidRPr="00773D9D">
                    <w:rPr>
                      <w:b/>
                      <w:bCs/>
                      <w:sz w:val="16"/>
                      <w:szCs w:val="16"/>
                    </w:rPr>
                    <w:t>articolul</w:t>
                  </w:r>
                  <w:proofErr w:type="spellEnd"/>
                  <w:r w:rsidRPr="00773D9D">
                    <w:rPr>
                      <w:b/>
                      <w:bCs/>
                      <w:sz w:val="16"/>
                      <w:szCs w:val="16"/>
                    </w:rPr>
                    <w:t xml:space="preserve"> 197 </w:t>
                  </w:r>
                  <w:proofErr w:type="spellStart"/>
                  <w:r w:rsidRPr="00773D9D">
                    <w:rPr>
                      <w:b/>
                      <w:bCs/>
                      <w:sz w:val="16"/>
                      <w:szCs w:val="16"/>
                    </w:rPr>
                    <w:t>alineatul</w:t>
                  </w:r>
                  <w:proofErr w:type="spellEnd"/>
                  <w:r w:rsidRPr="00773D9D">
                    <w:rPr>
                      <w:b/>
                      <w:bCs/>
                      <w:sz w:val="16"/>
                      <w:szCs w:val="16"/>
                    </w:rPr>
                    <w:t xml:space="preserve"> (1) </w:t>
                  </w:r>
                  <w:proofErr w:type="spellStart"/>
                  <w:r w:rsidRPr="00773D9D">
                    <w:rPr>
                      <w:b/>
                      <w:bCs/>
                      <w:sz w:val="16"/>
                      <w:szCs w:val="16"/>
                    </w:rPr>
                    <w:t>literele</w:t>
                  </w:r>
                  <w:proofErr w:type="spellEnd"/>
                  <w:r w:rsidRPr="00773D9D">
                    <w:rPr>
                      <w:b/>
                      <w:bCs/>
                      <w:sz w:val="16"/>
                      <w:szCs w:val="16"/>
                    </w:rPr>
                    <w:t xml:space="preserve"> (c) </w:t>
                  </w:r>
                  <w:proofErr w:type="spellStart"/>
                  <w:r w:rsidRPr="00773D9D">
                    <w:rPr>
                      <w:b/>
                      <w:bCs/>
                      <w:sz w:val="16"/>
                      <w:szCs w:val="16"/>
                    </w:rPr>
                    <w:t>și</w:t>
                  </w:r>
                  <w:proofErr w:type="spellEnd"/>
                  <w:r w:rsidRPr="00773D9D">
                    <w:rPr>
                      <w:b/>
                      <w:bCs/>
                      <w:sz w:val="16"/>
                      <w:szCs w:val="16"/>
                    </w:rPr>
                    <w:t xml:space="preserve"> (d) </w:t>
                  </w:r>
                  <w:proofErr w:type="spellStart"/>
                  <w:r w:rsidRPr="00773D9D">
                    <w:rPr>
                      <w:b/>
                      <w:bCs/>
                      <w:sz w:val="16"/>
                      <w:szCs w:val="16"/>
                    </w:rPr>
                    <w:t>pentru</w:t>
                  </w:r>
                  <w:proofErr w:type="spellEnd"/>
                  <w:r w:rsidRPr="00773D9D">
                    <w:rPr>
                      <w:b/>
                      <w:bCs/>
                      <w:sz w:val="16"/>
                      <w:szCs w:val="16"/>
                    </w:rPr>
                    <w:t xml:space="preserve"> care s-au </w:t>
                  </w:r>
                  <w:proofErr w:type="spellStart"/>
                  <w:r w:rsidRPr="00773D9D">
                    <w:rPr>
                      <w:b/>
                      <w:bCs/>
                      <w:sz w:val="16"/>
                      <w:szCs w:val="16"/>
                    </w:rPr>
                    <w:t>efectuat</w:t>
                  </w:r>
                  <w:proofErr w:type="spellEnd"/>
                  <w:r w:rsidRPr="00773D9D">
                    <w:rPr>
                      <w:b/>
                      <w:bCs/>
                      <w:sz w:val="16"/>
                      <w:szCs w:val="16"/>
                    </w:rPr>
                    <w:t xml:space="preserve"> </w:t>
                  </w:r>
                  <w:proofErr w:type="spellStart"/>
                  <w:r w:rsidRPr="00773D9D">
                    <w:rPr>
                      <w:b/>
                      <w:bCs/>
                      <w:sz w:val="16"/>
                      <w:szCs w:val="16"/>
                    </w:rPr>
                    <w:t>evaluări</w:t>
                  </w:r>
                  <w:proofErr w:type="spellEnd"/>
                  <w:r w:rsidRPr="00773D9D">
                    <w:rPr>
                      <w:b/>
                      <w:bCs/>
                      <w:sz w:val="16"/>
                      <w:szCs w:val="16"/>
                    </w:rPr>
                    <w:t xml:space="preserve"> de credit pe termen </w:t>
                  </w:r>
                  <w:proofErr w:type="spellStart"/>
                  <w:r w:rsidRPr="00773D9D">
                    <w:rPr>
                      <w:b/>
                      <w:bCs/>
                      <w:sz w:val="16"/>
                      <w:szCs w:val="16"/>
                    </w:rPr>
                    <w:t>scurt</w:t>
                  </w:r>
                  <w:proofErr w:type="spellEnd"/>
                </w:p>
              </w:tc>
              <w:tc>
                <w:tcPr>
                  <w:tcW w:w="1366" w:type="dxa"/>
                  <w:gridSpan w:val="3"/>
                  <w:tcBorders>
                    <w:top w:val="outset" w:sz="6" w:space="0" w:color="auto"/>
                    <w:left w:val="outset" w:sz="6" w:space="0" w:color="auto"/>
                    <w:bottom w:val="outset" w:sz="6" w:space="0" w:color="auto"/>
                    <w:right w:val="outset" w:sz="6" w:space="0" w:color="auto"/>
                  </w:tcBorders>
                  <w:shd w:val="clear" w:color="auto" w:fill="auto"/>
                  <w:hideMark/>
                </w:tcPr>
                <w:p w14:paraId="04E933E0"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Ajustările</w:t>
                  </w:r>
                  <w:proofErr w:type="spellEnd"/>
                  <w:r w:rsidRPr="00773D9D">
                    <w:rPr>
                      <w:b/>
                      <w:bCs/>
                      <w:sz w:val="16"/>
                      <w:szCs w:val="16"/>
                    </w:rPr>
                    <w:t xml:space="preserve"> de </w:t>
                  </w:r>
                  <w:proofErr w:type="spellStart"/>
                  <w:r w:rsidRPr="00773D9D">
                    <w:rPr>
                      <w:b/>
                      <w:bCs/>
                      <w:sz w:val="16"/>
                      <w:szCs w:val="16"/>
                    </w:rPr>
                    <w:t>volatilitate</w:t>
                  </w:r>
                  <w:proofErr w:type="spellEnd"/>
                  <w:r w:rsidRPr="00773D9D">
                    <w:rPr>
                      <w:b/>
                      <w:bCs/>
                      <w:sz w:val="16"/>
                      <w:szCs w:val="16"/>
                    </w:rPr>
                    <w:t xml:space="preserve"> </w:t>
                  </w:r>
                  <w:proofErr w:type="spellStart"/>
                  <w:r w:rsidRPr="00773D9D">
                    <w:rPr>
                      <w:b/>
                      <w:bCs/>
                      <w:sz w:val="16"/>
                      <w:szCs w:val="16"/>
                    </w:rPr>
                    <w:t>pentru</w:t>
                  </w:r>
                  <w:proofErr w:type="spellEnd"/>
                  <w:r w:rsidRPr="00773D9D">
                    <w:rPr>
                      <w:b/>
                      <w:bCs/>
                      <w:sz w:val="16"/>
                      <w:szCs w:val="16"/>
                    </w:rPr>
                    <w:t xml:space="preserve"> </w:t>
                  </w:r>
                  <w:proofErr w:type="spellStart"/>
                  <w:r w:rsidRPr="00773D9D">
                    <w:rPr>
                      <w:b/>
                      <w:bCs/>
                      <w:sz w:val="16"/>
                      <w:szCs w:val="16"/>
                    </w:rPr>
                    <w:t>pozițiile</w:t>
                  </w:r>
                  <w:proofErr w:type="spellEnd"/>
                  <w:r w:rsidRPr="00773D9D">
                    <w:rPr>
                      <w:b/>
                      <w:bCs/>
                      <w:sz w:val="16"/>
                      <w:szCs w:val="16"/>
                    </w:rPr>
                    <w:t xml:space="preserve"> din </w:t>
                  </w:r>
                  <w:proofErr w:type="spellStart"/>
                  <w:r w:rsidRPr="00773D9D">
                    <w:rPr>
                      <w:b/>
                      <w:bCs/>
                      <w:sz w:val="16"/>
                      <w:szCs w:val="16"/>
                    </w:rPr>
                    <w:t>securitizare</w:t>
                  </w:r>
                  <w:proofErr w:type="spellEnd"/>
                  <w:r w:rsidRPr="00773D9D">
                    <w:rPr>
                      <w:b/>
                      <w:bCs/>
                      <w:sz w:val="16"/>
                      <w:szCs w:val="16"/>
                    </w:rPr>
                    <w:t xml:space="preserve"> care </w:t>
                  </w:r>
                  <w:proofErr w:type="spellStart"/>
                  <w:r w:rsidRPr="00773D9D">
                    <w:rPr>
                      <w:b/>
                      <w:bCs/>
                      <w:sz w:val="16"/>
                      <w:szCs w:val="16"/>
                    </w:rPr>
                    <w:t>îndeplinesc</w:t>
                  </w:r>
                  <w:proofErr w:type="spellEnd"/>
                  <w:r w:rsidRPr="00773D9D">
                    <w:rPr>
                      <w:b/>
                      <w:bCs/>
                      <w:sz w:val="16"/>
                      <w:szCs w:val="16"/>
                    </w:rPr>
                    <w:t xml:space="preserve"> </w:t>
                  </w:r>
                  <w:proofErr w:type="spellStart"/>
                  <w:r w:rsidRPr="00773D9D">
                    <w:rPr>
                      <w:b/>
                      <w:bCs/>
                      <w:sz w:val="16"/>
                      <w:szCs w:val="16"/>
                    </w:rPr>
                    <w:t>criteriile</w:t>
                  </w:r>
                  <w:proofErr w:type="spellEnd"/>
                  <w:r w:rsidRPr="00773D9D">
                    <w:rPr>
                      <w:b/>
                      <w:bCs/>
                      <w:sz w:val="16"/>
                      <w:szCs w:val="16"/>
                    </w:rPr>
                    <w:t xml:space="preserve"> </w:t>
                  </w:r>
                  <w:proofErr w:type="spellStart"/>
                  <w:r w:rsidRPr="00773D9D">
                    <w:rPr>
                      <w:b/>
                      <w:bCs/>
                      <w:sz w:val="16"/>
                      <w:szCs w:val="16"/>
                    </w:rPr>
                    <w:t>stabilite</w:t>
                  </w:r>
                  <w:proofErr w:type="spellEnd"/>
                  <w:r w:rsidRPr="00773D9D">
                    <w:rPr>
                      <w:b/>
                      <w:bCs/>
                      <w:sz w:val="16"/>
                      <w:szCs w:val="16"/>
                    </w:rPr>
                    <w:t xml:space="preserve"> la </w:t>
                  </w:r>
                  <w:proofErr w:type="spellStart"/>
                  <w:r w:rsidRPr="00773D9D">
                    <w:rPr>
                      <w:b/>
                      <w:bCs/>
                      <w:sz w:val="16"/>
                      <w:szCs w:val="16"/>
                    </w:rPr>
                    <w:t>articolul</w:t>
                  </w:r>
                  <w:proofErr w:type="spellEnd"/>
                  <w:r w:rsidRPr="00773D9D">
                    <w:rPr>
                      <w:b/>
                      <w:bCs/>
                      <w:sz w:val="16"/>
                      <w:szCs w:val="16"/>
                    </w:rPr>
                    <w:t xml:space="preserve"> 197 </w:t>
                  </w:r>
                  <w:proofErr w:type="spellStart"/>
                  <w:r w:rsidRPr="00773D9D">
                    <w:rPr>
                      <w:b/>
                      <w:bCs/>
                      <w:sz w:val="16"/>
                      <w:szCs w:val="16"/>
                    </w:rPr>
                    <w:t>alineatul</w:t>
                  </w:r>
                  <w:proofErr w:type="spellEnd"/>
                  <w:r w:rsidRPr="00773D9D">
                    <w:rPr>
                      <w:b/>
                      <w:bCs/>
                      <w:sz w:val="16"/>
                      <w:szCs w:val="16"/>
                    </w:rPr>
                    <w:t xml:space="preserve"> (1) </w:t>
                  </w:r>
                  <w:proofErr w:type="spellStart"/>
                  <w:r w:rsidRPr="00773D9D">
                    <w:rPr>
                      <w:b/>
                      <w:bCs/>
                      <w:sz w:val="16"/>
                      <w:szCs w:val="16"/>
                    </w:rPr>
                    <w:t>litera</w:t>
                  </w:r>
                  <w:proofErr w:type="spellEnd"/>
                  <w:r w:rsidRPr="00773D9D">
                    <w:rPr>
                      <w:b/>
                      <w:bCs/>
                      <w:sz w:val="16"/>
                      <w:szCs w:val="16"/>
                    </w:rPr>
                    <w:t xml:space="preserve"> (h) </w:t>
                  </w:r>
                  <w:proofErr w:type="spellStart"/>
                  <w:r w:rsidRPr="00773D9D">
                    <w:rPr>
                      <w:b/>
                      <w:bCs/>
                      <w:sz w:val="16"/>
                      <w:szCs w:val="16"/>
                    </w:rPr>
                    <w:t>pentru</w:t>
                  </w:r>
                  <w:proofErr w:type="spellEnd"/>
                  <w:r w:rsidRPr="00773D9D">
                    <w:rPr>
                      <w:b/>
                      <w:bCs/>
                      <w:sz w:val="16"/>
                      <w:szCs w:val="16"/>
                    </w:rPr>
                    <w:t xml:space="preserve"> care s-au </w:t>
                  </w:r>
                  <w:proofErr w:type="spellStart"/>
                  <w:r w:rsidRPr="00773D9D">
                    <w:rPr>
                      <w:b/>
                      <w:bCs/>
                      <w:sz w:val="16"/>
                      <w:szCs w:val="16"/>
                    </w:rPr>
                    <w:t>efectuat</w:t>
                  </w:r>
                  <w:proofErr w:type="spellEnd"/>
                  <w:r w:rsidRPr="00773D9D">
                    <w:rPr>
                      <w:b/>
                      <w:bCs/>
                      <w:sz w:val="16"/>
                      <w:szCs w:val="16"/>
                    </w:rPr>
                    <w:t xml:space="preserve"> </w:t>
                  </w:r>
                  <w:proofErr w:type="spellStart"/>
                  <w:r w:rsidRPr="00773D9D">
                    <w:rPr>
                      <w:b/>
                      <w:bCs/>
                      <w:sz w:val="16"/>
                      <w:szCs w:val="16"/>
                    </w:rPr>
                    <w:t>evaluări</w:t>
                  </w:r>
                  <w:proofErr w:type="spellEnd"/>
                  <w:r w:rsidRPr="00773D9D">
                    <w:rPr>
                      <w:b/>
                      <w:bCs/>
                      <w:sz w:val="16"/>
                      <w:szCs w:val="16"/>
                    </w:rPr>
                    <w:t xml:space="preserve"> de credit pe termen </w:t>
                  </w:r>
                  <w:proofErr w:type="spellStart"/>
                  <w:r w:rsidRPr="00773D9D">
                    <w:rPr>
                      <w:b/>
                      <w:bCs/>
                      <w:sz w:val="16"/>
                      <w:szCs w:val="16"/>
                    </w:rPr>
                    <w:t>scurt</w:t>
                  </w:r>
                  <w:proofErr w:type="spellEnd"/>
                </w:p>
              </w:tc>
            </w:tr>
            <w:tr w:rsidR="00A94811" w:rsidRPr="00A94811" w14:paraId="6DAC1B97" w14:textId="77777777" w:rsidTr="00A94811">
              <w:trPr>
                <w:trHeight w:val="1581"/>
                <w:jc w:val="center"/>
              </w:trPr>
              <w:tc>
                <w:tcPr>
                  <w:tcW w:w="574" w:type="dxa"/>
                  <w:tcBorders>
                    <w:top w:val="outset" w:sz="6" w:space="0" w:color="auto"/>
                    <w:left w:val="outset" w:sz="6" w:space="0" w:color="auto"/>
                    <w:bottom w:val="outset" w:sz="6" w:space="0" w:color="auto"/>
                    <w:right w:val="outset" w:sz="6" w:space="0" w:color="auto"/>
                  </w:tcBorders>
                  <w:shd w:val="clear" w:color="auto" w:fill="auto"/>
                  <w:hideMark/>
                </w:tcPr>
                <w:p w14:paraId="698CB61E" w14:textId="77777777" w:rsidR="00A94811" w:rsidRPr="00773D9D" w:rsidRDefault="00A94811" w:rsidP="00A94811">
                  <w:pPr>
                    <w:pStyle w:val="Normal5"/>
                    <w:spacing w:before="0" w:beforeAutospacing="0" w:after="0" w:afterAutospacing="0" w:line="312" w:lineRule="atLeast"/>
                    <w:rPr>
                      <w:b/>
                      <w:bCs/>
                      <w:sz w:val="16"/>
                      <w:szCs w:val="16"/>
                    </w:rPr>
                  </w:pPr>
                  <w:r w:rsidRPr="00773D9D">
                    <w:rPr>
                      <w:b/>
                      <w:bCs/>
                      <w:sz w:val="16"/>
                      <w:szCs w:val="16"/>
                    </w:rPr>
                    <w:t> </w:t>
                  </w:r>
                </w:p>
              </w:tc>
              <w:tc>
                <w:tcPr>
                  <w:tcW w:w="515" w:type="dxa"/>
                  <w:tcBorders>
                    <w:top w:val="outset" w:sz="6" w:space="0" w:color="auto"/>
                    <w:left w:val="outset" w:sz="6" w:space="0" w:color="auto"/>
                    <w:bottom w:val="outset" w:sz="6" w:space="0" w:color="auto"/>
                    <w:right w:val="outset" w:sz="6" w:space="0" w:color="auto"/>
                  </w:tcBorders>
                  <w:shd w:val="clear" w:color="auto" w:fill="auto"/>
                  <w:hideMark/>
                </w:tcPr>
                <w:p w14:paraId="5633953C" w14:textId="77777777" w:rsidR="00A94811" w:rsidRPr="00773D9D" w:rsidRDefault="00A94811" w:rsidP="00A94811">
                  <w:pPr>
                    <w:pStyle w:val="Normal5"/>
                    <w:spacing w:before="0" w:beforeAutospacing="0" w:after="0" w:afterAutospacing="0" w:line="312" w:lineRule="atLeast"/>
                    <w:rPr>
                      <w:b/>
                      <w:bCs/>
                      <w:sz w:val="16"/>
                      <w:szCs w:val="16"/>
                    </w:rPr>
                  </w:pPr>
                  <w:r w:rsidRPr="00773D9D">
                    <w:rPr>
                      <w:b/>
                      <w:bCs/>
                      <w:sz w:val="16"/>
                      <w:szCs w:val="16"/>
                    </w:rPr>
                    <w:t> </w:t>
                  </w:r>
                </w:p>
              </w:tc>
              <w:tc>
                <w:tcPr>
                  <w:tcW w:w="453" w:type="dxa"/>
                  <w:tcBorders>
                    <w:top w:val="outset" w:sz="6" w:space="0" w:color="auto"/>
                    <w:left w:val="outset" w:sz="6" w:space="0" w:color="auto"/>
                    <w:bottom w:val="outset" w:sz="6" w:space="0" w:color="auto"/>
                    <w:right w:val="outset" w:sz="6" w:space="0" w:color="auto"/>
                  </w:tcBorders>
                  <w:shd w:val="clear" w:color="auto" w:fill="auto"/>
                  <w:hideMark/>
                </w:tcPr>
                <w:p w14:paraId="13F0F92A"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20 de </w:t>
                  </w:r>
                  <w:proofErr w:type="spellStart"/>
                  <w:r w:rsidRPr="00773D9D">
                    <w:rPr>
                      <w:b/>
                      <w:bCs/>
                      <w:sz w:val="16"/>
                      <w:szCs w:val="16"/>
                    </w:rPr>
                    <w:t>zile</w:t>
                  </w:r>
                  <w:proofErr w:type="spellEnd"/>
                  <w:r w:rsidRPr="00773D9D">
                    <w:rPr>
                      <w:b/>
                      <w:bCs/>
                      <w:sz w:val="16"/>
                      <w:szCs w:val="16"/>
                    </w:rPr>
                    <w:t xml:space="preserve"> (%)</w:t>
                  </w:r>
                </w:p>
              </w:tc>
              <w:tc>
                <w:tcPr>
                  <w:tcW w:w="453" w:type="dxa"/>
                  <w:tcBorders>
                    <w:top w:val="outset" w:sz="6" w:space="0" w:color="auto"/>
                    <w:left w:val="outset" w:sz="6" w:space="0" w:color="auto"/>
                    <w:bottom w:val="outset" w:sz="6" w:space="0" w:color="auto"/>
                    <w:right w:val="outset" w:sz="6" w:space="0" w:color="auto"/>
                  </w:tcBorders>
                  <w:shd w:val="clear" w:color="auto" w:fill="auto"/>
                  <w:hideMark/>
                </w:tcPr>
                <w:p w14:paraId="1E9375FC"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10 </w:t>
                  </w:r>
                  <w:proofErr w:type="spellStart"/>
                  <w:r w:rsidRPr="00773D9D">
                    <w:rPr>
                      <w:b/>
                      <w:bCs/>
                      <w:sz w:val="16"/>
                      <w:szCs w:val="16"/>
                    </w:rPr>
                    <w:t>zile</w:t>
                  </w:r>
                  <w:proofErr w:type="spellEnd"/>
                  <w:r w:rsidRPr="00773D9D">
                    <w:rPr>
                      <w:b/>
                      <w:bCs/>
                      <w:sz w:val="16"/>
                      <w:szCs w:val="16"/>
                    </w:rPr>
                    <w:t xml:space="preserve"> (%)</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1A220117"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5 </w:t>
                  </w:r>
                  <w:proofErr w:type="spellStart"/>
                  <w:r w:rsidRPr="00773D9D">
                    <w:rPr>
                      <w:b/>
                      <w:bCs/>
                      <w:sz w:val="16"/>
                      <w:szCs w:val="16"/>
                    </w:rPr>
                    <w:t>zile</w:t>
                  </w:r>
                  <w:proofErr w:type="spellEnd"/>
                  <w:r w:rsidRPr="00773D9D">
                    <w:rPr>
                      <w:b/>
                      <w:bCs/>
                      <w:sz w:val="16"/>
                      <w:szCs w:val="16"/>
                    </w:rPr>
                    <w:t xml:space="preserve"> (%)</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2590A034"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20 de </w:t>
                  </w:r>
                  <w:proofErr w:type="spellStart"/>
                  <w:r w:rsidRPr="00773D9D">
                    <w:rPr>
                      <w:b/>
                      <w:bCs/>
                      <w:sz w:val="16"/>
                      <w:szCs w:val="16"/>
                    </w:rPr>
                    <w:t>zile</w:t>
                  </w:r>
                  <w:proofErr w:type="spellEnd"/>
                  <w:r w:rsidRPr="00773D9D">
                    <w:rPr>
                      <w:b/>
                      <w:bCs/>
                      <w:sz w:val="16"/>
                      <w:szCs w:val="16"/>
                    </w:rPr>
                    <w:t xml:space="preserve"> (%)</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385EC45B"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10 </w:t>
                  </w:r>
                  <w:proofErr w:type="spellStart"/>
                  <w:r w:rsidRPr="00773D9D">
                    <w:rPr>
                      <w:b/>
                      <w:bCs/>
                      <w:sz w:val="16"/>
                      <w:szCs w:val="16"/>
                    </w:rPr>
                    <w:t>zile</w:t>
                  </w:r>
                  <w:proofErr w:type="spellEnd"/>
                  <w:r w:rsidRPr="00773D9D">
                    <w:rPr>
                      <w:b/>
                      <w:bCs/>
                      <w:sz w:val="16"/>
                      <w:szCs w:val="16"/>
                    </w:rPr>
                    <w:t xml:space="preserve"> (%)</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269FAC41"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5 </w:t>
                  </w:r>
                  <w:proofErr w:type="spellStart"/>
                  <w:r w:rsidRPr="00773D9D">
                    <w:rPr>
                      <w:b/>
                      <w:bCs/>
                      <w:sz w:val="16"/>
                      <w:szCs w:val="16"/>
                    </w:rPr>
                    <w:t>zile</w:t>
                  </w:r>
                  <w:proofErr w:type="spellEnd"/>
                  <w:r w:rsidRPr="00773D9D">
                    <w:rPr>
                      <w:b/>
                      <w:bCs/>
                      <w:sz w:val="16"/>
                      <w:szCs w:val="16"/>
                    </w:rPr>
                    <w:t xml:space="preserve"> (%)</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56A0013E"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20 de </w:t>
                  </w:r>
                  <w:proofErr w:type="spellStart"/>
                  <w:r w:rsidRPr="00773D9D">
                    <w:rPr>
                      <w:b/>
                      <w:bCs/>
                      <w:sz w:val="16"/>
                      <w:szCs w:val="16"/>
                    </w:rPr>
                    <w:t>zile</w:t>
                  </w:r>
                  <w:proofErr w:type="spellEnd"/>
                  <w:r w:rsidRPr="00773D9D">
                    <w:rPr>
                      <w:b/>
                      <w:bCs/>
                      <w:sz w:val="16"/>
                      <w:szCs w:val="16"/>
                    </w:rPr>
                    <w:t xml:space="preserve"> (%)</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535C9A3D"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10 </w:t>
                  </w:r>
                  <w:proofErr w:type="spellStart"/>
                  <w:r w:rsidRPr="00773D9D">
                    <w:rPr>
                      <w:b/>
                      <w:bCs/>
                      <w:sz w:val="16"/>
                      <w:szCs w:val="16"/>
                    </w:rPr>
                    <w:t>zile</w:t>
                  </w:r>
                  <w:proofErr w:type="spellEnd"/>
                  <w:r w:rsidRPr="00773D9D">
                    <w:rPr>
                      <w:b/>
                      <w:bCs/>
                      <w:sz w:val="16"/>
                      <w:szCs w:val="16"/>
                    </w:rPr>
                    <w:t xml:space="preserve"> (%)</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2295F386" w14:textId="77777777" w:rsidR="00A94811" w:rsidRPr="00773D9D" w:rsidRDefault="00A94811" w:rsidP="00A94811">
                  <w:pPr>
                    <w:pStyle w:val="tbl-norm"/>
                    <w:spacing w:line="312" w:lineRule="atLeast"/>
                    <w:rPr>
                      <w:b/>
                      <w:bCs/>
                      <w:sz w:val="16"/>
                      <w:szCs w:val="16"/>
                    </w:rPr>
                  </w:pPr>
                  <w:proofErr w:type="spellStart"/>
                  <w:r w:rsidRPr="00773D9D">
                    <w:rPr>
                      <w:b/>
                      <w:bCs/>
                      <w:sz w:val="16"/>
                      <w:szCs w:val="16"/>
                    </w:rPr>
                    <w:t>Perioadă</w:t>
                  </w:r>
                  <w:proofErr w:type="spellEnd"/>
                  <w:r w:rsidRPr="00773D9D">
                    <w:rPr>
                      <w:b/>
                      <w:bCs/>
                      <w:sz w:val="16"/>
                      <w:szCs w:val="16"/>
                    </w:rPr>
                    <w:t xml:space="preserve"> de </w:t>
                  </w:r>
                  <w:proofErr w:type="spellStart"/>
                  <w:r w:rsidRPr="00773D9D">
                    <w:rPr>
                      <w:b/>
                      <w:bCs/>
                      <w:sz w:val="16"/>
                      <w:szCs w:val="16"/>
                    </w:rPr>
                    <w:t>deținere</w:t>
                  </w:r>
                  <w:proofErr w:type="spellEnd"/>
                  <w:r w:rsidRPr="00773D9D">
                    <w:rPr>
                      <w:b/>
                      <w:bCs/>
                      <w:sz w:val="16"/>
                      <w:szCs w:val="16"/>
                    </w:rPr>
                    <w:t xml:space="preserve"> de 5 </w:t>
                  </w:r>
                  <w:proofErr w:type="spellStart"/>
                  <w:r w:rsidRPr="00773D9D">
                    <w:rPr>
                      <w:b/>
                      <w:bCs/>
                      <w:sz w:val="16"/>
                      <w:szCs w:val="16"/>
                    </w:rPr>
                    <w:t>zile</w:t>
                  </w:r>
                  <w:proofErr w:type="spellEnd"/>
                  <w:r w:rsidRPr="00773D9D">
                    <w:rPr>
                      <w:b/>
                      <w:bCs/>
                      <w:sz w:val="16"/>
                      <w:szCs w:val="16"/>
                    </w:rPr>
                    <w:t xml:space="preserve"> (%)</w:t>
                  </w:r>
                </w:p>
              </w:tc>
            </w:tr>
            <w:tr w:rsidR="00A94811" w:rsidRPr="00A94811" w14:paraId="1A07663C" w14:textId="77777777" w:rsidTr="00A94811">
              <w:trPr>
                <w:trHeight w:val="394"/>
                <w:jc w:val="center"/>
              </w:trPr>
              <w:tc>
                <w:tcPr>
                  <w:tcW w:w="574" w:type="dxa"/>
                  <w:tcBorders>
                    <w:top w:val="outset" w:sz="6" w:space="0" w:color="auto"/>
                    <w:left w:val="outset" w:sz="6" w:space="0" w:color="auto"/>
                    <w:bottom w:val="outset" w:sz="6" w:space="0" w:color="auto"/>
                    <w:right w:val="outset" w:sz="6" w:space="0" w:color="auto"/>
                  </w:tcBorders>
                  <w:shd w:val="clear" w:color="auto" w:fill="auto"/>
                  <w:hideMark/>
                </w:tcPr>
                <w:p w14:paraId="7EAB6DBB" w14:textId="77777777" w:rsidR="00A94811" w:rsidRPr="00773D9D" w:rsidRDefault="00A94811" w:rsidP="00A94811">
                  <w:pPr>
                    <w:pStyle w:val="tbl-norm"/>
                    <w:spacing w:line="312" w:lineRule="atLeast"/>
                    <w:rPr>
                      <w:sz w:val="16"/>
                      <w:szCs w:val="16"/>
                    </w:rPr>
                  </w:pPr>
                  <w:r w:rsidRPr="00773D9D">
                    <w:rPr>
                      <w:sz w:val="16"/>
                      <w:szCs w:val="16"/>
                    </w:rPr>
                    <w:t>1</w:t>
                  </w:r>
                </w:p>
              </w:tc>
              <w:tc>
                <w:tcPr>
                  <w:tcW w:w="515" w:type="dxa"/>
                  <w:tcBorders>
                    <w:top w:val="outset" w:sz="6" w:space="0" w:color="auto"/>
                    <w:left w:val="outset" w:sz="6" w:space="0" w:color="auto"/>
                    <w:bottom w:val="outset" w:sz="6" w:space="0" w:color="auto"/>
                    <w:right w:val="outset" w:sz="6" w:space="0" w:color="auto"/>
                  </w:tcBorders>
                  <w:shd w:val="clear" w:color="auto" w:fill="auto"/>
                  <w:hideMark/>
                </w:tcPr>
                <w:p w14:paraId="119DA522" w14:textId="77777777" w:rsidR="00A94811" w:rsidRPr="00773D9D" w:rsidRDefault="00A94811" w:rsidP="00A94811">
                  <w:pPr>
                    <w:pStyle w:val="Normal5"/>
                    <w:spacing w:before="0" w:beforeAutospacing="0" w:after="0" w:afterAutospacing="0" w:line="312" w:lineRule="atLeast"/>
                    <w:rPr>
                      <w:sz w:val="16"/>
                      <w:szCs w:val="16"/>
                    </w:rPr>
                  </w:pPr>
                  <w:r w:rsidRPr="00773D9D">
                    <w:rPr>
                      <w:sz w:val="16"/>
                      <w:szCs w:val="16"/>
                    </w:rPr>
                    <w:t> </w:t>
                  </w:r>
                </w:p>
              </w:tc>
              <w:tc>
                <w:tcPr>
                  <w:tcW w:w="453" w:type="dxa"/>
                  <w:tcBorders>
                    <w:top w:val="outset" w:sz="6" w:space="0" w:color="auto"/>
                    <w:left w:val="outset" w:sz="6" w:space="0" w:color="auto"/>
                    <w:bottom w:val="outset" w:sz="6" w:space="0" w:color="auto"/>
                    <w:right w:val="outset" w:sz="6" w:space="0" w:color="auto"/>
                  </w:tcBorders>
                  <w:shd w:val="clear" w:color="auto" w:fill="auto"/>
                  <w:hideMark/>
                </w:tcPr>
                <w:p w14:paraId="67D4C91D" w14:textId="77777777" w:rsidR="00A94811" w:rsidRPr="00773D9D" w:rsidRDefault="00A94811" w:rsidP="00A94811">
                  <w:pPr>
                    <w:pStyle w:val="tbl-norm"/>
                    <w:spacing w:line="312" w:lineRule="atLeast"/>
                    <w:rPr>
                      <w:sz w:val="16"/>
                      <w:szCs w:val="16"/>
                    </w:rPr>
                  </w:pPr>
                  <w:r w:rsidRPr="00773D9D">
                    <w:rPr>
                      <w:sz w:val="16"/>
                      <w:szCs w:val="16"/>
                    </w:rPr>
                    <w:t>0,707</w:t>
                  </w:r>
                </w:p>
              </w:tc>
              <w:tc>
                <w:tcPr>
                  <w:tcW w:w="453" w:type="dxa"/>
                  <w:tcBorders>
                    <w:top w:val="outset" w:sz="6" w:space="0" w:color="auto"/>
                    <w:left w:val="outset" w:sz="6" w:space="0" w:color="auto"/>
                    <w:bottom w:val="outset" w:sz="6" w:space="0" w:color="auto"/>
                    <w:right w:val="outset" w:sz="6" w:space="0" w:color="auto"/>
                  </w:tcBorders>
                  <w:shd w:val="clear" w:color="auto" w:fill="auto"/>
                  <w:hideMark/>
                </w:tcPr>
                <w:p w14:paraId="69344D7A" w14:textId="77777777" w:rsidR="00A94811" w:rsidRPr="00773D9D" w:rsidRDefault="00A94811" w:rsidP="00A94811">
                  <w:pPr>
                    <w:pStyle w:val="tbl-norm"/>
                    <w:spacing w:line="312" w:lineRule="atLeast"/>
                    <w:rPr>
                      <w:sz w:val="16"/>
                      <w:szCs w:val="16"/>
                    </w:rPr>
                  </w:pPr>
                  <w:r w:rsidRPr="00773D9D">
                    <w:rPr>
                      <w:sz w:val="16"/>
                      <w:szCs w:val="16"/>
                    </w:rPr>
                    <w:t>0,5</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168D2966" w14:textId="77777777" w:rsidR="00A94811" w:rsidRPr="00773D9D" w:rsidRDefault="00A94811" w:rsidP="00A94811">
                  <w:pPr>
                    <w:pStyle w:val="tbl-norm"/>
                    <w:spacing w:line="312" w:lineRule="atLeast"/>
                    <w:rPr>
                      <w:sz w:val="16"/>
                      <w:szCs w:val="16"/>
                    </w:rPr>
                  </w:pPr>
                  <w:r w:rsidRPr="00773D9D">
                    <w:rPr>
                      <w:sz w:val="16"/>
                      <w:szCs w:val="16"/>
                    </w:rPr>
                    <w:t>0,354</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4079ECFF" w14:textId="77777777" w:rsidR="00A94811" w:rsidRPr="00773D9D" w:rsidRDefault="00A94811" w:rsidP="00A94811">
                  <w:pPr>
                    <w:pStyle w:val="tbl-norm"/>
                    <w:spacing w:line="312" w:lineRule="atLeast"/>
                    <w:rPr>
                      <w:sz w:val="16"/>
                      <w:szCs w:val="16"/>
                    </w:rPr>
                  </w:pPr>
                  <w:r w:rsidRPr="00773D9D">
                    <w:rPr>
                      <w:sz w:val="16"/>
                      <w:szCs w:val="16"/>
                    </w:rPr>
                    <w:t>1,414</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2085BC4B" w14:textId="77777777" w:rsidR="00A94811" w:rsidRPr="00773D9D" w:rsidRDefault="00A94811" w:rsidP="00A94811">
                  <w:pPr>
                    <w:pStyle w:val="tbl-norm"/>
                    <w:spacing w:line="312" w:lineRule="atLeast"/>
                    <w:rPr>
                      <w:sz w:val="16"/>
                      <w:szCs w:val="16"/>
                    </w:rPr>
                  </w:pPr>
                  <w:r w:rsidRPr="00773D9D">
                    <w:rPr>
                      <w:sz w:val="16"/>
                      <w:szCs w:val="16"/>
                    </w:rPr>
                    <w:t>1</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459551ED" w14:textId="77777777" w:rsidR="00A94811" w:rsidRPr="00773D9D" w:rsidRDefault="00A94811" w:rsidP="00A94811">
                  <w:pPr>
                    <w:pStyle w:val="tbl-norm"/>
                    <w:spacing w:line="312" w:lineRule="atLeast"/>
                    <w:rPr>
                      <w:sz w:val="16"/>
                      <w:szCs w:val="16"/>
                    </w:rPr>
                  </w:pPr>
                  <w:r w:rsidRPr="00773D9D">
                    <w:rPr>
                      <w:sz w:val="16"/>
                      <w:szCs w:val="16"/>
                    </w:rPr>
                    <w:t>0,707</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0C74D248" w14:textId="77777777" w:rsidR="00A94811" w:rsidRPr="00773D9D" w:rsidRDefault="00A94811" w:rsidP="00A94811">
                  <w:pPr>
                    <w:pStyle w:val="tbl-norm"/>
                    <w:spacing w:line="312" w:lineRule="atLeast"/>
                    <w:rPr>
                      <w:sz w:val="16"/>
                      <w:szCs w:val="16"/>
                    </w:rPr>
                  </w:pPr>
                  <w:r w:rsidRPr="00773D9D">
                    <w:rPr>
                      <w:sz w:val="16"/>
                      <w:szCs w:val="16"/>
                    </w:rPr>
                    <w:t>2,828</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78B3DE2F" w14:textId="77777777" w:rsidR="00A94811" w:rsidRPr="00773D9D" w:rsidRDefault="00A94811" w:rsidP="00A94811">
                  <w:pPr>
                    <w:pStyle w:val="tbl-norm"/>
                    <w:spacing w:line="312" w:lineRule="atLeast"/>
                    <w:rPr>
                      <w:sz w:val="16"/>
                      <w:szCs w:val="16"/>
                    </w:rPr>
                  </w:pPr>
                  <w:r w:rsidRPr="00773D9D">
                    <w:rPr>
                      <w:sz w:val="16"/>
                      <w:szCs w:val="16"/>
                    </w:rPr>
                    <w:t>2</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275F9C99" w14:textId="77777777" w:rsidR="00A94811" w:rsidRPr="00773D9D" w:rsidRDefault="00A94811" w:rsidP="00A94811">
                  <w:pPr>
                    <w:pStyle w:val="tbl-norm"/>
                    <w:spacing w:line="312" w:lineRule="atLeast"/>
                    <w:rPr>
                      <w:sz w:val="16"/>
                      <w:szCs w:val="16"/>
                    </w:rPr>
                  </w:pPr>
                  <w:r w:rsidRPr="00773D9D">
                    <w:rPr>
                      <w:sz w:val="16"/>
                      <w:szCs w:val="16"/>
                    </w:rPr>
                    <w:t>1,414</w:t>
                  </w:r>
                </w:p>
              </w:tc>
            </w:tr>
            <w:tr w:rsidR="00A94811" w:rsidRPr="00A94811" w14:paraId="07D22268" w14:textId="77777777" w:rsidTr="00A94811">
              <w:trPr>
                <w:trHeight w:val="407"/>
                <w:jc w:val="center"/>
              </w:trPr>
              <w:tc>
                <w:tcPr>
                  <w:tcW w:w="574" w:type="dxa"/>
                  <w:tcBorders>
                    <w:top w:val="outset" w:sz="6" w:space="0" w:color="auto"/>
                    <w:left w:val="outset" w:sz="6" w:space="0" w:color="auto"/>
                    <w:bottom w:val="outset" w:sz="6" w:space="0" w:color="auto"/>
                    <w:right w:val="outset" w:sz="6" w:space="0" w:color="auto"/>
                  </w:tcBorders>
                  <w:shd w:val="clear" w:color="auto" w:fill="auto"/>
                  <w:hideMark/>
                </w:tcPr>
                <w:p w14:paraId="28E9DEAB" w14:textId="77777777" w:rsidR="00A94811" w:rsidRPr="00773D9D" w:rsidRDefault="00A94811" w:rsidP="00A94811">
                  <w:pPr>
                    <w:pStyle w:val="tbl-norm"/>
                    <w:spacing w:line="312" w:lineRule="atLeast"/>
                    <w:rPr>
                      <w:sz w:val="16"/>
                      <w:szCs w:val="16"/>
                    </w:rPr>
                  </w:pPr>
                  <w:r w:rsidRPr="00773D9D">
                    <w:rPr>
                      <w:sz w:val="16"/>
                      <w:szCs w:val="16"/>
                    </w:rPr>
                    <w:t>2-3</w:t>
                  </w:r>
                </w:p>
              </w:tc>
              <w:tc>
                <w:tcPr>
                  <w:tcW w:w="515" w:type="dxa"/>
                  <w:tcBorders>
                    <w:top w:val="outset" w:sz="6" w:space="0" w:color="auto"/>
                    <w:left w:val="outset" w:sz="6" w:space="0" w:color="auto"/>
                    <w:bottom w:val="outset" w:sz="6" w:space="0" w:color="auto"/>
                    <w:right w:val="outset" w:sz="6" w:space="0" w:color="auto"/>
                  </w:tcBorders>
                  <w:shd w:val="clear" w:color="auto" w:fill="auto"/>
                  <w:hideMark/>
                </w:tcPr>
                <w:p w14:paraId="2F101BEA" w14:textId="77777777" w:rsidR="00A94811" w:rsidRPr="00773D9D" w:rsidRDefault="00A94811" w:rsidP="00A94811">
                  <w:pPr>
                    <w:pStyle w:val="Normal5"/>
                    <w:spacing w:before="0" w:beforeAutospacing="0" w:after="0" w:afterAutospacing="0" w:line="312" w:lineRule="atLeast"/>
                    <w:rPr>
                      <w:sz w:val="16"/>
                      <w:szCs w:val="16"/>
                    </w:rPr>
                  </w:pPr>
                  <w:r w:rsidRPr="00773D9D">
                    <w:rPr>
                      <w:sz w:val="16"/>
                      <w:szCs w:val="16"/>
                    </w:rPr>
                    <w:t> </w:t>
                  </w:r>
                </w:p>
              </w:tc>
              <w:tc>
                <w:tcPr>
                  <w:tcW w:w="453" w:type="dxa"/>
                  <w:tcBorders>
                    <w:top w:val="outset" w:sz="6" w:space="0" w:color="auto"/>
                    <w:left w:val="outset" w:sz="6" w:space="0" w:color="auto"/>
                    <w:bottom w:val="outset" w:sz="6" w:space="0" w:color="auto"/>
                    <w:right w:val="outset" w:sz="6" w:space="0" w:color="auto"/>
                  </w:tcBorders>
                  <w:shd w:val="clear" w:color="auto" w:fill="auto"/>
                  <w:hideMark/>
                </w:tcPr>
                <w:p w14:paraId="180BB906" w14:textId="77777777" w:rsidR="00A94811" w:rsidRPr="00773D9D" w:rsidRDefault="00A94811" w:rsidP="00A94811">
                  <w:pPr>
                    <w:pStyle w:val="tbl-norm"/>
                    <w:spacing w:line="312" w:lineRule="atLeast"/>
                    <w:rPr>
                      <w:sz w:val="16"/>
                      <w:szCs w:val="16"/>
                    </w:rPr>
                  </w:pPr>
                  <w:r w:rsidRPr="00773D9D">
                    <w:rPr>
                      <w:sz w:val="16"/>
                      <w:szCs w:val="16"/>
                    </w:rPr>
                    <w:t>1,414</w:t>
                  </w:r>
                </w:p>
              </w:tc>
              <w:tc>
                <w:tcPr>
                  <w:tcW w:w="453" w:type="dxa"/>
                  <w:tcBorders>
                    <w:top w:val="outset" w:sz="6" w:space="0" w:color="auto"/>
                    <w:left w:val="outset" w:sz="6" w:space="0" w:color="auto"/>
                    <w:bottom w:val="outset" w:sz="6" w:space="0" w:color="auto"/>
                    <w:right w:val="outset" w:sz="6" w:space="0" w:color="auto"/>
                  </w:tcBorders>
                  <w:shd w:val="clear" w:color="auto" w:fill="auto"/>
                  <w:hideMark/>
                </w:tcPr>
                <w:p w14:paraId="14C5ECEE" w14:textId="77777777" w:rsidR="00A94811" w:rsidRPr="00773D9D" w:rsidRDefault="00A94811" w:rsidP="00A94811">
                  <w:pPr>
                    <w:pStyle w:val="tbl-norm"/>
                    <w:spacing w:line="312" w:lineRule="atLeast"/>
                    <w:rPr>
                      <w:sz w:val="16"/>
                      <w:szCs w:val="16"/>
                    </w:rPr>
                  </w:pPr>
                  <w:r w:rsidRPr="00773D9D">
                    <w:rPr>
                      <w:sz w:val="16"/>
                      <w:szCs w:val="16"/>
                    </w:rPr>
                    <w:t>1</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081F2076" w14:textId="77777777" w:rsidR="00A94811" w:rsidRPr="00773D9D" w:rsidRDefault="00A94811" w:rsidP="00A94811">
                  <w:pPr>
                    <w:pStyle w:val="tbl-norm"/>
                    <w:spacing w:line="312" w:lineRule="atLeast"/>
                    <w:rPr>
                      <w:sz w:val="16"/>
                      <w:szCs w:val="16"/>
                    </w:rPr>
                  </w:pPr>
                  <w:r w:rsidRPr="00773D9D">
                    <w:rPr>
                      <w:sz w:val="16"/>
                      <w:szCs w:val="16"/>
                    </w:rPr>
                    <w:t>0,707</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2D2CF29C" w14:textId="77777777" w:rsidR="00A94811" w:rsidRPr="00773D9D" w:rsidRDefault="00A94811" w:rsidP="00A94811">
                  <w:pPr>
                    <w:pStyle w:val="tbl-norm"/>
                    <w:spacing w:line="312" w:lineRule="atLeast"/>
                    <w:rPr>
                      <w:sz w:val="16"/>
                      <w:szCs w:val="16"/>
                    </w:rPr>
                  </w:pPr>
                  <w:r w:rsidRPr="00773D9D">
                    <w:rPr>
                      <w:sz w:val="16"/>
                      <w:szCs w:val="16"/>
                    </w:rPr>
                    <w:t>2,828</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306416CD" w14:textId="77777777" w:rsidR="00A94811" w:rsidRPr="00773D9D" w:rsidRDefault="00A94811" w:rsidP="00A94811">
                  <w:pPr>
                    <w:pStyle w:val="tbl-norm"/>
                    <w:spacing w:line="312" w:lineRule="atLeast"/>
                    <w:rPr>
                      <w:sz w:val="16"/>
                      <w:szCs w:val="16"/>
                    </w:rPr>
                  </w:pPr>
                  <w:r w:rsidRPr="00773D9D">
                    <w:rPr>
                      <w:sz w:val="16"/>
                      <w:szCs w:val="16"/>
                    </w:rPr>
                    <w:t>2</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0ACB7EEF" w14:textId="77777777" w:rsidR="00A94811" w:rsidRPr="00773D9D" w:rsidRDefault="00A94811" w:rsidP="00A94811">
                  <w:pPr>
                    <w:pStyle w:val="tbl-norm"/>
                    <w:spacing w:line="312" w:lineRule="atLeast"/>
                    <w:rPr>
                      <w:sz w:val="16"/>
                      <w:szCs w:val="16"/>
                    </w:rPr>
                  </w:pPr>
                  <w:r w:rsidRPr="00773D9D">
                    <w:rPr>
                      <w:sz w:val="16"/>
                      <w:szCs w:val="16"/>
                    </w:rPr>
                    <w:t>1,414</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3BD13CBD" w14:textId="77777777" w:rsidR="00A94811" w:rsidRPr="00773D9D" w:rsidRDefault="00A94811" w:rsidP="00A94811">
                  <w:pPr>
                    <w:pStyle w:val="tbl-norm"/>
                    <w:spacing w:line="312" w:lineRule="atLeast"/>
                    <w:rPr>
                      <w:sz w:val="16"/>
                      <w:szCs w:val="16"/>
                    </w:rPr>
                  </w:pPr>
                  <w:r w:rsidRPr="00773D9D">
                    <w:rPr>
                      <w:sz w:val="16"/>
                      <w:szCs w:val="16"/>
                    </w:rPr>
                    <w:t>5,657</w:t>
                  </w:r>
                </w:p>
              </w:tc>
              <w:tc>
                <w:tcPr>
                  <w:tcW w:w="454" w:type="dxa"/>
                  <w:tcBorders>
                    <w:top w:val="outset" w:sz="6" w:space="0" w:color="auto"/>
                    <w:left w:val="outset" w:sz="6" w:space="0" w:color="auto"/>
                    <w:bottom w:val="outset" w:sz="6" w:space="0" w:color="auto"/>
                    <w:right w:val="outset" w:sz="6" w:space="0" w:color="auto"/>
                  </w:tcBorders>
                  <w:shd w:val="clear" w:color="auto" w:fill="auto"/>
                  <w:hideMark/>
                </w:tcPr>
                <w:p w14:paraId="6513F50D" w14:textId="77777777" w:rsidR="00A94811" w:rsidRPr="00773D9D" w:rsidRDefault="00A94811" w:rsidP="00A94811">
                  <w:pPr>
                    <w:pStyle w:val="tbl-norm"/>
                    <w:spacing w:line="312" w:lineRule="atLeast"/>
                    <w:rPr>
                      <w:sz w:val="16"/>
                      <w:szCs w:val="16"/>
                    </w:rPr>
                  </w:pPr>
                  <w:r w:rsidRPr="00773D9D">
                    <w:rPr>
                      <w:sz w:val="16"/>
                      <w:szCs w:val="16"/>
                    </w:rPr>
                    <w:t>4</w:t>
                  </w:r>
                </w:p>
              </w:tc>
              <w:tc>
                <w:tcPr>
                  <w:tcW w:w="457" w:type="dxa"/>
                  <w:tcBorders>
                    <w:top w:val="outset" w:sz="6" w:space="0" w:color="auto"/>
                    <w:left w:val="outset" w:sz="6" w:space="0" w:color="auto"/>
                    <w:bottom w:val="outset" w:sz="6" w:space="0" w:color="auto"/>
                    <w:right w:val="outset" w:sz="6" w:space="0" w:color="auto"/>
                  </w:tcBorders>
                  <w:shd w:val="clear" w:color="auto" w:fill="auto"/>
                  <w:hideMark/>
                </w:tcPr>
                <w:p w14:paraId="49ACDE1F" w14:textId="77777777" w:rsidR="00A94811" w:rsidRPr="00773D9D" w:rsidRDefault="00A94811" w:rsidP="00A94811">
                  <w:pPr>
                    <w:pStyle w:val="tbl-norm"/>
                    <w:spacing w:line="312" w:lineRule="atLeast"/>
                    <w:rPr>
                      <w:sz w:val="16"/>
                      <w:szCs w:val="16"/>
                    </w:rPr>
                  </w:pPr>
                  <w:r w:rsidRPr="00773D9D">
                    <w:rPr>
                      <w:sz w:val="16"/>
                      <w:szCs w:val="16"/>
                    </w:rPr>
                    <w:t>2,828</w:t>
                  </w:r>
                </w:p>
              </w:tc>
            </w:tr>
          </w:tbl>
          <w:p w14:paraId="237EACC6" w14:textId="77777777" w:rsidR="00A94811" w:rsidRPr="00A94811" w:rsidRDefault="00A94811" w:rsidP="00A94811">
            <w:pPr>
              <w:pStyle w:val="NormalWeb"/>
              <w:shd w:val="clear" w:color="auto" w:fill="FFFFFF"/>
              <w:spacing w:line="312" w:lineRule="atLeast"/>
              <w:rPr>
                <w:color w:val="333333"/>
                <w:sz w:val="20"/>
                <w:szCs w:val="20"/>
                <w:lang w:val="en-US"/>
              </w:rPr>
            </w:pPr>
          </w:p>
          <w:p w14:paraId="4DB6FC39" w14:textId="77777777" w:rsidR="00A94811" w:rsidRPr="00A94811" w:rsidRDefault="00A94811" w:rsidP="00A94811">
            <w:pPr>
              <w:pStyle w:val="NormalWeb"/>
              <w:shd w:val="clear" w:color="auto" w:fill="FFFFFF"/>
              <w:spacing w:line="312" w:lineRule="atLeast"/>
              <w:jc w:val="center"/>
              <w:rPr>
                <w:color w:val="333333"/>
                <w:sz w:val="20"/>
                <w:szCs w:val="20"/>
                <w:lang w:val="en-US"/>
              </w:rPr>
            </w:pPr>
          </w:p>
          <w:p w14:paraId="7FF6FDCE" w14:textId="77777777" w:rsidR="00A94811" w:rsidRPr="00A94811" w:rsidRDefault="00A94811" w:rsidP="00A94811">
            <w:pPr>
              <w:pStyle w:val="title-table"/>
              <w:shd w:val="clear" w:color="auto" w:fill="FFFFFF"/>
              <w:spacing w:line="312" w:lineRule="atLeast"/>
              <w:rPr>
                <w:color w:val="333333"/>
                <w:sz w:val="20"/>
                <w:szCs w:val="20"/>
              </w:rPr>
            </w:pPr>
            <w:proofErr w:type="spellStart"/>
            <w:r w:rsidRPr="00A94811">
              <w:rPr>
                <w:b w:val="0"/>
                <w:bCs w:val="0"/>
                <w:color w:val="333333"/>
                <w:sz w:val="20"/>
                <w:szCs w:val="20"/>
              </w:rPr>
              <w:t>Tabelul</w:t>
            </w:r>
            <w:proofErr w:type="spellEnd"/>
            <w:r w:rsidRPr="00A94811">
              <w:rPr>
                <w:b w:val="0"/>
                <w:bCs w:val="0"/>
                <w:color w:val="333333"/>
                <w:sz w:val="20"/>
                <w:szCs w:val="20"/>
              </w:rPr>
              <w:t xml:space="preserve"> 3</w:t>
            </w:r>
          </w:p>
          <w:p w14:paraId="4173C5A4" w14:textId="77777777" w:rsidR="00A94811" w:rsidRPr="00A94811" w:rsidRDefault="00A94811" w:rsidP="00A94811">
            <w:pPr>
              <w:pStyle w:val="title-table"/>
              <w:shd w:val="clear" w:color="auto" w:fill="FFFFFF"/>
              <w:spacing w:line="312" w:lineRule="atLeast"/>
              <w:rPr>
                <w:b w:val="0"/>
                <w:bCs w:val="0"/>
                <w:color w:val="333333"/>
                <w:sz w:val="20"/>
                <w:szCs w:val="20"/>
              </w:rPr>
            </w:pPr>
            <w:r w:rsidRPr="00A94811">
              <w:rPr>
                <w:b w:val="0"/>
                <w:bCs w:val="0"/>
                <w:color w:val="333333"/>
                <w:sz w:val="20"/>
                <w:szCs w:val="20"/>
              </w:rPr>
              <w:t xml:space="preserve">Alte </w:t>
            </w:r>
            <w:proofErr w:type="spellStart"/>
            <w:r w:rsidRPr="00A94811">
              <w:rPr>
                <w:b w:val="0"/>
                <w:bCs w:val="0"/>
                <w:color w:val="333333"/>
                <w:sz w:val="20"/>
                <w:szCs w:val="20"/>
              </w:rPr>
              <w:t>tipuri</w:t>
            </w:r>
            <w:proofErr w:type="spellEnd"/>
            <w:r w:rsidRPr="00A94811">
              <w:rPr>
                <w:b w:val="0"/>
                <w:bCs w:val="0"/>
                <w:color w:val="333333"/>
                <w:sz w:val="20"/>
                <w:szCs w:val="20"/>
              </w:rPr>
              <w:t xml:space="preserve"> de </w:t>
            </w:r>
            <w:proofErr w:type="spellStart"/>
            <w:r w:rsidRPr="00A94811">
              <w:rPr>
                <w:b w:val="0"/>
                <w:bCs w:val="0"/>
                <w:color w:val="333333"/>
                <w:sz w:val="20"/>
                <w:szCs w:val="20"/>
              </w:rPr>
              <w:t>garanții</w:t>
            </w:r>
            <w:proofErr w:type="spellEnd"/>
            <w:r w:rsidRPr="00A94811">
              <w:rPr>
                <w:b w:val="0"/>
                <w:bCs w:val="0"/>
                <w:color w:val="333333"/>
                <w:sz w:val="20"/>
                <w:szCs w:val="20"/>
              </w:rPr>
              <w:t xml:space="preserve"> </w:t>
            </w:r>
            <w:proofErr w:type="spellStart"/>
            <w:r w:rsidRPr="00A94811">
              <w:rPr>
                <w:b w:val="0"/>
                <w:bCs w:val="0"/>
                <w:color w:val="333333"/>
                <w:sz w:val="20"/>
                <w:szCs w:val="20"/>
              </w:rPr>
              <w:t>reale</w:t>
            </w:r>
            <w:proofErr w:type="spellEnd"/>
            <w:r w:rsidRPr="00A94811">
              <w:rPr>
                <w:b w:val="0"/>
                <w:bCs w:val="0"/>
                <w:color w:val="333333"/>
                <w:sz w:val="20"/>
                <w:szCs w:val="20"/>
              </w:rPr>
              <w:t xml:space="preserve"> </w:t>
            </w:r>
            <w:proofErr w:type="spellStart"/>
            <w:r w:rsidRPr="00A94811">
              <w:rPr>
                <w:b w:val="0"/>
                <w:bCs w:val="0"/>
                <w:color w:val="333333"/>
                <w:sz w:val="20"/>
                <w:szCs w:val="20"/>
              </w:rPr>
              <w:t>sau</w:t>
            </w:r>
            <w:proofErr w:type="spellEnd"/>
            <w:r w:rsidRPr="00A94811">
              <w:rPr>
                <w:b w:val="0"/>
                <w:bCs w:val="0"/>
                <w:color w:val="333333"/>
                <w:sz w:val="20"/>
                <w:szCs w:val="20"/>
              </w:rPr>
              <w:t xml:space="preserve"> de </w:t>
            </w:r>
            <w:proofErr w:type="spellStart"/>
            <w:r w:rsidRPr="00A94811">
              <w:rPr>
                <w:b w:val="0"/>
                <w:bCs w:val="0"/>
                <w:color w:val="333333"/>
                <w:sz w:val="20"/>
                <w:szCs w:val="20"/>
              </w:rPr>
              <w:t>expuneri</w:t>
            </w:r>
            <w:proofErr w:type="spellEnd"/>
          </w:p>
          <w:tbl>
            <w:tblPr>
              <w:tblW w:w="521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200"/>
              <w:gridCol w:w="1047"/>
              <w:gridCol w:w="995"/>
              <w:gridCol w:w="973"/>
            </w:tblGrid>
            <w:tr w:rsidR="00A94811" w:rsidRPr="00A94811" w14:paraId="7717F89F" w14:textId="77777777" w:rsidTr="00A94811">
              <w:trPr>
                <w:trHeight w:val="751"/>
                <w:jc w:val="center"/>
              </w:trPr>
              <w:tc>
                <w:tcPr>
                  <w:tcW w:w="2200" w:type="dxa"/>
                  <w:tcBorders>
                    <w:top w:val="outset" w:sz="6" w:space="0" w:color="auto"/>
                    <w:left w:val="outset" w:sz="6" w:space="0" w:color="auto"/>
                    <w:bottom w:val="outset" w:sz="6" w:space="0" w:color="auto"/>
                    <w:right w:val="outset" w:sz="6" w:space="0" w:color="auto"/>
                  </w:tcBorders>
                  <w:shd w:val="clear" w:color="auto" w:fill="auto"/>
                  <w:hideMark/>
                </w:tcPr>
                <w:p w14:paraId="1171FD85" w14:textId="77777777" w:rsidR="00A94811" w:rsidRPr="00A94811" w:rsidRDefault="00A94811" w:rsidP="00A94811">
                  <w:pPr>
                    <w:pStyle w:val="Normal5"/>
                    <w:spacing w:before="0" w:beforeAutospacing="0" w:after="0" w:afterAutospacing="0" w:line="312" w:lineRule="atLeast"/>
                    <w:rPr>
                      <w:b/>
                      <w:bCs/>
                      <w:sz w:val="20"/>
                      <w:szCs w:val="20"/>
                    </w:rPr>
                  </w:pPr>
                  <w:r w:rsidRPr="00A94811">
                    <w:rPr>
                      <w:b/>
                      <w:bCs/>
                      <w:sz w:val="20"/>
                      <w:szCs w:val="20"/>
                    </w:rPr>
                    <w:t> </w:t>
                  </w:r>
                </w:p>
              </w:tc>
              <w:tc>
                <w:tcPr>
                  <w:tcW w:w="1047" w:type="dxa"/>
                  <w:tcBorders>
                    <w:top w:val="outset" w:sz="6" w:space="0" w:color="auto"/>
                    <w:left w:val="outset" w:sz="6" w:space="0" w:color="auto"/>
                    <w:bottom w:val="outset" w:sz="6" w:space="0" w:color="auto"/>
                    <w:right w:val="outset" w:sz="6" w:space="0" w:color="auto"/>
                  </w:tcBorders>
                  <w:shd w:val="clear" w:color="auto" w:fill="auto"/>
                  <w:hideMark/>
                </w:tcPr>
                <w:p w14:paraId="5D17A218"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20 de </w:t>
                  </w:r>
                  <w:proofErr w:type="spellStart"/>
                  <w:r w:rsidRPr="00A94811">
                    <w:rPr>
                      <w:b/>
                      <w:bCs/>
                      <w:sz w:val="20"/>
                      <w:szCs w:val="20"/>
                    </w:rPr>
                    <w:t>zile</w:t>
                  </w:r>
                  <w:proofErr w:type="spellEnd"/>
                  <w:r w:rsidRPr="00A94811">
                    <w:rPr>
                      <w:b/>
                      <w:bCs/>
                      <w:sz w:val="20"/>
                      <w:szCs w:val="20"/>
                    </w:rPr>
                    <w:t xml:space="preserve"> (%)</w:t>
                  </w:r>
                </w:p>
              </w:tc>
              <w:tc>
                <w:tcPr>
                  <w:tcW w:w="995" w:type="dxa"/>
                  <w:tcBorders>
                    <w:top w:val="outset" w:sz="6" w:space="0" w:color="auto"/>
                    <w:left w:val="outset" w:sz="6" w:space="0" w:color="auto"/>
                    <w:bottom w:val="outset" w:sz="6" w:space="0" w:color="auto"/>
                    <w:right w:val="outset" w:sz="6" w:space="0" w:color="auto"/>
                  </w:tcBorders>
                  <w:shd w:val="clear" w:color="auto" w:fill="auto"/>
                  <w:hideMark/>
                </w:tcPr>
                <w:p w14:paraId="6EB25732"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10 </w:t>
                  </w:r>
                  <w:proofErr w:type="spellStart"/>
                  <w:r w:rsidRPr="00A94811">
                    <w:rPr>
                      <w:b/>
                      <w:bCs/>
                      <w:sz w:val="20"/>
                      <w:szCs w:val="20"/>
                    </w:rPr>
                    <w:t>zile</w:t>
                  </w:r>
                  <w:proofErr w:type="spellEnd"/>
                  <w:r w:rsidRPr="00A94811">
                    <w:rPr>
                      <w:b/>
                      <w:bCs/>
                      <w:sz w:val="20"/>
                      <w:szCs w:val="20"/>
                    </w:rPr>
                    <w:t xml:space="preserve"> (%)</w:t>
                  </w:r>
                </w:p>
              </w:tc>
              <w:tc>
                <w:tcPr>
                  <w:tcW w:w="973" w:type="dxa"/>
                  <w:tcBorders>
                    <w:top w:val="outset" w:sz="6" w:space="0" w:color="auto"/>
                    <w:left w:val="outset" w:sz="6" w:space="0" w:color="auto"/>
                    <w:bottom w:val="outset" w:sz="6" w:space="0" w:color="auto"/>
                    <w:right w:val="outset" w:sz="6" w:space="0" w:color="auto"/>
                  </w:tcBorders>
                  <w:shd w:val="clear" w:color="auto" w:fill="auto"/>
                  <w:hideMark/>
                </w:tcPr>
                <w:p w14:paraId="4AC80942"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5 </w:t>
                  </w:r>
                  <w:proofErr w:type="spellStart"/>
                  <w:r w:rsidRPr="00A94811">
                    <w:rPr>
                      <w:b/>
                      <w:bCs/>
                      <w:sz w:val="20"/>
                      <w:szCs w:val="20"/>
                    </w:rPr>
                    <w:t>zile</w:t>
                  </w:r>
                  <w:proofErr w:type="spellEnd"/>
                  <w:r w:rsidRPr="00A94811">
                    <w:rPr>
                      <w:b/>
                      <w:bCs/>
                      <w:sz w:val="20"/>
                      <w:szCs w:val="20"/>
                    </w:rPr>
                    <w:t xml:space="preserve"> (%)</w:t>
                  </w:r>
                </w:p>
              </w:tc>
            </w:tr>
            <w:tr w:rsidR="00A94811" w:rsidRPr="00A94811" w14:paraId="3A418B84" w14:textId="77777777" w:rsidTr="00A94811">
              <w:trPr>
                <w:trHeight w:val="762"/>
                <w:jc w:val="center"/>
              </w:trPr>
              <w:tc>
                <w:tcPr>
                  <w:tcW w:w="2200" w:type="dxa"/>
                  <w:tcBorders>
                    <w:top w:val="outset" w:sz="6" w:space="0" w:color="auto"/>
                    <w:left w:val="outset" w:sz="6" w:space="0" w:color="auto"/>
                    <w:bottom w:val="outset" w:sz="6" w:space="0" w:color="auto"/>
                    <w:right w:val="outset" w:sz="6" w:space="0" w:color="auto"/>
                  </w:tcBorders>
                  <w:shd w:val="clear" w:color="auto" w:fill="auto"/>
                  <w:hideMark/>
                </w:tcPr>
                <w:p w14:paraId="6DA9EF2F" w14:textId="77777777" w:rsidR="00A94811" w:rsidRPr="00A94811" w:rsidRDefault="00A94811" w:rsidP="00A94811">
                  <w:pPr>
                    <w:pStyle w:val="tbl-norm"/>
                    <w:spacing w:line="312" w:lineRule="atLeast"/>
                    <w:rPr>
                      <w:sz w:val="20"/>
                      <w:szCs w:val="20"/>
                    </w:rPr>
                  </w:pPr>
                  <w:proofErr w:type="spellStart"/>
                  <w:r w:rsidRPr="00A94811">
                    <w:rPr>
                      <w:sz w:val="20"/>
                      <w:szCs w:val="20"/>
                    </w:rPr>
                    <w:t>Titluri</w:t>
                  </w:r>
                  <w:proofErr w:type="spellEnd"/>
                  <w:r w:rsidRPr="00A94811">
                    <w:rPr>
                      <w:sz w:val="20"/>
                      <w:szCs w:val="20"/>
                    </w:rPr>
                    <w:t xml:space="preserve"> de capital </w:t>
                  </w:r>
                  <w:proofErr w:type="spellStart"/>
                  <w:r w:rsidRPr="00A94811">
                    <w:rPr>
                      <w:sz w:val="20"/>
                      <w:szCs w:val="20"/>
                    </w:rPr>
                    <w:t>incluse</w:t>
                  </w:r>
                  <w:proofErr w:type="spellEnd"/>
                  <w:r w:rsidRPr="00A94811">
                    <w:rPr>
                      <w:sz w:val="20"/>
                      <w:szCs w:val="20"/>
                    </w:rPr>
                    <w:t xml:space="preserve"> </w:t>
                  </w:r>
                  <w:proofErr w:type="spellStart"/>
                  <w:r w:rsidRPr="00A94811">
                    <w:rPr>
                      <w:sz w:val="20"/>
                      <w:szCs w:val="20"/>
                    </w:rPr>
                    <w:t>într</w:t>
                  </w:r>
                  <w:proofErr w:type="spellEnd"/>
                  <w:r w:rsidRPr="00A94811">
                    <w:rPr>
                      <w:sz w:val="20"/>
                      <w:szCs w:val="20"/>
                    </w:rPr>
                    <w:t xml:space="preserve">-un </w:t>
                  </w:r>
                  <w:proofErr w:type="spellStart"/>
                  <w:r w:rsidRPr="00A94811">
                    <w:rPr>
                      <w:sz w:val="20"/>
                      <w:szCs w:val="20"/>
                    </w:rPr>
                    <w:t>indice</w:t>
                  </w:r>
                  <w:proofErr w:type="spellEnd"/>
                  <w:r w:rsidRPr="00A94811">
                    <w:rPr>
                      <w:sz w:val="20"/>
                      <w:szCs w:val="20"/>
                    </w:rPr>
                    <w:t xml:space="preserve"> principal, </w:t>
                  </w:r>
                  <w:proofErr w:type="spellStart"/>
                  <w:r w:rsidRPr="00A94811">
                    <w:rPr>
                      <w:sz w:val="20"/>
                      <w:szCs w:val="20"/>
                    </w:rPr>
                    <w:t>obligațiuni</w:t>
                  </w:r>
                  <w:proofErr w:type="spellEnd"/>
                  <w:r w:rsidRPr="00A94811">
                    <w:rPr>
                      <w:sz w:val="20"/>
                      <w:szCs w:val="20"/>
                    </w:rPr>
                    <w:t xml:space="preserve"> </w:t>
                  </w:r>
                  <w:proofErr w:type="spellStart"/>
                  <w:r w:rsidRPr="00A94811">
                    <w:rPr>
                      <w:sz w:val="20"/>
                      <w:szCs w:val="20"/>
                    </w:rPr>
                    <w:t>convertibile</w:t>
                  </w:r>
                  <w:proofErr w:type="spellEnd"/>
                  <w:r w:rsidRPr="00A94811">
                    <w:rPr>
                      <w:sz w:val="20"/>
                      <w:szCs w:val="20"/>
                    </w:rPr>
                    <w:t xml:space="preserve"> </w:t>
                  </w:r>
                  <w:proofErr w:type="spellStart"/>
                  <w:r w:rsidRPr="00A94811">
                    <w:rPr>
                      <w:sz w:val="20"/>
                      <w:szCs w:val="20"/>
                    </w:rPr>
                    <w:t>incluse</w:t>
                  </w:r>
                  <w:proofErr w:type="spellEnd"/>
                  <w:r w:rsidRPr="00A94811">
                    <w:rPr>
                      <w:sz w:val="20"/>
                      <w:szCs w:val="20"/>
                    </w:rPr>
                    <w:t xml:space="preserve"> </w:t>
                  </w:r>
                  <w:proofErr w:type="spellStart"/>
                  <w:r w:rsidRPr="00A94811">
                    <w:rPr>
                      <w:sz w:val="20"/>
                      <w:szCs w:val="20"/>
                    </w:rPr>
                    <w:t>într</w:t>
                  </w:r>
                  <w:proofErr w:type="spellEnd"/>
                  <w:r w:rsidRPr="00A94811">
                    <w:rPr>
                      <w:sz w:val="20"/>
                      <w:szCs w:val="20"/>
                    </w:rPr>
                    <w:t xml:space="preserve">-un </w:t>
                  </w:r>
                  <w:proofErr w:type="spellStart"/>
                  <w:r w:rsidRPr="00A94811">
                    <w:rPr>
                      <w:sz w:val="20"/>
                      <w:szCs w:val="20"/>
                    </w:rPr>
                    <w:t>indice</w:t>
                  </w:r>
                  <w:proofErr w:type="spellEnd"/>
                  <w:r w:rsidRPr="00A94811">
                    <w:rPr>
                      <w:sz w:val="20"/>
                      <w:szCs w:val="20"/>
                    </w:rPr>
                    <w:t xml:space="preserve"> principal</w:t>
                  </w:r>
                </w:p>
              </w:tc>
              <w:tc>
                <w:tcPr>
                  <w:tcW w:w="1047" w:type="dxa"/>
                  <w:tcBorders>
                    <w:top w:val="outset" w:sz="6" w:space="0" w:color="auto"/>
                    <w:left w:val="outset" w:sz="6" w:space="0" w:color="auto"/>
                    <w:bottom w:val="outset" w:sz="6" w:space="0" w:color="auto"/>
                    <w:right w:val="outset" w:sz="6" w:space="0" w:color="auto"/>
                  </w:tcBorders>
                  <w:shd w:val="clear" w:color="auto" w:fill="auto"/>
                  <w:hideMark/>
                </w:tcPr>
                <w:p w14:paraId="2B49CEFE" w14:textId="77777777" w:rsidR="00A94811" w:rsidRPr="00A94811" w:rsidRDefault="00A94811" w:rsidP="00A94811">
                  <w:pPr>
                    <w:pStyle w:val="tbl-norm"/>
                    <w:spacing w:line="312" w:lineRule="atLeast"/>
                    <w:rPr>
                      <w:sz w:val="20"/>
                      <w:szCs w:val="20"/>
                    </w:rPr>
                  </w:pPr>
                  <w:r w:rsidRPr="00A94811">
                    <w:rPr>
                      <w:sz w:val="20"/>
                      <w:szCs w:val="20"/>
                    </w:rPr>
                    <w:t>28,284</w:t>
                  </w:r>
                </w:p>
              </w:tc>
              <w:tc>
                <w:tcPr>
                  <w:tcW w:w="995" w:type="dxa"/>
                  <w:tcBorders>
                    <w:top w:val="outset" w:sz="6" w:space="0" w:color="auto"/>
                    <w:left w:val="outset" w:sz="6" w:space="0" w:color="auto"/>
                    <w:bottom w:val="outset" w:sz="6" w:space="0" w:color="auto"/>
                    <w:right w:val="outset" w:sz="6" w:space="0" w:color="auto"/>
                  </w:tcBorders>
                  <w:shd w:val="clear" w:color="auto" w:fill="auto"/>
                  <w:hideMark/>
                </w:tcPr>
                <w:p w14:paraId="4996B5EC" w14:textId="77777777" w:rsidR="00A94811" w:rsidRPr="00A94811" w:rsidRDefault="00A94811" w:rsidP="00A94811">
                  <w:pPr>
                    <w:pStyle w:val="tbl-norm"/>
                    <w:spacing w:line="312" w:lineRule="atLeast"/>
                    <w:rPr>
                      <w:sz w:val="20"/>
                      <w:szCs w:val="20"/>
                    </w:rPr>
                  </w:pPr>
                  <w:r w:rsidRPr="00A94811">
                    <w:rPr>
                      <w:sz w:val="20"/>
                      <w:szCs w:val="20"/>
                    </w:rPr>
                    <w:t>20</w:t>
                  </w:r>
                </w:p>
              </w:tc>
              <w:tc>
                <w:tcPr>
                  <w:tcW w:w="973" w:type="dxa"/>
                  <w:tcBorders>
                    <w:top w:val="outset" w:sz="6" w:space="0" w:color="auto"/>
                    <w:left w:val="outset" w:sz="6" w:space="0" w:color="auto"/>
                    <w:bottom w:val="outset" w:sz="6" w:space="0" w:color="auto"/>
                    <w:right w:val="outset" w:sz="6" w:space="0" w:color="auto"/>
                  </w:tcBorders>
                  <w:shd w:val="clear" w:color="auto" w:fill="auto"/>
                  <w:hideMark/>
                </w:tcPr>
                <w:p w14:paraId="35CDFBCC" w14:textId="77777777" w:rsidR="00A94811" w:rsidRPr="00A94811" w:rsidRDefault="00A94811" w:rsidP="00A94811">
                  <w:pPr>
                    <w:pStyle w:val="tbl-norm"/>
                    <w:spacing w:line="312" w:lineRule="atLeast"/>
                    <w:rPr>
                      <w:sz w:val="20"/>
                      <w:szCs w:val="20"/>
                    </w:rPr>
                  </w:pPr>
                  <w:r w:rsidRPr="00A94811">
                    <w:rPr>
                      <w:sz w:val="20"/>
                      <w:szCs w:val="20"/>
                    </w:rPr>
                    <w:t>14,142</w:t>
                  </w:r>
                </w:p>
              </w:tc>
            </w:tr>
            <w:tr w:rsidR="00A94811" w:rsidRPr="00A94811" w14:paraId="2A096F23" w14:textId="77777777" w:rsidTr="00A94811">
              <w:trPr>
                <w:trHeight w:val="524"/>
                <w:jc w:val="center"/>
              </w:trPr>
              <w:tc>
                <w:tcPr>
                  <w:tcW w:w="2200" w:type="dxa"/>
                  <w:tcBorders>
                    <w:top w:val="outset" w:sz="6" w:space="0" w:color="auto"/>
                    <w:left w:val="outset" w:sz="6" w:space="0" w:color="auto"/>
                    <w:bottom w:val="outset" w:sz="6" w:space="0" w:color="auto"/>
                    <w:right w:val="outset" w:sz="6" w:space="0" w:color="auto"/>
                  </w:tcBorders>
                  <w:shd w:val="clear" w:color="auto" w:fill="auto"/>
                  <w:hideMark/>
                </w:tcPr>
                <w:p w14:paraId="7F920896" w14:textId="77777777" w:rsidR="00A94811" w:rsidRPr="00A94811" w:rsidRDefault="00A94811" w:rsidP="00A94811">
                  <w:pPr>
                    <w:pStyle w:val="tbl-norm"/>
                    <w:spacing w:line="312" w:lineRule="atLeast"/>
                    <w:rPr>
                      <w:sz w:val="20"/>
                      <w:szCs w:val="20"/>
                    </w:rPr>
                  </w:pPr>
                  <w:r w:rsidRPr="00A94811">
                    <w:rPr>
                      <w:sz w:val="20"/>
                      <w:szCs w:val="20"/>
                    </w:rPr>
                    <w:t xml:space="preserve">Alte </w:t>
                  </w:r>
                  <w:proofErr w:type="spellStart"/>
                  <w:r w:rsidRPr="00A94811">
                    <w:rPr>
                      <w:sz w:val="20"/>
                      <w:szCs w:val="20"/>
                    </w:rPr>
                    <w:t>titluri</w:t>
                  </w:r>
                  <w:proofErr w:type="spellEnd"/>
                  <w:r w:rsidRPr="00A94811">
                    <w:rPr>
                      <w:sz w:val="20"/>
                      <w:szCs w:val="20"/>
                    </w:rPr>
                    <w:t xml:space="preserve"> de capital </w:t>
                  </w:r>
                  <w:proofErr w:type="spellStart"/>
                  <w:r w:rsidRPr="00A94811">
                    <w:rPr>
                      <w:sz w:val="20"/>
                      <w:szCs w:val="20"/>
                    </w:rPr>
                    <w:t>sau</w:t>
                  </w:r>
                  <w:proofErr w:type="spellEnd"/>
                  <w:r w:rsidRPr="00A94811">
                    <w:rPr>
                      <w:sz w:val="20"/>
                      <w:szCs w:val="20"/>
                    </w:rPr>
                    <w:t xml:space="preserve"> </w:t>
                  </w:r>
                  <w:proofErr w:type="spellStart"/>
                  <w:r w:rsidRPr="00A94811">
                    <w:rPr>
                      <w:sz w:val="20"/>
                      <w:szCs w:val="20"/>
                    </w:rPr>
                    <w:t>obligațiuni</w:t>
                  </w:r>
                  <w:proofErr w:type="spellEnd"/>
                  <w:r w:rsidRPr="00A94811">
                    <w:rPr>
                      <w:sz w:val="20"/>
                      <w:szCs w:val="20"/>
                    </w:rPr>
                    <w:t xml:space="preserve"> </w:t>
                  </w:r>
                  <w:proofErr w:type="spellStart"/>
                  <w:r w:rsidRPr="00A94811">
                    <w:rPr>
                      <w:sz w:val="20"/>
                      <w:szCs w:val="20"/>
                    </w:rPr>
                    <w:t>convertibile</w:t>
                  </w:r>
                  <w:proofErr w:type="spellEnd"/>
                  <w:r w:rsidRPr="00A94811">
                    <w:rPr>
                      <w:sz w:val="20"/>
                      <w:szCs w:val="20"/>
                    </w:rPr>
                    <w:t xml:space="preserve"> </w:t>
                  </w:r>
                  <w:proofErr w:type="spellStart"/>
                  <w:r w:rsidRPr="00A94811">
                    <w:rPr>
                      <w:sz w:val="20"/>
                      <w:szCs w:val="20"/>
                    </w:rPr>
                    <w:t>cotate</w:t>
                  </w:r>
                  <w:proofErr w:type="spellEnd"/>
                  <w:r w:rsidRPr="00A94811">
                    <w:rPr>
                      <w:sz w:val="20"/>
                      <w:szCs w:val="20"/>
                    </w:rPr>
                    <w:t xml:space="preserve"> la o </w:t>
                  </w:r>
                  <w:proofErr w:type="spellStart"/>
                  <w:r w:rsidRPr="00A94811">
                    <w:rPr>
                      <w:sz w:val="20"/>
                      <w:szCs w:val="20"/>
                    </w:rPr>
                    <w:t>bursă</w:t>
                  </w:r>
                  <w:proofErr w:type="spellEnd"/>
                  <w:r w:rsidRPr="00A94811">
                    <w:rPr>
                      <w:sz w:val="20"/>
                      <w:szCs w:val="20"/>
                    </w:rPr>
                    <w:t xml:space="preserve"> </w:t>
                  </w:r>
                  <w:proofErr w:type="spellStart"/>
                  <w:r w:rsidRPr="00A94811">
                    <w:rPr>
                      <w:sz w:val="20"/>
                      <w:szCs w:val="20"/>
                    </w:rPr>
                    <w:t>recunoscută</w:t>
                  </w:r>
                  <w:proofErr w:type="spellEnd"/>
                </w:p>
              </w:tc>
              <w:tc>
                <w:tcPr>
                  <w:tcW w:w="1047" w:type="dxa"/>
                  <w:tcBorders>
                    <w:top w:val="outset" w:sz="6" w:space="0" w:color="auto"/>
                    <w:left w:val="outset" w:sz="6" w:space="0" w:color="auto"/>
                    <w:bottom w:val="outset" w:sz="6" w:space="0" w:color="auto"/>
                    <w:right w:val="outset" w:sz="6" w:space="0" w:color="auto"/>
                  </w:tcBorders>
                  <w:shd w:val="clear" w:color="auto" w:fill="auto"/>
                  <w:hideMark/>
                </w:tcPr>
                <w:p w14:paraId="20606731" w14:textId="77777777" w:rsidR="00A94811" w:rsidRPr="00A94811" w:rsidRDefault="00A94811" w:rsidP="00A94811">
                  <w:pPr>
                    <w:pStyle w:val="tbl-norm"/>
                    <w:spacing w:line="312" w:lineRule="atLeast"/>
                    <w:rPr>
                      <w:sz w:val="20"/>
                      <w:szCs w:val="20"/>
                    </w:rPr>
                  </w:pPr>
                  <w:r w:rsidRPr="00A94811">
                    <w:rPr>
                      <w:sz w:val="20"/>
                      <w:szCs w:val="20"/>
                    </w:rPr>
                    <w:t>42,426</w:t>
                  </w:r>
                </w:p>
              </w:tc>
              <w:tc>
                <w:tcPr>
                  <w:tcW w:w="995" w:type="dxa"/>
                  <w:tcBorders>
                    <w:top w:val="outset" w:sz="6" w:space="0" w:color="auto"/>
                    <w:left w:val="outset" w:sz="6" w:space="0" w:color="auto"/>
                    <w:bottom w:val="outset" w:sz="6" w:space="0" w:color="auto"/>
                    <w:right w:val="outset" w:sz="6" w:space="0" w:color="auto"/>
                  </w:tcBorders>
                  <w:shd w:val="clear" w:color="auto" w:fill="auto"/>
                  <w:hideMark/>
                </w:tcPr>
                <w:p w14:paraId="2D6390A7" w14:textId="77777777" w:rsidR="00A94811" w:rsidRPr="00A94811" w:rsidRDefault="00A94811" w:rsidP="00A94811">
                  <w:pPr>
                    <w:pStyle w:val="tbl-norm"/>
                    <w:spacing w:line="312" w:lineRule="atLeast"/>
                    <w:rPr>
                      <w:sz w:val="20"/>
                      <w:szCs w:val="20"/>
                    </w:rPr>
                  </w:pPr>
                  <w:r w:rsidRPr="00A94811">
                    <w:rPr>
                      <w:sz w:val="20"/>
                      <w:szCs w:val="20"/>
                    </w:rPr>
                    <w:t>30</w:t>
                  </w:r>
                </w:p>
              </w:tc>
              <w:tc>
                <w:tcPr>
                  <w:tcW w:w="973" w:type="dxa"/>
                  <w:tcBorders>
                    <w:top w:val="outset" w:sz="6" w:space="0" w:color="auto"/>
                    <w:left w:val="outset" w:sz="6" w:space="0" w:color="auto"/>
                    <w:bottom w:val="outset" w:sz="6" w:space="0" w:color="auto"/>
                    <w:right w:val="outset" w:sz="6" w:space="0" w:color="auto"/>
                  </w:tcBorders>
                  <w:shd w:val="clear" w:color="auto" w:fill="auto"/>
                  <w:hideMark/>
                </w:tcPr>
                <w:p w14:paraId="5FB125F1" w14:textId="77777777" w:rsidR="00A94811" w:rsidRPr="00A94811" w:rsidRDefault="00A94811" w:rsidP="00A94811">
                  <w:pPr>
                    <w:pStyle w:val="tbl-norm"/>
                    <w:spacing w:line="312" w:lineRule="atLeast"/>
                    <w:rPr>
                      <w:sz w:val="20"/>
                      <w:szCs w:val="20"/>
                    </w:rPr>
                  </w:pPr>
                  <w:r w:rsidRPr="00A94811">
                    <w:rPr>
                      <w:sz w:val="20"/>
                      <w:szCs w:val="20"/>
                    </w:rPr>
                    <w:t>21,213</w:t>
                  </w:r>
                </w:p>
              </w:tc>
            </w:tr>
            <w:tr w:rsidR="00A94811" w:rsidRPr="00A94811" w14:paraId="7CA68F29" w14:textId="77777777" w:rsidTr="00A94811">
              <w:trPr>
                <w:trHeight w:val="311"/>
                <w:jc w:val="center"/>
              </w:trPr>
              <w:tc>
                <w:tcPr>
                  <w:tcW w:w="2200" w:type="dxa"/>
                  <w:tcBorders>
                    <w:top w:val="outset" w:sz="6" w:space="0" w:color="auto"/>
                    <w:left w:val="outset" w:sz="6" w:space="0" w:color="auto"/>
                    <w:bottom w:val="outset" w:sz="6" w:space="0" w:color="auto"/>
                    <w:right w:val="outset" w:sz="6" w:space="0" w:color="auto"/>
                  </w:tcBorders>
                  <w:shd w:val="clear" w:color="auto" w:fill="auto"/>
                  <w:hideMark/>
                </w:tcPr>
                <w:p w14:paraId="46F94A5C" w14:textId="77777777" w:rsidR="00A94811" w:rsidRPr="00A94811" w:rsidRDefault="00A94811" w:rsidP="00A94811">
                  <w:pPr>
                    <w:pStyle w:val="tbl-norm"/>
                    <w:spacing w:line="312" w:lineRule="atLeast"/>
                    <w:rPr>
                      <w:sz w:val="20"/>
                      <w:szCs w:val="20"/>
                    </w:rPr>
                  </w:pPr>
                  <w:proofErr w:type="spellStart"/>
                  <w:r w:rsidRPr="00A94811">
                    <w:rPr>
                      <w:sz w:val="20"/>
                      <w:szCs w:val="20"/>
                    </w:rPr>
                    <w:t>Numerar</w:t>
                  </w:r>
                  <w:proofErr w:type="spellEnd"/>
                </w:p>
              </w:tc>
              <w:tc>
                <w:tcPr>
                  <w:tcW w:w="1047" w:type="dxa"/>
                  <w:tcBorders>
                    <w:top w:val="outset" w:sz="6" w:space="0" w:color="auto"/>
                    <w:left w:val="outset" w:sz="6" w:space="0" w:color="auto"/>
                    <w:bottom w:val="outset" w:sz="6" w:space="0" w:color="auto"/>
                    <w:right w:val="outset" w:sz="6" w:space="0" w:color="auto"/>
                  </w:tcBorders>
                  <w:shd w:val="clear" w:color="auto" w:fill="auto"/>
                  <w:hideMark/>
                </w:tcPr>
                <w:p w14:paraId="64A6918C" w14:textId="77777777" w:rsidR="00A94811" w:rsidRPr="00A94811" w:rsidRDefault="00A94811" w:rsidP="00A94811">
                  <w:pPr>
                    <w:pStyle w:val="tbl-norm"/>
                    <w:spacing w:line="312" w:lineRule="atLeast"/>
                    <w:rPr>
                      <w:sz w:val="20"/>
                      <w:szCs w:val="20"/>
                    </w:rPr>
                  </w:pPr>
                  <w:r w:rsidRPr="00A94811">
                    <w:rPr>
                      <w:sz w:val="20"/>
                      <w:szCs w:val="20"/>
                    </w:rPr>
                    <w:t>0</w:t>
                  </w:r>
                </w:p>
              </w:tc>
              <w:tc>
                <w:tcPr>
                  <w:tcW w:w="995" w:type="dxa"/>
                  <w:tcBorders>
                    <w:top w:val="outset" w:sz="6" w:space="0" w:color="auto"/>
                    <w:left w:val="outset" w:sz="6" w:space="0" w:color="auto"/>
                    <w:bottom w:val="outset" w:sz="6" w:space="0" w:color="auto"/>
                    <w:right w:val="outset" w:sz="6" w:space="0" w:color="auto"/>
                  </w:tcBorders>
                  <w:shd w:val="clear" w:color="auto" w:fill="auto"/>
                  <w:hideMark/>
                </w:tcPr>
                <w:p w14:paraId="652A97CD" w14:textId="77777777" w:rsidR="00A94811" w:rsidRPr="00A94811" w:rsidRDefault="00A94811" w:rsidP="00A94811">
                  <w:pPr>
                    <w:pStyle w:val="tbl-norm"/>
                    <w:spacing w:line="312" w:lineRule="atLeast"/>
                    <w:rPr>
                      <w:sz w:val="20"/>
                      <w:szCs w:val="20"/>
                    </w:rPr>
                  </w:pPr>
                  <w:r w:rsidRPr="00A94811">
                    <w:rPr>
                      <w:sz w:val="20"/>
                      <w:szCs w:val="20"/>
                    </w:rPr>
                    <w:t>0</w:t>
                  </w:r>
                </w:p>
              </w:tc>
              <w:tc>
                <w:tcPr>
                  <w:tcW w:w="973" w:type="dxa"/>
                  <w:tcBorders>
                    <w:top w:val="outset" w:sz="6" w:space="0" w:color="auto"/>
                    <w:left w:val="outset" w:sz="6" w:space="0" w:color="auto"/>
                    <w:bottom w:val="outset" w:sz="6" w:space="0" w:color="auto"/>
                    <w:right w:val="outset" w:sz="6" w:space="0" w:color="auto"/>
                  </w:tcBorders>
                  <w:shd w:val="clear" w:color="auto" w:fill="auto"/>
                  <w:hideMark/>
                </w:tcPr>
                <w:p w14:paraId="2E0E7B8D" w14:textId="77777777" w:rsidR="00A94811" w:rsidRPr="00A94811" w:rsidRDefault="00A94811" w:rsidP="00A94811">
                  <w:pPr>
                    <w:pStyle w:val="tbl-norm"/>
                    <w:spacing w:line="312" w:lineRule="atLeast"/>
                    <w:rPr>
                      <w:sz w:val="20"/>
                      <w:szCs w:val="20"/>
                    </w:rPr>
                  </w:pPr>
                  <w:r w:rsidRPr="00A94811">
                    <w:rPr>
                      <w:sz w:val="20"/>
                      <w:szCs w:val="20"/>
                    </w:rPr>
                    <w:t>0</w:t>
                  </w:r>
                </w:p>
              </w:tc>
            </w:tr>
            <w:tr w:rsidR="00A94811" w:rsidRPr="00A94811" w14:paraId="4B4FA29B" w14:textId="77777777" w:rsidTr="00A94811">
              <w:trPr>
                <w:trHeight w:val="311"/>
                <w:jc w:val="center"/>
              </w:trPr>
              <w:tc>
                <w:tcPr>
                  <w:tcW w:w="2200" w:type="dxa"/>
                  <w:tcBorders>
                    <w:top w:val="outset" w:sz="6" w:space="0" w:color="auto"/>
                    <w:left w:val="outset" w:sz="6" w:space="0" w:color="auto"/>
                    <w:bottom w:val="outset" w:sz="6" w:space="0" w:color="auto"/>
                    <w:right w:val="outset" w:sz="6" w:space="0" w:color="auto"/>
                  </w:tcBorders>
                  <w:shd w:val="clear" w:color="auto" w:fill="auto"/>
                  <w:hideMark/>
                </w:tcPr>
                <w:p w14:paraId="1CCF07EA" w14:textId="77777777" w:rsidR="00A94811" w:rsidRPr="00A94811" w:rsidRDefault="00A94811" w:rsidP="00A94811">
                  <w:pPr>
                    <w:pStyle w:val="tbl-norm"/>
                    <w:spacing w:line="312" w:lineRule="atLeast"/>
                    <w:rPr>
                      <w:sz w:val="20"/>
                      <w:szCs w:val="20"/>
                    </w:rPr>
                  </w:pPr>
                  <w:r w:rsidRPr="00A94811">
                    <w:rPr>
                      <w:sz w:val="20"/>
                      <w:szCs w:val="20"/>
                    </w:rPr>
                    <w:t xml:space="preserve">Aur </w:t>
                  </w:r>
                  <w:proofErr w:type="spellStart"/>
                  <w:r w:rsidRPr="00A94811">
                    <w:rPr>
                      <w:sz w:val="20"/>
                      <w:szCs w:val="20"/>
                    </w:rPr>
                    <w:t>lingouri</w:t>
                  </w:r>
                  <w:proofErr w:type="spellEnd"/>
                </w:p>
              </w:tc>
              <w:tc>
                <w:tcPr>
                  <w:tcW w:w="1047" w:type="dxa"/>
                  <w:tcBorders>
                    <w:top w:val="outset" w:sz="6" w:space="0" w:color="auto"/>
                    <w:left w:val="outset" w:sz="6" w:space="0" w:color="auto"/>
                    <w:bottom w:val="outset" w:sz="6" w:space="0" w:color="auto"/>
                    <w:right w:val="outset" w:sz="6" w:space="0" w:color="auto"/>
                  </w:tcBorders>
                  <w:shd w:val="clear" w:color="auto" w:fill="auto"/>
                  <w:hideMark/>
                </w:tcPr>
                <w:p w14:paraId="4D6F64C3" w14:textId="77777777" w:rsidR="00A94811" w:rsidRPr="00A94811" w:rsidRDefault="00A94811" w:rsidP="00A94811">
                  <w:pPr>
                    <w:pStyle w:val="tbl-norm"/>
                    <w:spacing w:line="312" w:lineRule="atLeast"/>
                    <w:rPr>
                      <w:sz w:val="20"/>
                      <w:szCs w:val="20"/>
                    </w:rPr>
                  </w:pPr>
                  <w:r w:rsidRPr="00A94811">
                    <w:rPr>
                      <w:sz w:val="20"/>
                      <w:szCs w:val="20"/>
                    </w:rPr>
                    <w:t>28,284</w:t>
                  </w:r>
                </w:p>
              </w:tc>
              <w:tc>
                <w:tcPr>
                  <w:tcW w:w="995" w:type="dxa"/>
                  <w:tcBorders>
                    <w:top w:val="outset" w:sz="6" w:space="0" w:color="auto"/>
                    <w:left w:val="outset" w:sz="6" w:space="0" w:color="auto"/>
                    <w:bottom w:val="outset" w:sz="6" w:space="0" w:color="auto"/>
                    <w:right w:val="outset" w:sz="6" w:space="0" w:color="auto"/>
                  </w:tcBorders>
                  <w:shd w:val="clear" w:color="auto" w:fill="auto"/>
                  <w:hideMark/>
                </w:tcPr>
                <w:p w14:paraId="457974FD" w14:textId="77777777" w:rsidR="00A94811" w:rsidRPr="00A94811" w:rsidRDefault="00A94811" w:rsidP="00A94811">
                  <w:pPr>
                    <w:pStyle w:val="tbl-norm"/>
                    <w:spacing w:line="312" w:lineRule="atLeast"/>
                    <w:rPr>
                      <w:sz w:val="20"/>
                      <w:szCs w:val="20"/>
                    </w:rPr>
                  </w:pPr>
                  <w:r w:rsidRPr="00A94811">
                    <w:rPr>
                      <w:sz w:val="20"/>
                      <w:szCs w:val="20"/>
                    </w:rPr>
                    <w:t>20</w:t>
                  </w:r>
                </w:p>
              </w:tc>
              <w:tc>
                <w:tcPr>
                  <w:tcW w:w="973" w:type="dxa"/>
                  <w:tcBorders>
                    <w:top w:val="outset" w:sz="6" w:space="0" w:color="auto"/>
                    <w:left w:val="outset" w:sz="6" w:space="0" w:color="auto"/>
                    <w:bottom w:val="outset" w:sz="6" w:space="0" w:color="auto"/>
                    <w:right w:val="outset" w:sz="6" w:space="0" w:color="auto"/>
                  </w:tcBorders>
                  <w:shd w:val="clear" w:color="auto" w:fill="auto"/>
                  <w:hideMark/>
                </w:tcPr>
                <w:p w14:paraId="5F89FA2E" w14:textId="77777777" w:rsidR="00A94811" w:rsidRPr="00A94811" w:rsidRDefault="00A94811" w:rsidP="00A94811">
                  <w:pPr>
                    <w:pStyle w:val="tbl-norm"/>
                    <w:spacing w:line="312" w:lineRule="atLeast"/>
                    <w:rPr>
                      <w:sz w:val="20"/>
                      <w:szCs w:val="20"/>
                    </w:rPr>
                  </w:pPr>
                  <w:r w:rsidRPr="00A94811">
                    <w:rPr>
                      <w:sz w:val="20"/>
                      <w:szCs w:val="20"/>
                    </w:rPr>
                    <w:t>14,142</w:t>
                  </w:r>
                </w:p>
              </w:tc>
            </w:tr>
          </w:tbl>
          <w:p w14:paraId="491E03BA" w14:textId="77777777" w:rsidR="00A94811" w:rsidRPr="00A94811" w:rsidRDefault="00A94811" w:rsidP="00A94811">
            <w:pPr>
              <w:pStyle w:val="NormalWeb"/>
              <w:shd w:val="clear" w:color="auto" w:fill="FFFFFF"/>
              <w:spacing w:line="312" w:lineRule="atLeast"/>
              <w:rPr>
                <w:color w:val="333333"/>
                <w:sz w:val="20"/>
                <w:szCs w:val="20"/>
                <w:lang w:val="en-US"/>
              </w:rPr>
            </w:pPr>
          </w:p>
          <w:p w14:paraId="1F81D43C" w14:textId="77777777" w:rsidR="00A94811" w:rsidRPr="00A94811" w:rsidRDefault="00A94811" w:rsidP="00A94811">
            <w:pPr>
              <w:pStyle w:val="NormalWeb"/>
              <w:shd w:val="clear" w:color="auto" w:fill="FFFFFF"/>
              <w:spacing w:line="312" w:lineRule="atLeast"/>
              <w:jc w:val="center"/>
              <w:rPr>
                <w:color w:val="333333"/>
                <w:sz w:val="20"/>
                <w:szCs w:val="20"/>
                <w:lang w:val="en-US"/>
              </w:rPr>
            </w:pPr>
          </w:p>
          <w:p w14:paraId="52B7B738" w14:textId="77777777" w:rsidR="00A94811" w:rsidRPr="00A94811" w:rsidRDefault="00A94811" w:rsidP="00A94811">
            <w:pPr>
              <w:pStyle w:val="title-table"/>
              <w:shd w:val="clear" w:color="auto" w:fill="FFFFFF"/>
              <w:spacing w:line="312" w:lineRule="atLeast"/>
              <w:rPr>
                <w:color w:val="333333"/>
                <w:sz w:val="20"/>
                <w:szCs w:val="20"/>
              </w:rPr>
            </w:pPr>
            <w:proofErr w:type="spellStart"/>
            <w:r w:rsidRPr="00A94811">
              <w:rPr>
                <w:b w:val="0"/>
                <w:bCs w:val="0"/>
                <w:color w:val="333333"/>
                <w:sz w:val="20"/>
                <w:szCs w:val="20"/>
              </w:rPr>
              <w:t>Tabelul</w:t>
            </w:r>
            <w:proofErr w:type="spellEnd"/>
            <w:r w:rsidRPr="00A94811">
              <w:rPr>
                <w:b w:val="0"/>
                <w:bCs w:val="0"/>
                <w:color w:val="333333"/>
                <w:sz w:val="20"/>
                <w:szCs w:val="20"/>
              </w:rPr>
              <w:t xml:space="preserve"> 4</w:t>
            </w:r>
          </w:p>
          <w:p w14:paraId="6CFCCCBD" w14:textId="77777777" w:rsidR="00A94811" w:rsidRPr="00A94811" w:rsidRDefault="00A94811" w:rsidP="00A94811">
            <w:pPr>
              <w:pStyle w:val="title-table"/>
              <w:shd w:val="clear" w:color="auto" w:fill="FFFFFF"/>
              <w:spacing w:line="312" w:lineRule="atLeast"/>
              <w:rPr>
                <w:b w:val="0"/>
                <w:bCs w:val="0"/>
                <w:color w:val="333333"/>
                <w:sz w:val="20"/>
                <w:szCs w:val="20"/>
              </w:rPr>
            </w:pPr>
            <w:proofErr w:type="spellStart"/>
            <w:r w:rsidRPr="00A94811">
              <w:rPr>
                <w:b w:val="0"/>
                <w:bCs w:val="0"/>
                <w:color w:val="333333"/>
                <w:sz w:val="20"/>
                <w:szCs w:val="20"/>
              </w:rPr>
              <w:t>Ajustarea</w:t>
            </w:r>
            <w:proofErr w:type="spellEnd"/>
            <w:r w:rsidRPr="00A94811">
              <w:rPr>
                <w:b w:val="0"/>
                <w:bCs w:val="0"/>
                <w:color w:val="333333"/>
                <w:sz w:val="20"/>
                <w:szCs w:val="20"/>
              </w:rPr>
              <w:t xml:space="preserve"> de </w:t>
            </w:r>
            <w:proofErr w:type="spellStart"/>
            <w:r w:rsidRPr="00A94811">
              <w:rPr>
                <w:b w:val="0"/>
                <w:bCs w:val="0"/>
                <w:color w:val="333333"/>
                <w:sz w:val="20"/>
                <w:szCs w:val="20"/>
              </w:rPr>
              <w:t>volatilitate</w:t>
            </w:r>
            <w:proofErr w:type="spellEnd"/>
            <w:r w:rsidRPr="00A94811">
              <w:rPr>
                <w:b w:val="0"/>
                <w:bCs w:val="0"/>
                <w:color w:val="333333"/>
                <w:sz w:val="20"/>
                <w:szCs w:val="20"/>
              </w:rPr>
              <w:t xml:space="preserve"> </w:t>
            </w:r>
            <w:proofErr w:type="spellStart"/>
            <w:r w:rsidRPr="00A94811">
              <w:rPr>
                <w:b w:val="0"/>
                <w:bCs w:val="0"/>
                <w:color w:val="333333"/>
                <w:sz w:val="20"/>
                <w:szCs w:val="20"/>
              </w:rPr>
              <w:t>pentru</w:t>
            </w:r>
            <w:proofErr w:type="spellEnd"/>
            <w:r w:rsidRPr="00A94811">
              <w:rPr>
                <w:b w:val="0"/>
                <w:bCs w:val="0"/>
                <w:color w:val="333333"/>
                <w:sz w:val="20"/>
                <w:szCs w:val="20"/>
              </w:rPr>
              <w:t xml:space="preserve"> </w:t>
            </w:r>
            <w:proofErr w:type="spellStart"/>
            <w:r w:rsidRPr="00A94811">
              <w:rPr>
                <w:b w:val="0"/>
                <w:bCs w:val="0"/>
                <w:color w:val="333333"/>
                <w:sz w:val="20"/>
                <w:szCs w:val="20"/>
              </w:rPr>
              <w:t>neconcordanța</w:t>
            </w:r>
            <w:proofErr w:type="spellEnd"/>
            <w:r w:rsidRPr="00A94811">
              <w:rPr>
                <w:b w:val="0"/>
                <w:bCs w:val="0"/>
                <w:color w:val="333333"/>
                <w:sz w:val="20"/>
                <w:szCs w:val="20"/>
              </w:rPr>
              <w:t xml:space="preserve"> de </w:t>
            </w:r>
            <w:proofErr w:type="spellStart"/>
            <w:r w:rsidRPr="00A94811">
              <w:rPr>
                <w:b w:val="0"/>
                <w:bCs w:val="0"/>
                <w:color w:val="333333"/>
                <w:sz w:val="20"/>
                <w:szCs w:val="20"/>
              </w:rPr>
              <w:t>monede</w:t>
            </w:r>
            <w:proofErr w:type="spellEnd"/>
            <w:r w:rsidRPr="00A94811">
              <w:rPr>
                <w:b w:val="0"/>
                <w:bCs w:val="0"/>
                <w:color w:val="333333"/>
                <w:sz w:val="20"/>
                <w:szCs w:val="20"/>
              </w:rPr>
              <w:t xml:space="preserve"> (</w:t>
            </w:r>
            <w:proofErr w:type="spellStart"/>
            <w:r w:rsidRPr="00A94811">
              <w:rPr>
                <w:b w:val="0"/>
                <w:bCs w:val="0"/>
                <w:color w:val="333333"/>
                <w:sz w:val="20"/>
                <w:szCs w:val="20"/>
              </w:rPr>
              <w:t>H</w:t>
            </w:r>
            <w:r w:rsidRPr="00A94811">
              <w:rPr>
                <w:rStyle w:val="subscript"/>
                <w:b w:val="0"/>
                <w:bCs w:val="0"/>
                <w:color w:val="333333"/>
                <w:sz w:val="20"/>
                <w:szCs w:val="20"/>
                <w:vertAlign w:val="subscript"/>
              </w:rPr>
              <w:t>fx</w:t>
            </w:r>
            <w:proofErr w:type="spellEnd"/>
            <w:r w:rsidRPr="00A94811">
              <w:rPr>
                <w:b w:val="0"/>
                <w:bCs w:val="0"/>
                <w:color w:val="333333"/>
                <w:sz w:val="20"/>
                <w:szCs w:val="20"/>
              </w:rPr>
              <w:t>)</w:t>
            </w:r>
          </w:p>
          <w:tbl>
            <w:tblPr>
              <w:tblW w:w="542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917"/>
              <w:gridCol w:w="1779"/>
              <w:gridCol w:w="1724"/>
            </w:tblGrid>
            <w:tr w:rsidR="00A94811" w:rsidRPr="00A94811" w14:paraId="1ECB646B" w14:textId="77777777" w:rsidTr="00A94811">
              <w:trPr>
                <w:trHeight w:val="1068"/>
              </w:trPr>
              <w:tc>
                <w:tcPr>
                  <w:tcW w:w="1917" w:type="dxa"/>
                  <w:tcBorders>
                    <w:top w:val="outset" w:sz="6" w:space="0" w:color="auto"/>
                    <w:left w:val="outset" w:sz="6" w:space="0" w:color="auto"/>
                    <w:bottom w:val="outset" w:sz="6" w:space="0" w:color="auto"/>
                    <w:right w:val="outset" w:sz="6" w:space="0" w:color="auto"/>
                  </w:tcBorders>
                  <w:shd w:val="clear" w:color="auto" w:fill="auto"/>
                  <w:hideMark/>
                </w:tcPr>
                <w:p w14:paraId="39474FFE"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20 de </w:t>
                  </w:r>
                  <w:proofErr w:type="spellStart"/>
                  <w:r w:rsidRPr="00A94811">
                    <w:rPr>
                      <w:b/>
                      <w:bCs/>
                      <w:sz w:val="20"/>
                      <w:szCs w:val="20"/>
                    </w:rPr>
                    <w:t>zile</w:t>
                  </w:r>
                  <w:proofErr w:type="spellEnd"/>
                  <w:r w:rsidRPr="00A94811">
                    <w:rPr>
                      <w:b/>
                      <w:bCs/>
                      <w:sz w:val="20"/>
                      <w:szCs w:val="20"/>
                    </w:rPr>
                    <w:t xml:space="preserve"> (%)</w:t>
                  </w:r>
                </w:p>
              </w:tc>
              <w:tc>
                <w:tcPr>
                  <w:tcW w:w="1779" w:type="dxa"/>
                  <w:tcBorders>
                    <w:top w:val="outset" w:sz="6" w:space="0" w:color="auto"/>
                    <w:left w:val="outset" w:sz="6" w:space="0" w:color="auto"/>
                    <w:bottom w:val="outset" w:sz="6" w:space="0" w:color="auto"/>
                    <w:right w:val="outset" w:sz="6" w:space="0" w:color="auto"/>
                  </w:tcBorders>
                  <w:shd w:val="clear" w:color="auto" w:fill="auto"/>
                  <w:hideMark/>
                </w:tcPr>
                <w:p w14:paraId="7FD49B50"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10 </w:t>
                  </w:r>
                  <w:proofErr w:type="spellStart"/>
                  <w:r w:rsidRPr="00A94811">
                    <w:rPr>
                      <w:b/>
                      <w:bCs/>
                      <w:sz w:val="20"/>
                      <w:szCs w:val="20"/>
                    </w:rPr>
                    <w:t>zile</w:t>
                  </w:r>
                  <w:proofErr w:type="spellEnd"/>
                  <w:r w:rsidRPr="00A94811">
                    <w:rPr>
                      <w:b/>
                      <w:bCs/>
                      <w:sz w:val="20"/>
                      <w:szCs w:val="20"/>
                    </w:rPr>
                    <w:t xml:space="preserve"> (%)</w:t>
                  </w:r>
                </w:p>
              </w:tc>
              <w:tc>
                <w:tcPr>
                  <w:tcW w:w="1724" w:type="dxa"/>
                  <w:tcBorders>
                    <w:top w:val="outset" w:sz="6" w:space="0" w:color="auto"/>
                    <w:left w:val="outset" w:sz="6" w:space="0" w:color="auto"/>
                    <w:bottom w:val="outset" w:sz="6" w:space="0" w:color="auto"/>
                    <w:right w:val="outset" w:sz="6" w:space="0" w:color="auto"/>
                  </w:tcBorders>
                  <w:shd w:val="clear" w:color="auto" w:fill="auto"/>
                  <w:hideMark/>
                </w:tcPr>
                <w:p w14:paraId="1A573650" w14:textId="77777777" w:rsidR="00A94811" w:rsidRPr="00A94811" w:rsidRDefault="00A94811" w:rsidP="00A94811">
                  <w:pPr>
                    <w:pStyle w:val="tbl-norm"/>
                    <w:spacing w:line="312" w:lineRule="atLeast"/>
                    <w:rPr>
                      <w:b/>
                      <w:bCs/>
                      <w:sz w:val="20"/>
                      <w:szCs w:val="20"/>
                    </w:rPr>
                  </w:pPr>
                  <w:proofErr w:type="spellStart"/>
                  <w:r w:rsidRPr="00A94811">
                    <w:rPr>
                      <w:b/>
                      <w:bCs/>
                      <w:sz w:val="20"/>
                      <w:szCs w:val="20"/>
                    </w:rPr>
                    <w:t>Perioadă</w:t>
                  </w:r>
                  <w:proofErr w:type="spellEnd"/>
                  <w:r w:rsidRPr="00A94811">
                    <w:rPr>
                      <w:b/>
                      <w:bCs/>
                      <w:sz w:val="20"/>
                      <w:szCs w:val="20"/>
                    </w:rPr>
                    <w:t xml:space="preserve"> de </w:t>
                  </w:r>
                  <w:proofErr w:type="spellStart"/>
                  <w:r w:rsidRPr="00A94811">
                    <w:rPr>
                      <w:b/>
                      <w:bCs/>
                      <w:sz w:val="20"/>
                      <w:szCs w:val="20"/>
                    </w:rPr>
                    <w:t>deținere</w:t>
                  </w:r>
                  <w:proofErr w:type="spellEnd"/>
                  <w:r w:rsidRPr="00A94811">
                    <w:rPr>
                      <w:b/>
                      <w:bCs/>
                      <w:sz w:val="20"/>
                      <w:szCs w:val="20"/>
                    </w:rPr>
                    <w:t xml:space="preserve"> de 5 </w:t>
                  </w:r>
                  <w:proofErr w:type="spellStart"/>
                  <w:r w:rsidRPr="00A94811">
                    <w:rPr>
                      <w:b/>
                      <w:bCs/>
                      <w:sz w:val="20"/>
                      <w:szCs w:val="20"/>
                    </w:rPr>
                    <w:t>zile</w:t>
                  </w:r>
                  <w:proofErr w:type="spellEnd"/>
                  <w:r w:rsidRPr="00A94811">
                    <w:rPr>
                      <w:b/>
                      <w:bCs/>
                      <w:sz w:val="20"/>
                      <w:szCs w:val="20"/>
                    </w:rPr>
                    <w:t xml:space="preserve"> (%)</w:t>
                  </w:r>
                </w:p>
              </w:tc>
            </w:tr>
            <w:tr w:rsidR="00A94811" w:rsidRPr="00A94811" w14:paraId="26A17AFB" w14:textId="77777777" w:rsidTr="00A94811">
              <w:trPr>
                <w:trHeight w:val="596"/>
              </w:trPr>
              <w:tc>
                <w:tcPr>
                  <w:tcW w:w="1917" w:type="dxa"/>
                  <w:tcBorders>
                    <w:top w:val="outset" w:sz="6" w:space="0" w:color="auto"/>
                    <w:left w:val="outset" w:sz="6" w:space="0" w:color="auto"/>
                    <w:bottom w:val="outset" w:sz="6" w:space="0" w:color="auto"/>
                    <w:right w:val="outset" w:sz="6" w:space="0" w:color="auto"/>
                  </w:tcBorders>
                  <w:shd w:val="clear" w:color="auto" w:fill="auto"/>
                  <w:hideMark/>
                </w:tcPr>
                <w:p w14:paraId="7BD8300A" w14:textId="77777777" w:rsidR="00A94811" w:rsidRPr="00A94811" w:rsidRDefault="00A94811" w:rsidP="00A94811">
                  <w:pPr>
                    <w:pStyle w:val="tbl-norm"/>
                    <w:spacing w:line="312" w:lineRule="atLeast"/>
                    <w:rPr>
                      <w:sz w:val="20"/>
                      <w:szCs w:val="20"/>
                    </w:rPr>
                  </w:pPr>
                  <w:r w:rsidRPr="00A94811">
                    <w:rPr>
                      <w:sz w:val="20"/>
                      <w:szCs w:val="20"/>
                    </w:rPr>
                    <w:t>11,314</w:t>
                  </w:r>
                </w:p>
              </w:tc>
              <w:tc>
                <w:tcPr>
                  <w:tcW w:w="1779" w:type="dxa"/>
                  <w:tcBorders>
                    <w:top w:val="outset" w:sz="6" w:space="0" w:color="auto"/>
                    <w:left w:val="outset" w:sz="6" w:space="0" w:color="auto"/>
                    <w:bottom w:val="outset" w:sz="6" w:space="0" w:color="auto"/>
                    <w:right w:val="outset" w:sz="6" w:space="0" w:color="auto"/>
                  </w:tcBorders>
                  <w:shd w:val="clear" w:color="auto" w:fill="auto"/>
                  <w:hideMark/>
                </w:tcPr>
                <w:p w14:paraId="2FB7E14D" w14:textId="77777777" w:rsidR="00A94811" w:rsidRPr="00A94811" w:rsidRDefault="00A94811" w:rsidP="00A94811">
                  <w:pPr>
                    <w:pStyle w:val="tbl-norm"/>
                    <w:spacing w:line="312" w:lineRule="atLeast"/>
                    <w:rPr>
                      <w:sz w:val="20"/>
                      <w:szCs w:val="20"/>
                    </w:rPr>
                  </w:pPr>
                  <w:r w:rsidRPr="00A94811">
                    <w:rPr>
                      <w:sz w:val="20"/>
                      <w:szCs w:val="20"/>
                    </w:rPr>
                    <w:t>8</w:t>
                  </w:r>
                </w:p>
              </w:tc>
              <w:tc>
                <w:tcPr>
                  <w:tcW w:w="1724" w:type="dxa"/>
                  <w:tcBorders>
                    <w:top w:val="outset" w:sz="6" w:space="0" w:color="auto"/>
                    <w:left w:val="outset" w:sz="6" w:space="0" w:color="auto"/>
                    <w:bottom w:val="outset" w:sz="6" w:space="0" w:color="auto"/>
                    <w:right w:val="outset" w:sz="6" w:space="0" w:color="auto"/>
                  </w:tcBorders>
                  <w:shd w:val="clear" w:color="auto" w:fill="auto"/>
                  <w:hideMark/>
                </w:tcPr>
                <w:p w14:paraId="3C4B0F94" w14:textId="77777777" w:rsidR="00A94811" w:rsidRPr="00A94811" w:rsidRDefault="00A94811" w:rsidP="00A94811">
                  <w:pPr>
                    <w:pStyle w:val="tbl-norm"/>
                    <w:spacing w:line="312" w:lineRule="atLeast"/>
                    <w:rPr>
                      <w:sz w:val="20"/>
                      <w:szCs w:val="20"/>
                    </w:rPr>
                  </w:pPr>
                  <w:r w:rsidRPr="00A94811">
                    <w:rPr>
                      <w:sz w:val="20"/>
                      <w:szCs w:val="20"/>
                    </w:rPr>
                    <w:t>5,657</w:t>
                  </w:r>
                </w:p>
              </w:tc>
            </w:tr>
          </w:tbl>
          <w:p w14:paraId="1B9F451A" w14:textId="7CBEDF27" w:rsidR="00D62F3C" w:rsidRPr="00773D9D" w:rsidRDefault="00D62F3C" w:rsidP="00773D9D">
            <w:pPr>
              <w:pStyle w:val="modref"/>
              <w:shd w:val="clear" w:color="auto" w:fill="FFFFFF"/>
              <w:spacing w:before="120" w:beforeAutospacing="0" w:after="0" w:afterAutospacing="0" w:line="312" w:lineRule="atLeast"/>
              <w:rPr>
                <w:b/>
                <w:bCs/>
                <w:color w:val="333333"/>
                <w:sz w:val="20"/>
                <w:szCs w:val="20"/>
              </w:rPr>
            </w:pPr>
          </w:p>
        </w:tc>
        <w:tc>
          <w:tcPr>
            <w:tcW w:w="1636" w:type="pct"/>
            <w:shd w:val="clear" w:color="auto" w:fill="auto"/>
          </w:tcPr>
          <w:p w14:paraId="482AC95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a 6-a. Ajustările de volatilitate reglementate în cadrul  metodei extinse a garanțiilor financiare</w:t>
            </w:r>
          </w:p>
          <w:p w14:paraId="2C79FE38" w14:textId="77777777" w:rsidR="00D62F3C" w:rsidRPr="002C32BA" w:rsidRDefault="00D62F3C" w:rsidP="00D62F3C">
            <w:pPr>
              <w:rPr>
                <w:rFonts w:ascii="Times New Roman" w:hAnsi="Times New Roman" w:cs="Times New Roman"/>
                <w:sz w:val="20"/>
                <w:szCs w:val="20"/>
                <w:lang w:val="ro-RO"/>
              </w:rPr>
            </w:pPr>
          </w:p>
          <w:p w14:paraId="5F1A835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95. Băncile trebuie să utilizeze ajustările de volatilitate reglementate, prevăzute în tabelele 1-4 din prezentul punct, în </w:t>
            </w:r>
            <w:proofErr w:type="spellStart"/>
            <w:r w:rsidRPr="002C32BA">
              <w:rPr>
                <w:rFonts w:ascii="Times New Roman" w:hAnsi="Times New Roman"/>
                <w:sz w:val="20"/>
                <w:szCs w:val="20"/>
                <w:lang w:val="ro-RO" w:eastAsia="ru-RU"/>
              </w:rPr>
              <w:t>condiţiile</w:t>
            </w:r>
            <w:proofErr w:type="spellEnd"/>
            <w:r w:rsidRPr="002C32BA">
              <w:rPr>
                <w:rFonts w:ascii="Times New Roman" w:hAnsi="Times New Roman"/>
                <w:sz w:val="20"/>
                <w:szCs w:val="20"/>
                <w:lang w:val="ro-RO" w:eastAsia="ru-RU"/>
              </w:rPr>
              <w:t xml:space="preserve"> în care realizează reevaluări zilnice.</w:t>
            </w:r>
          </w:p>
          <w:p w14:paraId="2C6BB27F"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AJUSTĂRI DE VOLATILITATE</w:t>
            </w:r>
          </w:p>
          <w:p w14:paraId="3AAB726D" w14:textId="77777777" w:rsidR="00A94811" w:rsidRPr="009339E6" w:rsidRDefault="00A94811" w:rsidP="00A94811">
            <w:pPr>
              <w:spacing w:after="0" w:line="240" w:lineRule="auto"/>
              <w:jc w:val="right"/>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Tabelul nr.1</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526"/>
              <w:gridCol w:w="458"/>
              <w:gridCol w:w="409"/>
              <w:gridCol w:w="409"/>
              <w:gridCol w:w="409"/>
              <w:gridCol w:w="409"/>
              <w:gridCol w:w="409"/>
              <w:gridCol w:w="409"/>
              <w:gridCol w:w="409"/>
              <w:gridCol w:w="409"/>
              <w:gridCol w:w="409"/>
            </w:tblGrid>
            <w:tr w:rsidR="00A94811" w:rsidRPr="009339E6" w14:paraId="7A97F972" w14:textId="77777777" w:rsidTr="005C3300">
              <w:trPr>
                <w:gridAfter w:val="10"/>
                <w:wAfter w:w="4211" w:type="dxa"/>
                <w:jc w:val="center"/>
              </w:trPr>
              <w:tc>
                <w:tcPr>
                  <w:tcW w:w="1050" w:type="dxa"/>
                  <w:tcBorders>
                    <w:top w:val="nil"/>
                    <w:left w:val="nil"/>
                    <w:bottom w:val="single" w:sz="6" w:space="0" w:color="000000"/>
                    <w:right w:val="nil"/>
                  </w:tcBorders>
                  <w:tcMar>
                    <w:top w:w="24" w:type="dxa"/>
                    <w:left w:w="48" w:type="dxa"/>
                    <w:bottom w:w="24" w:type="dxa"/>
                    <w:right w:w="48" w:type="dxa"/>
                  </w:tcMar>
                  <w:hideMark/>
                </w:tcPr>
                <w:p w14:paraId="5E519397" w14:textId="77777777" w:rsidR="00A94811" w:rsidRPr="009339E6" w:rsidRDefault="00A94811" w:rsidP="00A94811">
                  <w:pPr>
                    <w:spacing w:after="0" w:line="240" w:lineRule="auto"/>
                    <w:jc w:val="right"/>
                    <w:rPr>
                      <w:rFonts w:ascii="Times New Roman" w:eastAsia="Times New Roman" w:hAnsi="Times New Roman" w:cs="Times New Roman"/>
                      <w:color w:val="000000" w:themeColor="text1"/>
                      <w:sz w:val="20"/>
                      <w:szCs w:val="20"/>
                      <w:lang w:val="ro-RO" w:eastAsia="ro-MD"/>
                    </w:rPr>
                  </w:pPr>
                  <w:bookmarkStart w:id="39" w:name="_Hlk219283289"/>
                  <w:r w:rsidRPr="009339E6">
                    <w:rPr>
                      <w:rFonts w:ascii="Times New Roman" w:eastAsia="Times New Roman" w:hAnsi="Times New Roman" w:cs="Times New Roman"/>
                      <w:color w:val="000000" w:themeColor="text1"/>
                      <w:sz w:val="20"/>
                      <w:szCs w:val="20"/>
                      <w:lang w:val="ro-RO" w:eastAsia="ro-MD"/>
                    </w:rPr>
                    <w:t>  </w:t>
                  </w:r>
                </w:p>
              </w:tc>
            </w:tr>
            <w:tr w:rsidR="00A94811" w:rsidRPr="009339E6" w14:paraId="14D57AF7"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tcBorders>
                    <w:top w:val="outset" w:sz="6" w:space="0" w:color="auto"/>
                    <w:left w:val="outset" w:sz="6" w:space="0" w:color="auto"/>
                    <w:bottom w:val="outset" w:sz="6" w:space="0" w:color="auto"/>
                    <w:right w:val="outset" w:sz="6" w:space="0" w:color="auto"/>
                  </w:tcBorders>
                  <w:hideMark/>
                </w:tcPr>
                <w:p w14:paraId="33497257"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Nivelul</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calitate</w:t>
                  </w:r>
                  <w:proofErr w:type="spellEnd"/>
                  <w:r w:rsidRPr="009339E6">
                    <w:rPr>
                      <w:rFonts w:ascii="Times New Roman" w:eastAsia="Times New Roman" w:hAnsi="Times New Roman" w:cs="Times New Roman"/>
                      <w:b/>
                      <w:bCs/>
                      <w:color w:val="000000" w:themeColor="text1"/>
                      <w:sz w:val="20"/>
                      <w:szCs w:val="20"/>
                      <w:lang w:eastAsia="ro-MD"/>
                    </w:rPr>
                    <w:t xml:space="preserve"> a </w:t>
                  </w:r>
                  <w:proofErr w:type="spellStart"/>
                  <w:r w:rsidRPr="009339E6">
                    <w:rPr>
                      <w:rFonts w:ascii="Times New Roman" w:eastAsia="Times New Roman" w:hAnsi="Times New Roman" w:cs="Times New Roman"/>
                      <w:b/>
                      <w:bCs/>
                      <w:color w:val="000000" w:themeColor="text1"/>
                      <w:sz w:val="20"/>
                      <w:szCs w:val="20"/>
                      <w:lang w:eastAsia="ro-MD"/>
                    </w:rPr>
                    <w:t>creditului</w:t>
                  </w:r>
                  <w:proofErr w:type="spellEnd"/>
                  <w:r w:rsidRPr="009339E6">
                    <w:rPr>
                      <w:rFonts w:ascii="Times New Roman" w:eastAsia="Times New Roman" w:hAnsi="Times New Roman" w:cs="Times New Roman"/>
                      <w:b/>
                      <w:bCs/>
                      <w:color w:val="000000" w:themeColor="text1"/>
                      <w:sz w:val="20"/>
                      <w:szCs w:val="20"/>
                      <w:lang w:eastAsia="ro-MD"/>
                    </w:rPr>
                    <w:t xml:space="preserve"> cu care </w:t>
                  </w:r>
                  <w:proofErr w:type="spellStart"/>
                  <w:r w:rsidRPr="009339E6">
                    <w:rPr>
                      <w:rFonts w:ascii="Times New Roman" w:eastAsia="Times New Roman" w:hAnsi="Times New Roman" w:cs="Times New Roman"/>
                      <w:b/>
                      <w:bCs/>
                      <w:color w:val="000000" w:themeColor="text1"/>
                      <w:sz w:val="20"/>
                      <w:szCs w:val="20"/>
                      <w:lang w:eastAsia="ro-MD"/>
                    </w:rPr>
                    <w:t>este</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asociată</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evaluarea</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creditului</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pentru</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titlul</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datorie</w:t>
                  </w:r>
                  <w:proofErr w:type="spellEnd"/>
                </w:p>
              </w:tc>
              <w:tc>
                <w:tcPr>
                  <w:tcW w:w="940" w:type="dxa"/>
                  <w:tcBorders>
                    <w:top w:val="outset" w:sz="6" w:space="0" w:color="auto"/>
                    <w:left w:val="outset" w:sz="6" w:space="0" w:color="auto"/>
                    <w:bottom w:val="outset" w:sz="6" w:space="0" w:color="auto"/>
                    <w:right w:val="outset" w:sz="6" w:space="0" w:color="auto"/>
                  </w:tcBorders>
                  <w:hideMark/>
                </w:tcPr>
                <w:p w14:paraId="23B44B0D"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Scadența</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reziduală</w:t>
                  </w:r>
                  <w:proofErr w:type="spellEnd"/>
                  <w:r w:rsidRPr="009339E6">
                    <w:rPr>
                      <w:rFonts w:ascii="Times New Roman" w:eastAsia="Times New Roman" w:hAnsi="Times New Roman" w:cs="Times New Roman"/>
                      <w:b/>
                      <w:bCs/>
                      <w:color w:val="000000" w:themeColor="text1"/>
                      <w:sz w:val="20"/>
                      <w:szCs w:val="20"/>
                      <w:lang w:eastAsia="ro-MD"/>
                    </w:rPr>
                    <w:t xml:space="preserve"> (m), </w:t>
                  </w:r>
                  <w:proofErr w:type="spellStart"/>
                  <w:r w:rsidRPr="009339E6">
                    <w:rPr>
                      <w:rFonts w:ascii="Times New Roman" w:eastAsia="Times New Roman" w:hAnsi="Times New Roman" w:cs="Times New Roman"/>
                      <w:b/>
                      <w:bCs/>
                      <w:color w:val="000000" w:themeColor="text1"/>
                      <w:sz w:val="20"/>
                      <w:szCs w:val="20"/>
                      <w:lang w:eastAsia="ro-MD"/>
                    </w:rPr>
                    <w:t>exprimată</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în</w:t>
                  </w:r>
                  <w:proofErr w:type="spellEnd"/>
                  <w:r w:rsidRPr="009339E6">
                    <w:rPr>
                      <w:rFonts w:ascii="Times New Roman" w:eastAsia="Times New Roman" w:hAnsi="Times New Roman" w:cs="Times New Roman"/>
                      <w:b/>
                      <w:bCs/>
                      <w:color w:val="000000" w:themeColor="text1"/>
                      <w:sz w:val="20"/>
                      <w:szCs w:val="20"/>
                      <w:lang w:eastAsia="ro-MD"/>
                    </w:rPr>
                    <w:t xml:space="preserve"> ani</w:t>
                  </w:r>
                </w:p>
              </w:tc>
              <w:tc>
                <w:tcPr>
                  <w:tcW w:w="2487" w:type="dxa"/>
                  <w:gridSpan w:val="3"/>
                  <w:tcBorders>
                    <w:top w:val="outset" w:sz="6" w:space="0" w:color="auto"/>
                    <w:left w:val="outset" w:sz="6" w:space="0" w:color="auto"/>
                    <w:bottom w:val="outset" w:sz="6" w:space="0" w:color="auto"/>
                    <w:right w:val="outset" w:sz="6" w:space="0" w:color="auto"/>
                  </w:tcBorders>
                  <w:hideMark/>
                </w:tcPr>
                <w:p w14:paraId="56AFE439"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Ajustările</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volatilitate</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pentru</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titlurile</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datorie</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emise</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entitățile</w:t>
                  </w:r>
                  <w:proofErr w:type="spellEnd"/>
                  <w:r w:rsidRPr="009339E6">
                    <w:rPr>
                      <w:rFonts w:ascii="Times New Roman" w:eastAsia="Times New Roman" w:hAnsi="Times New Roman" w:cs="Times New Roman"/>
                      <w:b/>
                      <w:bCs/>
                      <w:color w:val="000000" w:themeColor="text1"/>
                      <w:sz w:val="20"/>
                      <w:szCs w:val="20"/>
                      <w:lang w:eastAsia="ro-MD"/>
                    </w:rPr>
                    <w:t xml:space="preserve"> </w:t>
                  </w:r>
                  <w:r w:rsidRPr="009339E6">
                    <w:rPr>
                      <w:rFonts w:ascii="Times New Roman" w:eastAsia="Times New Roman" w:hAnsi="Times New Roman" w:cs="Times New Roman"/>
                      <w:b/>
                      <w:bCs/>
                      <w:color w:val="000000" w:themeColor="text1"/>
                      <w:sz w:val="20"/>
                      <w:szCs w:val="20"/>
                      <w:lang w:val="ro-RO" w:eastAsia="ro-MD"/>
                    </w:rPr>
                    <w:t>descrise la punctul 25 subpunctele 2) și 3)</w:t>
                  </w:r>
                </w:p>
              </w:tc>
              <w:tc>
                <w:tcPr>
                  <w:tcW w:w="2487" w:type="dxa"/>
                  <w:gridSpan w:val="3"/>
                  <w:tcBorders>
                    <w:top w:val="outset" w:sz="6" w:space="0" w:color="auto"/>
                    <w:left w:val="outset" w:sz="6" w:space="0" w:color="auto"/>
                    <w:bottom w:val="outset" w:sz="6" w:space="0" w:color="auto"/>
                    <w:right w:val="outset" w:sz="6" w:space="0" w:color="auto"/>
                  </w:tcBorders>
                  <w:hideMark/>
                </w:tcPr>
                <w:p w14:paraId="34D348E2"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r w:rsidRPr="009339E6">
                    <w:rPr>
                      <w:rFonts w:ascii="Times New Roman" w:eastAsia="Times New Roman" w:hAnsi="Times New Roman" w:cs="Times New Roman"/>
                      <w:b/>
                      <w:bCs/>
                      <w:color w:val="000000" w:themeColor="text1"/>
                      <w:sz w:val="20"/>
                      <w:szCs w:val="20"/>
                      <w:lang w:val="ro-RO" w:eastAsia="ro-MD"/>
                    </w:rPr>
                    <w:t>Ajustările de volatilitate pentru titlurile de datorie emise de entitățile descrise la punctul 25 subpunctele 4) și 5)</w:t>
                  </w:r>
                </w:p>
              </w:tc>
              <w:tc>
                <w:tcPr>
                  <w:tcW w:w="2487" w:type="dxa"/>
                  <w:gridSpan w:val="3"/>
                  <w:tcBorders>
                    <w:top w:val="outset" w:sz="6" w:space="0" w:color="auto"/>
                    <w:left w:val="outset" w:sz="6" w:space="0" w:color="auto"/>
                    <w:bottom w:val="outset" w:sz="6" w:space="0" w:color="auto"/>
                    <w:right w:val="outset" w:sz="6" w:space="0" w:color="auto"/>
                  </w:tcBorders>
                  <w:hideMark/>
                </w:tcPr>
                <w:p w14:paraId="289FC857"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Ajustările</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volatilitate</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pentru</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pozițiile</w:t>
                  </w:r>
                  <w:proofErr w:type="spellEnd"/>
                  <w:r w:rsidRPr="009339E6">
                    <w:rPr>
                      <w:rFonts w:ascii="Times New Roman" w:eastAsia="Times New Roman" w:hAnsi="Times New Roman" w:cs="Times New Roman"/>
                      <w:b/>
                      <w:bCs/>
                      <w:color w:val="000000" w:themeColor="text1"/>
                      <w:sz w:val="20"/>
                      <w:szCs w:val="20"/>
                      <w:lang w:eastAsia="ro-MD"/>
                    </w:rPr>
                    <w:t xml:space="preserve"> din </w:t>
                  </w:r>
                  <w:proofErr w:type="spellStart"/>
                  <w:r w:rsidRPr="009339E6">
                    <w:rPr>
                      <w:rFonts w:ascii="Times New Roman" w:eastAsia="Times New Roman" w:hAnsi="Times New Roman" w:cs="Times New Roman"/>
                      <w:b/>
                      <w:bCs/>
                      <w:color w:val="000000" w:themeColor="text1"/>
                      <w:sz w:val="20"/>
                      <w:szCs w:val="20"/>
                      <w:lang w:eastAsia="ro-MD"/>
                    </w:rPr>
                    <w:t>securitizare</w:t>
                  </w:r>
                  <w:proofErr w:type="spellEnd"/>
                  <w:r w:rsidRPr="009339E6">
                    <w:rPr>
                      <w:rFonts w:ascii="Times New Roman" w:eastAsia="Times New Roman" w:hAnsi="Times New Roman" w:cs="Times New Roman"/>
                      <w:b/>
                      <w:bCs/>
                      <w:color w:val="000000" w:themeColor="text1"/>
                      <w:sz w:val="20"/>
                      <w:szCs w:val="20"/>
                      <w:lang w:eastAsia="ro-MD"/>
                    </w:rPr>
                    <w:t xml:space="preserve"> care </w:t>
                  </w:r>
                  <w:proofErr w:type="spellStart"/>
                  <w:r w:rsidRPr="009339E6">
                    <w:rPr>
                      <w:rFonts w:ascii="Times New Roman" w:eastAsia="Times New Roman" w:hAnsi="Times New Roman" w:cs="Times New Roman"/>
                      <w:b/>
                      <w:bCs/>
                      <w:color w:val="000000" w:themeColor="text1"/>
                      <w:sz w:val="20"/>
                      <w:szCs w:val="20"/>
                      <w:lang w:eastAsia="ro-MD"/>
                    </w:rPr>
                    <w:t>îndeplinesc</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criteriile</w:t>
                  </w:r>
                  <w:proofErr w:type="spellEnd"/>
                  <w:r w:rsidRPr="009339E6">
                    <w:rPr>
                      <w:rFonts w:ascii="Times New Roman" w:eastAsia="Times New Roman" w:hAnsi="Times New Roman" w:cs="Times New Roman"/>
                      <w:b/>
                      <w:bCs/>
                      <w:color w:val="000000" w:themeColor="text1"/>
                      <w:sz w:val="20"/>
                      <w:szCs w:val="20"/>
                      <w:lang w:eastAsia="ro-MD"/>
                    </w:rPr>
                    <w:t xml:space="preserve"> </w:t>
                  </w:r>
                  <w:proofErr w:type="spellStart"/>
                  <w:r w:rsidRPr="009339E6">
                    <w:rPr>
                      <w:rFonts w:ascii="Times New Roman" w:eastAsia="Times New Roman" w:hAnsi="Times New Roman" w:cs="Times New Roman"/>
                      <w:b/>
                      <w:bCs/>
                      <w:color w:val="000000" w:themeColor="text1"/>
                      <w:sz w:val="20"/>
                      <w:szCs w:val="20"/>
                      <w:lang w:eastAsia="ro-MD"/>
                    </w:rPr>
                    <w:t>stabilite</w:t>
                  </w:r>
                  <w:proofErr w:type="spellEnd"/>
                  <w:r w:rsidRPr="009339E6">
                    <w:rPr>
                      <w:rFonts w:ascii="Times New Roman" w:eastAsia="Times New Roman" w:hAnsi="Times New Roman" w:cs="Times New Roman"/>
                      <w:b/>
                      <w:bCs/>
                      <w:color w:val="000000" w:themeColor="text1"/>
                      <w:sz w:val="20"/>
                      <w:szCs w:val="20"/>
                      <w:lang w:eastAsia="ro-MD"/>
                    </w:rPr>
                    <w:t xml:space="preserve"> la </w:t>
                  </w:r>
                  <w:r w:rsidRPr="009339E6">
                    <w:rPr>
                      <w:rFonts w:ascii="Times New Roman" w:eastAsia="Times New Roman" w:hAnsi="Times New Roman" w:cs="Times New Roman"/>
                      <w:b/>
                      <w:bCs/>
                      <w:color w:val="000000" w:themeColor="text1"/>
                      <w:sz w:val="20"/>
                      <w:szCs w:val="20"/>
                      <w:lang w:val="ro-RO" w:eastAsia="ro-MD"/>
                    </w:rPr>
                    <w:t xml:space="preserve">punctul 25 subpunctul 9) </w:t>
                  </w:r>
                </w:p>
              </w:tc>
            </w:tr>
            <w:tr w:rsidR="00A94811" w:rsidRPr="009339E6" w14:paraId="007784AF"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tcBorders>
                    <w:top w:val="outset" w:sz="6" w:space="0" w:color="auto"/>
                    <w:left w:val="outset" w:sz="6" w:space="0" w:color="auto"/>
                    <w:bottom w:val="outset" w:sz="6" w:space="0" w:color="auto"/>
                    <w:right w:val="outset" w:sz="6" w:space="0" w:color="auto"/>
                  </w:tcBorders>
                  <w:hideMark/>
                </w:tcPr>
                <w:p w14:paraId="5CDB0289" w14:textId="77777777" w:rsidR="00A94811" w:rsidRPr="009339E6" w:rsidRDefault="00A94811" w:rsidP="00A94811">
                  <w:pPr>
                    <w:spacing w:after="0" w:line="312" w:lineRule="atLeast"/>
                    <w:rPr>
                      <w:rFonts w:ascii="Times New Roman" w:eastAsia="Times New Roman" w:hAnsi="Times New Roman" w:cs="Times New Roman"/>
                      <w:b/>
                      <w:bCs/>
                      <w:color w:val="000000" w:themeColor="text1"/>
                      <w:sz w:val="20"/>
                      <w:szCs w:val="20"/>
                      <w:lang w:eastAsia="ro-MD"/>
                    </w:rPr>
                  </w:pPr>
                  <w:r w:rsidRPr="009339E6">
                    <w:rPr>
                      <w:rFonts w:ascii="Times New Roman" w:eastAsia="Times New Roman" w:hAnsi="Times New Roman" w:cs="Times New Roman"/>
                      <w:b/>
                      <w:bCs/>
                      <w:color w:val="000000" w:themeColor="text1"/>
                      <w:sz w:val="20"/>
                      <w:szCs w:val="20"/>
                      <w:lang w:eastAsia="ro-MD"/>
                    </w:rPr>
                    <w:t> </w:t>
                  </w:r>
                </w:p>
              </w:tc>
              <w:tc>
                <w:tcPr>
                  <w:tcW w:w="940" w:type="dxa"/>
                  <w:tcBorders>
                    <w:top w:val="outset" w:sz="6" w:space="0" w:color="auto"/>
                    <w:left w:val="outset" w:sz="6" w:space="0" w:color="auto"/>
                    <w:bottom w:val="outset" w:sz="6" w:space="0" w:color="auto"/>
                    <w:right w:val="outset" w:sz="6" w:space="0" w:color="auto"/>
                  </w:tcBorders>
                  <w:hideMark/>
                </w:tcPr>
                <w:p w14:paraId="58FD336F" w14:textId="77777777" w:rsidR="00A94811" w:rsidRPr="009339E6" w:rsidRDefault="00A94811" w:rsidP="00A94811">
                  <w:pPr>
                    <w:spacing w:after="0" w:line="312" w:lineRule="atLeast"/>
                    <w:rPr>
                      <w:rFonts w:ascii="Times New Roman" w:eastAsia="Times New Roman" w:hAnsi="Times New Roman" w:cs="Times New Roman"/>
                      <w:b/>
                      <w:bCs/>
                      <w:color w:val="000000" w:themeColor="text1"/>
                      <w:sz w:val="20"/>
                      <w:szCs w:val="20"/>
                      <w:lang w:eastAsia="ro-MD"/>
                    </w:rPr>
                  </w:pPr>
                  <w:r w:rsidRPr="009339E6">
                    <w:rPr>
                      <w:rFonts w:ascii="Times New Roman" w:eastAsia="Times New Roman" w:hAnsi="Times New Roman" w:cs="Times New Roman"/>
                      <w:b/>
                      <w:bCs/>
                      <w:color w:val="000000" w:themeColor="text1"/>
                      <w:sz w:val="20"/>
                      <w:szCs w:val="20"/>
                      <w:lang w:eastAsia="ro-MD"/>
                    </w:rPr>
                    <w:t> </w:t>
                  </w:r>
                </w:p>
              </w:tc>
              <w:tc>
                <w:tcPr>
                  <w:tcW w:w="829" w:type="dxa"/>
                  <w:tcBorders>
                    <w:top w:val="outset" w:sz="6" w:space="0" w:color="auto"/>
                    <w:left w:val="outset" w:sz="6" w:space="0" w:color="auto"/>
                    <w:bottom w:val="outset" w:sz="6" w:space="0" w:color="auto"/>
                    <w:right w:val="outset" w:sz="6" w:space="0" w:color="auto"/>
                  </w:tcBorders>
                  <w:hideMark/>
                </w:tcPr>
                <w:p w14:paraId="04AB1839"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20 de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c>
                <w:tcPr>
                  <w:tcW w:w="829" w:type="dxa"/>
                  <w:tcBorders>
                    <w:top w:val="outset" w:sz="6" w:space="0" w:color="auto"/>
                    <w:left w:val="outset" w:sz="6" w:space="0" w:color="auto"/>
                    <w:bottom w:val="outset" w:sz="6" w:space="0" w:color="auto"/>
                    <w:right w:val="outset" w:sz="6" w:space="0" w:color="auto"/>
                  </w:tcBorders>
                  <w:hideMark/>
                </w:tcPr>
                <w:p w14:paraId="32CCEF97"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10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c>
                <w:tcPr>
                  <w:tcW w:w="829" w:type="dxa"/>
                  <w:tcBorders>
                    <w:top w:val="outset" w:sz="6" w:space="0" w:color="auto"/>
                    <w:left w:val="outset" w:sz="6" w:space="0" w:color="auto"/>
                    <w:bottom w:val="outset" w:sz="6" w:space="0" w:color="auto"/>
                    <w:right w:val="outset" w:sz="6" w:space="0" w:color="auto"/>
                  </w:tcBorders>
                  <w:hideMark/>
                </w:tcPr>
                <w:p w14:paraId="7B104620"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5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c>
                <w:tcPr>
                  <w:tcW w:w="829" w:type="dxa"/>
                  <w:tcBorders>
                    <w:top w:val="outset" w:sz="6" w:space="0" w:color="auto"/>
                    <w:left w:val="outset" w:sz="6" w:space="0" w:color="auto"/>
                    <w:bottom w:val="outset" w:sz="6" w:space="0" w:color="auto"/>
                    <w:right w:val="outset" w:sz="6" w:space="0" w:color="auto"/>
                  </w:tcBorders>
                  <w:hideMark/>
                </w:tcPr>
                <w:p w14:paraId="3A5F2466"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20 de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c>
                <w:tcPr>
                  <w:tcW w:w="829" w:type="dxa"/>
                  <w:tcBorders>
                    <w:top w:val="outset" w:sz="6" w:space="0" w:color="auto"/>
                    <w:left w:val="outset" w:sz="6" w:space="0" w:color="auto"/>
                    <w:bottom w:val="outset" w:sz="6" w:space="0" w:color="auto"/>
                    <w:right w:val="outset" w:sz="6" w:space="0" w:color="auto"/>
                  </w:tcBorders>
                  <w:hideMark/>
                </w:tcPr>
                <w:p w14:paraId="6F0430BF"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10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c>
                <w:tcPr>
                  <w:tcW w:w="829" w:type="dxa"/>
                  <w:tcBorders>
                    <w:top w:val="outset" w:sz="6" w:space="0" w:color="auto"/>
                    <w:left w:val="outset" w:sz="6" w:space="0" w:color="auto"/>
                    <w:bottom w:val="outset" w:sz="6" w:space="0" w:color="auto"/>
                    <w:right w:val="outset" w:sz="6" w:space="0" w:color="auto"/>
                  </w:tcBorders>
                  <w:hideMark/>
                </w:tcPr>
                <w:p w14:paraId="0ECF0B79"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5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c>
                <w:tcPr>
                  <w:tcW w:w="829" w:type="dxa"/>
                  <w:tcBorders>
                    <w:top w:val="outset" w:sz="6" w:space="0" w:color="auto"/>
                    <w:left w:val="outset" w:sz="6" w:space="0" w:color="auto"/>
                    <w:bottom w:val="outset" w:sz="6" w:space="0" w:color="auto"/>
                    <w:right w:val="outset" w:sz="6" w:space="0" w:color="auto"/>
                  </w:tcBorders>
                  <w:hideMark/>
                </w:tcPr>
                <w:p w14:paraId="37F7CCA4"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20 de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c>
                <w:tcPr>
                  <w:tcW w:w="829" w:type="dxa"/>
                  <w:tcBorders>
                    <w:top w:val="outset" w:sz="6" w:space="0" w:color="auto"/>
                    <w:left w:val="outset" w:sz="6" w:space="0" w:color="auto"/>
                    <w:bottom w:val="outset" w:sz="6" w:space="0" w:color="auto"/>
                    <w:right w:val="outset" w:sz="6" w:space="0" w:color="auto"/>
                  </w:tcBorders>
                  <w:hideMark/>
                </w:tcPr>
                <w:p w14:paraId="38728572"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10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c>
                <w:tcPr>
                  <w:tcW w:w="829" w:type="dxa"/>
                  <w:tcBorders>
                    <w:top w:val="outset" w:sz="6" w:space="0" w:color="auto"/>
                    <w:left w:val="outset" w:sz="6" w:space="0" w:color="auto"/>
                    <w:bottom w:val="outset" w:sz="6" w:space="0" w:color="auto"/>
                    <w:right w:val="outset" w:sz="6" w:space="0" w:color="auto"/>
                  </w:tcBorders>
                  <w:hideMark/>
                </w:tcPr>
                <w:p w14:paraId="1C764666" w14:textId="77777777" w:rsidR="00A94811" w:rsidRPr="009339E6" w:rsidRDefault="00A94811" w:rsidP="00A94811">
                  <w:pPr>
                    <w:spacing w:before="60" w:after="60" w:line="312" w:lineRule="atLeast"/>
                    <w:jc w:val="both"/>
                    <w:rPr>
                      <w:rFonts w:ascii="Times New Roman" w:eastAsia="Times New Roman" w:hAnsi="Times New Roman" w:cs="Times New Roman"/>
                      <w:b/>
                      <w:bCs/>
                      <w:color w:val="000000" w:themeColor="text1"/>
                      <w:sz w:val="20"/>
                      <w:szCs w:val="20"/>
                      <w:lang w:eastAsia="ro-MD"/>
                    </w:rPr>
                  </w:pPr>
                  <w:proofErr w:type="spellStart"/>
                  <w:r w:rsidRPr="009339E6">
                    <w:rPr>
                      <w:rFonts w:ascii="Times New Roman" w:eastAsia="Times New Roman" w:hAnsi="Times New Roman" w:cs="Times New Roman"/>
                      <w:b/>
                      <w:bCs/>
                      <w:color w:val="000000" w:themeColor="text1"/>
                      <w:sz w:val="20"/>
                      <w:szCs w:val="20"/>
                      <w:lang w:eastAsia="ro-MD"/>
                    </w:rPr>
                    <w:t>Perioadă</w:t>
                  </w:r>
                  <w:proofErr w:type="spellEnd"/>
                  <w:r w:rsidRPr="009339E6">
                    <w:rPr>
                      <w:rFonts w:ascii="Times New Roman" w:eastAsia="Times New Roman" w:hAnsi="Times New Roman" w:cs="Times New Roman"/>
                      <w:b/>
                      <w:bCs/>
                      <w:color w:val="000000" w:themeColor="text1"/>
                      <w:sz w:val="20"/>
                      <w:szCs w:val="20"/>
                      <w:lang w:eastAsia="ro-MD"/>
                    </w:rPr>
                    <w:t xml:space="preserve"> de </w:t>
                  </w:r>
                  <w:proofErr w:type="spellStart"/>
                  <w:r w:rsidRPr="009339E6">
                    <w:rPr>
                      <w:rFonts w:ascii="Times New Roman" w:eastAsia="Times New Roman" w:hAnsi="Times New Roman" w:cs="Times New Roman"/>
                      <w:b/>
                      <w:bCs/>
                      <w:color w:val="000000" w:themeColor="text1"/>
                      <w:sz w:val="20"/>
                      <w:szCs w:val="20"/>
                      <w:lang w:eastAsia="ro-MD"/>
                    </w:rPr>
                    <w:t>deținere</w:t>
                  </w:r>
                  <w:proofErr w:type="spellEnd"/>
                  <w:r w:rsidRPr="009339E6">
                    <w:rPr>
                      <w:rFonts w:ascii="Times New Roman" w:eastAsia="Times New Roman" w:hAnsi="Times New Roman" w:cs="Times New Roman"/>
                      <w:b/>
                      <w:bCs/>
                      <w:color w:val="000000" w:themeColor="text1"/>
                      <w:sz w:val="20"/>
                      <w:szCs w:val="20"/>
                      <w:lang w:eastAsia="ro-MD"/>
                    </w:rPr>
                    <w:t xml:space="preserve"> de 5 </w:t>
                  </w:r>
                  <w:proofErr w:type="spellStart"/>
                  <w:r w:rsidRPr="009339E6">
                    <w:rPr>
                      <w:rFonts w:ascii="Times New Roman" w:eastAsia="Times New Roman" w:hAnsi="Times New Roman" w:cs="Times New Roman"/>
                      <w:b/>
                      <w:bCs/>
                      <w:color w:val="000000" w:themeColor="text1"/>
                      <w:sz w:val="20"/>
                      <w:szCs w:val="20"/>
                      <w:lang w:eastAsia="ro-MD"/>
                    </w:rPr>
                    <w:t>zile</w:t>
                  </w:r>
                  <w:proofErr w:type="spellEnd"/>
                  <w:r w:rsidRPr="009339E6">
                    <w:rPr>
                      <w:rFonts w:ascii="Times New Roman" w:eastAsia="Times New Roman" w:hAnsi="Times New Roman" w:cs="Times New Roman"/>
                      <w:b/>
                      <w:bCs/>
                      <w:color w:val="000000" w:themeColor="text1"/>
                      <w:sz w:val="20"/>
                      <w:szCs w:val="20"/>
                      <w:lang w:eastAsia="ro-MD"/>
                    </w:rPr>
                    <w:t xml:space="preserve"> (%)</w:t>
                  </w:r>
                </w:p>
              </w:tc>
            </w:tr>
            <w:tr w:rsidR="00A94811" w:rsidRPr="009339E6" w14:paraId="154E9B73"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val="restart"/>
                  <w:tcBorders>
                    <w:top w:val="outset" w:sz="6" w:space="0" w:color="auto"/>
                    <w:left w:val="outset" w:sz="6" w:space="0" w:color="auto"/>
                    <w:right w:val="outset" w:sz="6" w:space="0" w:color="auto"/>
                  </w:tcBorders>
                  <w:hideMark/>
                </w:tcPr>
                <w:p w14:paraId="0429E7F3"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w:t>
                  </w:r>
                </w:p>
                <w:p w14:paraId="56B3F57F"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 </w:t>
                  </w:r>
                </w:p>
                <w:p w14:paraId="50DDF285"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 </w:t>
                  </w:r>
                </w:p>
                <w:p w14:paraId="6DADA9B0"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 </w:t>
                  </w:r>
                </w:p>
                <w:p w14:paraId="3A53A8D1"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 </w:t>
                  </w:r>
                </w:p>
              </w:tc>
              <w:tc>
                <w:tcPr>
                  <w:tcW w:w="940" w:type="dxa"/>
                  <w:tcBorders>
                    <w:top w:val="outset" w:sz="6" w:space="0" w:color="auto"/>
                    <w:left w:val="outset" w:sz="6" w:space="0" w:color="auto"/>
                    <w:bottom w:val="outset" w:sz="6" w:space="0" w:color="auto"/>
                    <w:right w:val="outset" w:sz="6" w:space="0" w:color="auto"/>
                  </w:tcBorders>
                  <w:hideMark/>
                </w:tcPr>
                <w:p w14:paraId="368038B6"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m ≤ 1</w:t>
                  </w:r>
                </w:p>
              </w:tc>
              <w:tc>
                <w:tcPr>
                  <w:tcW w:w="829" w:type="dxa"/>
                  <w:tcBorders>
                    <w:top w:val="outset" w:sz="6" w:space="0" w:color="auto"/>
                    <w:left w:val="outset" w:sz="6" w:space="0" w:color="auto"/>
                    <w:bottom w:val="outset" w:sz="6" w:space="0" w:color="auto"/>
                    <w:right w:val="outset" w:sz="6" w:space="0" w:color="auto"/>
                  </w:tcBorders>
                  <w:hideMark/>
                </w:tcPr>
                <w:p w14:paraId="700C6F56"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0,707</w:t>
                  </w:r>
                </w:p>
              </w:tc>
              <w:tc>
                <w:tcPr>
                  <w:tcW w:w="829" w:type="dxa"/>
                  <w:tcBorders>
                    <w:top w:val="outset" w:sz="6" w:space="0" w:color="auto"/>
                    <w:left w:val="outset" w:sz="6" w:space="0" w:color="auto"/>
                    <w:bottom w:val="outset" w:sz="6" w:space="0" w:color="auto"/>
                    <w:right w:val="outset" w:sz="6" w:space="0" w:color="auto"/>
                  </w:tcBorders>
                  <w:hideMark/>
                </w:tcPr>
                <w:p w14:paraId="2818328D"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0,5</w:t>
                  </w:r>
                </w:p>
              </w:tc>
              <w:tc>
                <w:tcPr>
                  <w:tcW w:w="829" w:type="dxa"/>
                  <w:tcBorders>
                    <w:top w:val="outset" w:sz="6" w:space="0" w:color="auto"/>
                    <w:left w:val="outset" w:sz="6" w:space="0" w:color="auto"/>
                    <w:bottom w:val="outset" w:sz="6" w:space="0" w:color="auto"/>
                    <w:right w:val="outset" w:sz="6" w:space="0" w:color="auto"/>
                  </w:tcBorders>
                  <w:hideMark/>
                </w:tcPr>
                <w:p w14:paraId="43580BE3"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0,354</w:t>
                  </w:r>
                </w:p>
              </w:tc>
              <w:tc>
                <w:tcPr>
                  <w:tcW w:w="829" w:type="dxa"/>
                  <w:tcBorders>
                    <w:top w:val="outset" w:sz="6" w:space="0" w:color="auto"/>
                    <w:left w:val="outset" w:sz="6" w:space="0" w:color="auto"/>
                    <w:bottom w:val="outset" w:sz="6" w:space="0" w:color="auto"/>
                    <w:right w:val="outset" w:sz="6" w:space="0" w:color="auto"/>
                  </w:tcBorders>
                  <w:hideMark/>
                </w:tcPr>
                <w:p w14:paraId="23CCD3F1"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1,414</w:t>
                  </w:r>
                </w:p>
              </w:tc>
              <w:tc>
                <w:tcPr>
                  <w:tcW w:w="829" w:type="dxa"/>
                  <w:tcBorders>
                    <w:top w:val="outset" w:sz="6" w:space="0" w:color="auto"/>
                    <w:left w:val="outset" w:sz="6" w:space="0" w:color="auto"/>
                    <w:bottom w:val="outset" w:sz="6" w:space="0" w:color="auto"/>
                    <w:right w:val="outset" w:sz="6" w:space="0" w:color="auto"/>
                  </w:tcBorders>
                  <w:hideMark/>
                </w:tcPr>
                <w:p w14:paraId="03EB7B2D"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w:t>
                  </w:r>
                </w:p>
              </w:tc>
              <w:tc>
                <w:tcPr>
                  <w:tcW w:w="829" w:type="dxa"/>
                  <w:tcBorders>
                    <w:top w:val="outset" w:sz="6" w:space="0" w:color="auto"/>
                    <w:left w:val="outset" w:sz="6" w:space="0" w:color="auto"/>
                    <w:bottom w:val="outset" w:sz="6" w:space="0" w:color="auto"/>
                    <w:right w:val="outset" w:sz="6" w:space="0" w:color="auto"/>
                  </w:tcBorders>
                  <w:hideMark/>
                </w:tcPr>
                <w:p w14:paraId="7BE130C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0,707</w:t>
                  </w:r>
                </w:p>
              </w:tc>
              <w:tc>
                <w:tcPr>
                  <w:tcW w:w="829" w:type="dxa"/>
                  <w:tcBorders>
                    <w:top w:val="outset" w:sz="6" w:space="0" w:color="auto"/>
                    <w:left w:val="outset" w:sz="6" w:space="0" w:color="auto"/>
                    <w:bottom w:val="outset" w:sz="6" w:space="0" w:color="auto"/>
                    <w:right w:val="outset" w:sz="6" w:space="0" w:color="auto"/>
                  </w:tcBorders>
                  <w:hideMark/>
                </w:tcPr>
                <w:p w14:paraId="091954C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c>
                <w:tcPr>
                  <w:tcW w:w="829" w:type="dxa"/>
                  <w:tcBorders>
                    <w:top w:val="outset" w:sz="6" w:space="0" w:color="auto"/>
                    <w:left w:val="outset" w:sz="6" w:space="0" w:color="auto"/>
                    <w:bottom w:val="outset" w:sz="6" w:space="0" w:color="auto"/>
                    <w:right w:val="outset" w:sz="6" w:space="0" w:color="auto"/>
                  </w:tcBorders>
                  <w:hideMark/>
                </w:tcPr>
                <w:p w14:paraId="2BD6345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w:t>
                  </w:r>
                </w:p>
              </w:tc>
              <w:tc>
                <w:tcPr>
                  <w:tcW w:w="829" w:type="dxa"/>
                  <w:tcBorders>
                    <w:top w:val="outset" w:sz="6" w:space="0" w:color="auto"/>
                    <w:left w:val="outset" w:sz="6" w:space="0" w:color="auto"/>
                    <w:bottom w:val="outset" w:sz="6" w:space="0" w:color="auto"/>
                    <w:right w:val="outset" w:sz="6" w:space="0" w:color="auto"/>
                  </w:tcBorders>
                  <w:hideMark/>
                </w:tcPr>
                <w:p w14:paraId="53A252C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1,414</w:t>
                  </w:r>
                </w:p>
              </w:tc>
            </w:tr>
            <w:tr w:rsidR="00A94811" w:rsidRPr="009339E6" w14:paraId="725A76EA"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tcBorders>
                    <w:left w:val="outset" w:sz="6" w:space="0" w:color="auto"/>
                    <w:right w:val="outset" w:sz="6" w:space="0" w:color="auto"/>
                  </w:tcBorders>
                  <w:hideMark/>
                </w:tcPr>
                <w:p w14:paraId="03AE47A0"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p>
              </w:tc>
              <w:tc>
                <w:tcPr>
                  <w:tcW w:w="940" w:type="dxa"/>
                  <w:tcBorders>
                    <w:top w:val="outset" w:sz="6" w:space="0" w:color="auto"/>
                    <w:left w:val="outset" w:sz="6" w:space="0" w:color="auto"/>
                    <w:bottom w:val="outset" w:sz="6" w:space="0" w:color="auto"/>
                    <w:right w:val="outset" w:sz="6" w:space="0" w:color="auto"/>
                  </w:tcBorders>
                  <w:hideMark/>
                </w:tcPr>
                <w:p w14:paraId="4FFE651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 &lt; m ≤ 3</w:t>
                  </w:r>
                </w:p>
              </w:tc>
              <w:tc>
                <w:tcPr>
                  <w:tcW w:w="829" w:type="dxa"/>
                  <w:tcBorders>
                    <w:top w:val="outset" w:sz="6" w:space="0" w:color="auto"/>
                    <w:left w:val="outset" w:sz="6" w:space="0" w:color="auto"/>
                    <w:bottom w:val="outset" w:sz="6" w:space="0" w:color="auto"/>
                    <w:right w:val="outset" w:sz="6" w:space="0" w:color="auto"/>
                  </w:tcBorders>
                  <w:hideMark/>
                </w:tcPr>
                <w:p w14:paraId="6D7A1F3D"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c>
                <w:tcPr>
                  <w:tcW w:w="829" w:type="dxa"/>
                  <w:tcBorders>
                    <w:top w:val="outset" w:sz="6" w:space="0" w:color="auto"/>
                    <w:left w:val="outset" w:sz="6" w:space="0" w:color="auto"/>
                    <w:bottom w:val="outset" w:sz="6" w:space="0" w:color="auto"/>
                    <w:right w:val="outset" w:sz="6" w:space="0" w:color="auto"/>
                  </w:tcBorders>
                  <w:hideMark/>
                </w:tcPr>
                <w:p w14:paraId="010D643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w:t>
                  </w:r>
                </w:p>
              </w:tc>
              <w:tc>
                <w:tcPr>
                  <w:tcW w:w="829" w:type="dxa"/>
                  <w:tcBorders>
                    <w:top w:val="outset" w:sz="6" w:space="0" w:color="auto"/>
                    <w:left w:val="outset" w:sz="6" w:space="0" w:color="auto"/>
                    <w:bottom w:val="outset" w:sz="6" w:space="0" w:color="auto"/>
                    <w:right w:val="outset" w:sz="6" w:space="0" w:color="auto"/>
                  </w:tcBorders>
                  <w:hideMark/>
                </w:tcPr>
                <w:p w14:paraId="79CA71F6"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1,414</w:t>
                  </w:r>
                </w:p>
              </w:tc>
              <w:tc>
                <w:tcPr>
                  <w:tcW w:w="829" w:type="dxa"/>
                  <w:tcBorders>
                    <w:top w:val="outset" w:sz="6" w:space="0" w:color="auto"/>
                    <w:left w:val="outset" w:sz="6" w:space="0" w:color="auto"/>
                    <w:bottom w:val="outset" w:sz="6" w:space="0" w:color="auto"/>
                    <w:right w:val="outset" w:sz="6" w:space="0" w:color="auto"/>
                  </w:tcBorders>
                  <w:hideMark/>
                </w:tcPr>
                <w:p w14:paraId="6682DE5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4,243</w:t>
                  </w:r>
                </w:p>
              </w:tc>
              <w:tc>
                <w:tcPr>
                  <w:tcW w:w="829" w:type="dxa"/>
                  <w:tcBorders>
                    <w:top w:val="outset" w:sz="6" w:space="0" w:color="auto"/>
                    <w:left w:val="outset" w:sz="6" w:space="0" w:color="auto"/>
                    <w:bottom w:val="outset" w:sz="6" w:space="0" w:color="auto"/>
                    <w:right w:val="outset" w:sz="6" w:space="0" w:color="auto"/>
                  </w:tcBorders>
                  <w:hideMark/>
                </w:tcPr>
                <w:p w14:paraId="4599355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3</w:t>
                  </w:r>
                </w:p>
              </w:tc>
              <w:tc>
                <w:tcPr>
                  <w:tcW w:w="829" w:type="dxa"/>
                  <w:tcBorders>
                    <w:top w:val="outset" w:sz="6" w:space="0" w:color="auto"/>
                    <w:left w:val="outset" w:sz="6" w:space="0" w:color="auto"/>
                    <w:bottom w:val="outset" w:sz="6" w:space="0" w:color="auto"/>
                    <w:right w:val="outset" w:sz="6" w:space="0" w:color="auto"/>
                  </w:tcBorders>
                  <w:hideMark/>
                </w:tcPr>
                <w:p w14:paraId="219FC36A"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2,121</w:t>
                  </w:r>
                </w:p>
              </w:tc>
              <w:tc>
                <w:tcPr>
                  <w:tcW w:w="829" w:type="dxa"/>
                  <w:tcBorders>
                    <w:top w:val="outset" w:sz="6" w:space="0" w:color="auto"/>
                    <w:left w:val="outset" w:sz="6" w:space="0" w:color="auto"/>
                    <w:bottom w:val="outset" w:sz="6" w:space="0" w:color="auto"/>
                    <w:right w:val="outset" w:sz="6" w:space="0" w:color="auto"/>
                  </w:tcBorders>
                  <w:hideMark/>
                </w:tcPr>
                <w:p w14:paraId="09188291"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11,314</w:t>
                  </w:r>
                </w:p>
              </w:tc>
              <w:tc>
                <w:tcPr>
                  <w:tcW w:w="829" w:type="dxa"/>
                  <w:tcBorders>
                    <w:top w:val="outset" w:sz="6" w:space="0" w:color="auto"/>
                    <w:left w:val="outset" w:sz="6" w:space="0" w:color="auto"/>
                    <w:bottom w:val="outset" w:sz="6" w:space="0" w:color="auto"/>
                    <w:right w:val="outset" w:sz="6" w:space="0" w:color="auto"/>
                  </w:tcBorders>
                  <w:hideMark/>
                </w:tcPr>
                <w:p w14:paraId="0C55ABFA"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w:t>
                  </w:r>
                </w:p>
              </w:tc>
              <w:tc>
                <w:tcPr>
                  <w:tcW w:w="829" w:type="dxa"/>
                  <w:tcBorders>
                    <w:top w:val="outset" w:sz="6" w:space="0" w:color="auto"/>
                    <w:left w:val="outset" w:sz="6" w:space="0" w:color="auto"/>
                    <w:bottom w:val="outset" w:sz="6" w:space="0" w:color="auto"/>
                    <w:right w:val="outset" w:sz="6" w:space="0" w:color="auto"/>
                  </w:tcBorders>
                  <w:hideMark/>
                </w:tcPr>
                <w:p w14:paraId="4DB34B3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5,657</w:t>
                  </w:r>
                </w:p>
              </w:tc>
            </w:tr>
            <w:tr w:rsidR="00A94811" w:rsidRPr="009339E6" w14:paraId="09F82153"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tcBorders>
                    <w:left w:val="outset" w:sz="6" w:space="0" w:color="auto"/>
                    <w:right w:val="outset" w:sz="6" w:space="0" w:color="auto"/>
                  </w:tcBorders>
                  <w:hideMark/>
                </w:tcPr>
                <w:p w14:paraId="1390F6B5"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p>
              </w:tc>
              <w:tc>
                <w:tcPr>
                  <w:tcW w:w="940" w:type="dxa"/>
                  <w:tcBorders>
                    <w:top w:val="outset" w:sz="6" w:space="0" w:color="auto"/>
                    <w:left w:val="outset" w:sz="6" w:space="0" w:color="auto"/>
                    <w:bottom w:val="outset" w:sz="6" w:space="0" w:color="auto"/>
                    <w:right w:val="outset" w:sz="6" w:space="0" w:color="auto"/>
                  </w:tcBorders>
                  <w:hideMark/>
                </w:tcPr>
                <w:p w14:paraId="3B552F6F"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3 &lt; m ≤ 5</w:t>
                  </w:r>
                </w:p>
              </w:tc>
              <w:tc>
                <w:tcPr>
                  <w:tcW w:w="829" w:type="dxa"/>
                  <w:tcBorders>
                    <w:top w:val="outset" w:sz="6" w:space="0" w:color="auto"/>
                    <w:left w:val="outset" w:sz="6" w:space="0" w:color="auto"/>
                    <w:bottom w:val="outset" w:sz="6" w:space="0" w:color="auto"/>
                    <w:right w:val="outset" w:sz="6" w:space="0" w:color="auto"/>
                  </w:tcBorders>
                  <w:hideMark/>
                </w:tcPr>
                <w:p w14:paraId="4E097935"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c>
                <w:tcPr>
                  <w:tcW w:w="829" w:type="dxa"/>
                  <w:tcBorders>
                    <w:top w:val="outset" w:sz="6" w:space="0" w:color="auto"/>
                    <w:left w:val="outset" w:sz="6" w:space="0" w:color="auto"/>
                    <w:bottom w:val="outset" w:sz="6" w:space="0" w:color="auto"/>
                    <w:right w:val="outset" w:sz="6" w:space="0" w:color="auto"/>
                  </w:tcBorders>
                  <w:hideMark/>
                </w:tcPr>
                <w:p w14:paraId="5C7BD5D2"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w:t>
                  </w:r>
                </w:p>
              </w:tc>
              <w:tc>
                <w:tcPr>
                  <w:tcW w:w="829" w:type="dxa"/>
                  <w:tcBorders>
                    <w:top w:val="outset" w:sz="6" w:space="0" w:color="auto"/>
                    <w:left w:val="outset" w:sz="6" w:space="0" w:color="auto"/>
                    <w:bottom w:val="outset" w:sz="6" w:space="0" w:color="auto"/>
                    <w:right w:val="outset" w:sz="6" w:space="0" w:color="auto"/>
                  </w:tcBorders>
                  <w:hideMark/>
                </w:tcPr>
                <w:p w14:paraId="15C6C4E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1,414</w:t>
                  </w:r>
                </w:p>
              </w:tc>
              <w:tc>
                <w:tcPr>
                  <w:tcW w:w="829" w:type="dxa"/>
                  <w:tcBorders>
                    <w:top w:val="outset" w:sz="6" w:space="0" w:color="auto"/>
                    <w:left w:val="outset" w:sz="6" w:space="0" w:color="auto"/>
                    <w:bottom w:val="outset" w:sz="6" w:space="0" w:color="auto"/>
                    <w:right w:val="outset" w:sz="6" w:space="0" w:color="auto"/>
                  </w:tcBorders>
                  <w:hideMark/>
                </w:tcPr>
                <w:p w14:paraId="057C0C0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5,657</w:t>
                  </w:r>
                </w:p>
              </w:tc>
              <w:tc>
                <w:tcPr>
                  <w:tcW w:w="829" w:type="dxa"/>
                  <w:tcBorders>
                    <w:top w:val="outset" w:sz="6" w:space="0" w:color="auto"/>
                    <w:left w:val="outset" w:sz="6" w:space="0" w:color="auto"/>
                    <w:bottom w:val="outset" w:sz="6" w:space="0" w:color="auto"/>
                    <w:right w:val="outset" w:sz="6" w:space="0" w:color="auto"/>
                  </w:tcBorders>
                  <w:hideMark/>
                </w:tcPr>
                <w:p w14:paraId="02E596E0"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w:t>
                  </w:r>
                </w:p>
              </w:tc>
              <w:tc>
                <w:tcPr>
                  <w:tcW w:w="829" w:type="dxa"/>
                  <w:tcBorders>
                    <w:top w:val="outset" w:sz="6" w:space="0" w:color="auto"/>
                    <w:left w:val="outset" w:sz="6" w:space="0" w:color="auto"/>
                    <w:bottom w:val="outset" w:sz="6" w:space="0" w:color="auto"/>
                    <w:right w:val="outset" w:sz="6" w:space="0" w:color="auto"/>
                  </w:tcBorders>
                  <w:hideMark/>
                </w:tcPr>
                <w:p w14:paraId="3CD9C34D"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c>
                <w:tcPr>
                  <w:tcW w:w="829" w:type="dxa"/>
                  <w:tcBorders>
                    <w:top w:val="outset" w:sz="6" w:space="0" w:color="auto"/>
                    <w:left w:val="outset" w:sz="6" w:space="0" w:color="auto"/>
                    <w:bottom w:val="outset" w:sz="6" w:space="0" w:color="auto"/>
                    <w:right w:val="outset" w:sz="6" w:space="0" w:color="auto"/>
                  </w:tcBorders>
                  <w:hideMark/>
                </w:tcPr>
                <w:p w14:paraId="0926361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11,314</w:t>
                  </w:r>
                </w:p>
              </w:tc>
              <w:tc>
                <w:tcPr>
                  <w:tcW w:w="829" w:type="dxa"/>
                  <w:tcBorders>
                    <w:top w:val="outset" w:sz="6" w:space="0" w:color="auto"/>
                    <w:left w:val="outset" w:sz="6" w:space="0" w:color="auto"/>
                    <w:bottom w:val="outset" w:sz="6" w:space="0" w:color="auto"/>
                    <w:right w:val="outset" w:sz="6" w:space="0" w:color="auto"/>
                  </w:tcBorders>
                  <w:hideMark/>
                </w:tcPr>
                <w:p w14:paraId="19F60E63"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w:t>
                  </w:r>
                </w:p>
              </w:tc>
              <w:tc>
                <w:tcPr>
                  <w:tcW w:w="829" w:type="dxa"/>
                  <w:tcBorders>
                    <w:top w:val="outset" w:sz="6" w:space="0" w:color="auto"/>
                    <w:left w:val="outset" w:sz="6" w:space="0" w:color="auto"/>
                    <w:bottom w:val="outset" w:sz="6" w:space="0" w:color="auto"/>
                    <w:right w:val="outset" w:sz="6" w:space="0" w:color="auto"/>
                  </w:tcBorders>
                  <w:hideMark/>
                </w:tcPr>
                <w:p w14:paraId="0F92B360"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5,657</w:t>
                  </w:r>
                </w:p>
              </w:tc>
            </w:tr>
            <w:tr w:rsidR="00A94811" w:rsidRPr="009339E6" w14:paraId="565EC4E1"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tcBorders>
                    <w:left w:val="outset" w:sz="6" w:space="0" w:color="auto"/>
                    <w:right w:val="outset" w:sz="6" w:space="0" w:color="auto"/>
                  </w:tcBorders>
                  <w:hideMark/>
                </w:tcPr>
                <w:p w14:paraId="0F233084"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p>
              </w:tc>
              <w:tc>
                <w:tcPr>
                  <w:tcW w:w="940" w:type="dxa"/>
                  <w:tcBorders>
                    <w:top w:val="outset" w:sz="6" w:space="0" w:color="auto"/>
                    <w:left w:val="outset" w:sz="6" w:space="0" w:color="auto"/>
                    <w:bottom w:val="outset" w:sz="6" w:space="0" w:color="auto"/>
                    <w:right w:val="outset" w:sz="6" w:space="0" w:color="auto"/>
                  </w:tcBorders>
                  <w:hideMark/>
                </w:tcPr>
                <w:p w14:paraId="5408F6B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 &lt; m ≤ 10</w:t>
                  </w:r>
                </w:p>
              </w:tc>
              <w:tc>
                <w:tcPr>
                  <w:tcW w:w="829" w:type="dxa"/>
                  <w:tcBorders>
                    <w:top w:val="outset" w:sz="6" w:space="0" w:color="auto"/>
                    <w:left w:val="outset" w:sz="6" w:space="0" w:color="auto"/>
                    <w:bottom w:val="outset" w:sz="6" w:space="0" w:color="auto"/>
                    <w:right w:val="outset" w:sz="6" w:space="0" w:color="auto"/>
                  </w:tcBorders>
                  <w:hideMark/>
                </w:tcPr>
                <w:p w14:paraId="76EEB91A"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5,657</w:t>
                  </w:r>
                </w:p>
              </w:tc>
              <w:tc>
                <w:tcPr>
                  <w:tcW w:w="829" w:type="dxa"/>
                  <w:tcBorders>
                    <w:top w:val="outset" w:sz="6" w:space="0" w:color="auto"/>
                    <w:left w:val="outset" w:sz="6" w:space="0" w:color="auto"/>
                    <w:bottom w:val="outset" w:sz="6" w:space="0" w:color="auto"/>
                    <w:right w:val="outset" w:sz="6" w:space="0" w:color="auto"/>
                  </w:tcBorders>
                  <w:hideMark/>
                </w:tcPr>
                <w:p w14:paraId="3F4011B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w:t>
                  </w:r>
                </w:p>
              </w:tc>
              <w:tc>
                <w:tcPr>
                  <w:tcW w:w="829" w:type="dxa"/>
                  <w:tcBorders>
                    <w:top w:val="outset" w:sz="6" w:space="0" w:color="auto"/>
                    <w:left w:val="outset" w:sz="6" w:space="0" w:color="auto"/>
                    <w:bottom w:val="outset" w:sz="6" w:space="0" w:color="auto"/>
                    <w:right w:val="outset" w:sz="6" w:space="0" w:color="auto"/>
                  </w:tcBorders>
                  <w:hideMark/>
                </w:tcPr>
                <w:p w14:paraId="17F5135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c>
                <w:tcPr>
                  <w:tcW w:w="829" w:type="dxa"/>
                  <w:tcBorders>
                    <w:top w:val="outset" w:sz="6" w:space="0" w:color="auto"/>
                    <w:left w:val="outset" w:sz="6" w:space="0" w:color="auto"/>
                    <w:bottom w:val="outset" w:sz="6" w:space="0" w:color="auto"/>
                    <w:right w:val="outset" w:sz="6" w:space="0" w:color="auto"/>
                  </w:tcBorders>
                  <w:hideMark/>
                </w:tcPr>
                <w:p w14:paraId="2FF4CE3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8,485</w:t>
                  </w:r>
                </w:p>
              </w:tc>
              <w:tc>
                <w:tcPr>
                  <w:tcW w:w="829" w:type="dxa"/>
                  <w:tcBorders>
                    <w:top w:val="outset" w:sz="6" w:space="0" w:color="auto"/>
                    <w:left w:val="outset" w:sz="6" w:space="0" w:color="auto"/>
                    <w:bottom w:val="outset" w:sz="6" w:space="0" w:color="auto"/>
                    <w:right w:val="outset" w:sz="6" w:space="0" w:color="auto"/>
                  </w:tcBorders>
                  <w:hideMark/>
                </w:tcPr>
                <w:p w14:paraId="5D9828B6"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6</w:t>
                  </w:r>
                </w:p>
              </w:tc>
              <w:tc>
                <w:tcPr>
                  <w:tcW w:w="829" w:type="dxa"/>
                  <w:tcBorders>
                    <w:top w:val="outset" w:sz="6" w:space="0" w:color="auto"/>
                    <w:left w:val="outset" w:sz="6" w:space="0" w:color="auto"/>
                    <w:bottom w:val="outset" w:sz="6" w:space="0" w:color="auto"/>
                    <w:right w:val="outset" w:sz="6" w:space="0" w:color="auto"/>
                  </w:tcBorders>
                  <w:hideMark/>
                </w:tcPr>
                <w:p w14:paraId="315EBD50"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4,243</w:t>
                  </w:r>
                </w:p>
              </w:tc>
              <w:tc>
                <w:tcPr>
                  <w:tcW w:w="829" w:type="dxa"/>
                  <w:tcBorders>
                    <w:top w:val="outset" w:sz="6" w:space="0" w:color="auto"/>
                    <w:left w:val="outset" w:sz="6" w:space="0" w:color="auto"/>
                    <w:bottom w:val="outset" w:sz="6" w:space="0" w:color="auto"/>
                    <w:right w:val="outset" w:sz="6" w:space="0" w:color="auto"/>
                  </w:tcBorders>
                  <w:hideMark/>
                </w:tcPr>
                <w:p w14:paraId="1A916ED2"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22,627</w:t>
                  </w:r>
                </w:p>
              </w:tc>
              <w:tc>
                <w:tcPr>
                  <w:tcW w:w="829" w:type="dxa"/>
                  <w:tcBorders>
                    <w:top w:val="outset" w:sz="6" w:space="0" w:color="auto"/>
                    <w:left w:val="outset" w:sz="6" w:space="0" w:color="auto"/>
                    <w:bottom w:val="outset" w:sz="6" w:space="0" w:color="auto"/>
                    <w:right w:val="outset" w:sz="6" w:space="0" w:color="auto"/>
                  </w:tcBorders>
                  <w:hideMark/>
                </w:tcPr>
                <w:p w14:paraId="58553013"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16</w:t>
                  </w:r>
                </w:p>
              </w:tc>
              <w:tc>
                <w:tcPr>
                  <w:tcW w:w="829" w:type="dxa"/>
                  <w:tcBorders>
                    <w:top w:val="outset" w:sz="6" w:space="0" w:color="auto"/>
                    <w:left w:val="outset" w:sz="6" w:space="0" w:color="auto"/>
                    <w:bottom w:val="outset" w:sz="6" w:space="0" w:color="auto"/>
                    <w:right w:val="outset" w:sz="6" w:space="0" w:color="auto"/>
                  </w:tcBorders>
                  <w:hideMark/>
                </w:tcPr>
                <w:p w14:paraId="5722352C"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11,314</w:t>
                  </w:r>
                </w:p>
              </w:tc>
            </w:tr>
            <w:tr w:rsidR="00A94811" w:rsidRPr="009339E6" w14:paraId="5B4F7EE9"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tcBorders>
                    <w:left w:val="outset" w:sz="6" w:space="0" w:color="auto"/>
                    <w:bottom w:val="outset" w:sz="6" w:space="0" w:color="auto"/>
                    <w:right w:val="outset" w:sz="6" w:space="0" w:color="auto"/>
                  </w:tcBorders>
                  <w:hideMark/>
                </w:tcPr>
                <w:p w14:paraId="0CB3DB29"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p>
              </w:tc>
              <w:tc>
                <w:tcPr>
                  <w:tcW w:w="940" w:type="dxa"/>
                  <w:tcBorders>
                    <w:top w:val="outset" w:sz="6" w:space="0" w:color="auto"/>
                    <w:left w:val="outset" w:sz="6" w:space="0" w:color="auto"/>
                    <w:bottom w:val="outset" w:sz="6" w:space="0" w:color="auto"/>
                    <w:right w:val="outset" w:sz="6" w:space="0" w:color="auto"/>
                  </w:tcBorders>
                  <w:hideMark/>
                </w:tcPr>
                <w:p w14:paraId="6AEB6B30"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m &gt; 10</w:t>
                  </w:r>
                </w:p>
              </w:tc>
              <w:tc>
                <w:tcPr>
                  <w:tcW w:w="829" w:type="dxa"/>
                  <w:tcBorders>
                    <w:top w:val="outset" w:sz="6" w:space="0" w:color="auto"/>
                    <w:left w:val="outset" w:sz="6" w:space="0" w:color="auto"/>
                    <w:bottom w:val="outset" w:sz="6" w:space="0" w:color="auto"/>
                    <w:right w:val="outset" w:sz="6" w:space="0" w:color="auto"/>
                  </w:tcBorders>
                  <w:hideMark/>
                </w:tcPr>
                <w:p w14:paraId="647C1296"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5,657</w:t>
                  </w:r>
                </w:p>
              </w:tc>
              <w:tc>
                <w:tcPr>
                  <w:tcW w:w="829" w:type="dxa"/>
                  <w:tcBorders>
                    <w:top w:val="outset" w:sz="6" w:space="0" w:color="auto"/>
                    <w:left w:val="outset" w:sz="6" w:space="0" w:color="auto"/>
                    <w:bottom w:val="outset" w:sz="6" w:space="0" w:color="auto"/>
                    <w:right w:val="outset" w:sz="6" w:space="0" w:color="auto"/>
                  </w:tcBorders>
                  <w:hideMark/>
                </w:tcPr>
                <w:p w14:paraId="06E1F1F7"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w:t>
                  </w:r>
                </w:p>
              </w:tc>
              <w:tc>
                <w:tcPr>
                  <w:tcW w:w="829" w:type="dxa"/>
                  <w:tcBorders>
                    <w:top w:val="outset" w:sz="6" w:space="0" w:color="auto"/>
                    <w:left w:val="outset" w:sz="6" w:space="0" w:color="auto"/>
                    <w:bottom w:val="outset" w:sz="6" w:space="0" w:color="auto"/>
                    <w:right w:val="outset" w:sz="6" w:space="0" w:color="auto"/>
                  </w:tcBorders>
                  <w:hideMark/>
                </w:tcPr>
                <w:p w14:paraId="250C52A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c>
                <w:tcPr>
                  <w:tcW w:w="829" w:type="dxa"/>
                  <w:tcBorders>
                    <w:top w:val="outset" w:sz="6" w:space="0" w:color="auto"/>
                    <w:left w:val="outset" w:sz="6" w:space="0" w:color="auto"/>
                    <w:bottom w:val="outset" w:sz="6" w:space="0" w:color="auto"/>
                    <w:right w:val="outset" w:sz="6" w:space="0" w:color="auto"/>
                  </w:tcBorders>
                  <w:hideMark/>
                </w:tcPr>
                <w:p w14:paraId="64CC3DF7"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16,971</w:t>
                  </w:r>
                </w:p>
              </w:tc>
              <w:tc>
                <w:tcPr>
                  <w:tcW w:w="829" w:type="dxa"/>
                  <w:tcBorders>
                    <w:top w:val="outset" w:sz="6" w:space="0" w:color="auto"/>
                    <w:left w:val="outset" w:sz="6" w:space="0" w:color="auto"/>
                    <w:bottom w:val="outset" w:sz="6" w:space="0" w:color="auto"/>
                    <w:right w:val="outset" w:sz="6" w:space="0" w:color="auto"/>
                  </w:tcBorders>
                  <w:hideMark/>
                </w:tcPr>
                <w:p w14:paraId="0A72106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12</w:t>
                  </w:r>
                </w:p>
              </w:tc>
              <w:tc>
                <w:tcPr>
                  <w:tcW w:w="829" w:type="dxa"/>
                  <w:tcBorders>
                    <w:top w:val="outset" w:sz="6" w:space="0" w:color="auto"/>
                    <w:left w:val="outset" w:sz="6" w:space="0" w:color="auto"/>
                    <w:bottom w:val="outset" w:sz="6" w:space="0" w:color="auto"/>
                    <w:right w:val="outset" w:sz="6" w:space="0" w:color="auto"/>
                  </w:tcBorders>
                  <w:hideMark/>
                </w:tcPr>
                <w:p w14:paraId="54EB6FC5"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8,485</w:t>
                  </w:r>
                </w:p>
              </w:tc>
              <w:tc>
                <w:tcPr>
                  <w:tcW w:w="829" w:type="dxa"/>
                  <w:tcBorders>
                    <w:top w:val="outset" w:sz="6" w:space="0" w:color="auto"/>
                    <w:left w:val="outset" w:sz="6" w:space="0" w:color="auto"/>
                    <w:bottom w:val="outset" w:sz="6" w:space="0" w:color="auto"/>
                    <w:right w:val="outset" w:sz="6" w:space="0" w:color="auto"/>
                  </w:tcBorders>
                  <w:hideMark/>
                </w:tcPr>
                <w:p w14:paraId="672BAF2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22,627</w:t>
                  </w:r>
                </w:p>
              </w:tc>
              <w:tc>
                <w:tcPr>
                  <w:tcW w:w="829" w:type="dxa"/>
                  <w:tcBorders>
                    <w:top w:val="outset" w:sz="6" w:space="0" w:color="auto"/>
                    <w:left w:val="outset" w:sz="6" w:space="0" w:color="auto"/>
                    <w:bottom w:val="outset" w:sz="6" w:space="0" w:color="auto"/>
                    <w:right w:val="outset" w:sz="6" w:space="0" w:color="auto"/>
                  </w:tcBorders>
                  <w:hideMark/>
                </w:tcPr>
                <w:p w14:paraId="11EC770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16</w:t>
                  </w:r>
                </w:p>
              </w:tc>
              <w:tc>
                <w:tcPr>
                  <w:tcW w:w="829" w:type="dxa"/>
                  <w:tcBorders>
                    <w:top w:val="outset" w:sz="6" w:space="0" w:color="auto"/>
                    <w:left w:val="outset" w:sz="6" w:space="0" w:color="auto"/>
                    <w:bottom w:val="outset" w:sz="6" w:space="0" w:color="auto"/>
                    <w:right w:val="outset" w:sz="6" w:space="0" w:color="auto"/>
                  </w:tcBorders>
                  <w:hideMark/>
                </w:tcPr>
                <w:p w14:paraId="379E9F3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11,314</w:t>
                  </w:r>
                </w:p>
              </w:tc>
            </w:tr>
            <w:tr w:rsidR="00A94811" w:rsidRPr="009339E6" w14:paraId="51BF92BE"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val="restart"/>
                  <w:tcBorders>
                    <w:top w:val="outset" w:sz="6" w:space="0" w:color="auto"/>
                    <w:left w:val="outset" w:sz="6" w:space="0" w:color="auto"/>
                    <w:right w:val="outset" w:sz="6" w:space="0" w:color="auto"/>
                  </w:tcBorders>
                  <w:hideMark/>
                </w:tcPr>
                <w:p w14:paraId="13C4A0B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2-3</w:t>
                  </w:r>
                </w:p>
                <w:p w14:paraId="7957424E"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 </w:t>
                  </w:r>
                </w:p>
                <w:p w14:paraId="2397ADC3"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 </w:t>
                  </w:r>
                </w:p>
                <w:p w14:paraId="0CF1DC66"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 </w:t>
                  </w:r>
                </w:p>
                <w:p w14:paraId="35A0DE4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 </w:t>
                  </w:r>
                </w:p>
              </w:tc>
              <w:tc>
                <w:tcPr>
                  <w:tcW w:w="940" w:type="dxa"/>
                  <w:tcBorders>
                    <w:top w:val="outset" w:sz="6" w:space="0" w:color="auto"/>
                    <w:left w:val="outset" w:sz="6" w:space="0" w:color="auto"/>
                    <w:bottom w:val="outset" w:sz="6" w:space="0" w:color="auto"/>
                    <w:right w:val="outset" w:sz="6" w:space="0" w:color="auto"/>
                  </w:tcBorders>
                  <w:hideMark/>
                </w:tcPr>
                <w:p w14:paraId="777BACC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m ≤ 1</w:t>
                  </w:r>
                </w:p>
              </w:tc>
              <w:tc>
                <w:tcPr>
                  <w:tcW w:w="829" w:type="dxa"/>
                  <w:tcBorders>
                    <w:top w:val="outset" w:sz="6" w:space="0" w:color="auto"/>
                    <w:left w:val="outset" w:sz="6" w:space="0" w:color="auto"/>
                    <w:bottom w:val="outset" w:sz="6" w:space="0" w:color="auto"/>
                    <w:right w:val="outset" w:sz="6" w:space="0" w:color="auto"/>
                  </w:tcBorders>
                  <w:hideMark/>
                </w:tcPr>
                <w:p w14:paraId="5EA0DCA2"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1,414</w:t>
                  </w:r>
                </w:p>
              </w:tc>
              <w:tc>
                <w:tcPr>
                  <w:tcW w:w="829" w:type="dxa"/>
                  <w:tcBorders>
                    <w:top w:val="outset" w:sz="6" w:space="0" w:color="auto"/>
                    <w:left w:val="outset" w:sz="6" w:space="0" w:color="auto"/>
                    <w:bottom w:val="outset" w:sz="6" w:space="0" w:color="auto"/>
                    <w:right w:val="outset" w:sz="6" w:space="0" w:color="auto"/>
                  </w:tcBorders>
                  <w:hideMark/>
                </w:tcPr>
                <w:p w14:paraId="5C3D1A7A"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w:t>
                  </w:r>
                </w:p>
              </w:tc>
              <w:tc>
                <w:tcPr>
                  <w:tcW w:w="829" w:type="dxa"/>
                  <w:tcBorders>
                    <w:top w:val="outset" w:sz="6" w:space="0" w:color="auto"/>
                    <w:left w:val="outset" w:sz="6" w:space="0" w:color="auto"/>
                    <w:bottom w:val="outset" w:sz="6" w:space="0" w:color="auto"/>
                    <w:right w:val="outset" w:sz="6" w:space="0" w:color="auto"/>
                  </w:tcBorders>
                  <w:hideMark/>
                </w:tcPr>
                <w:p w14:paraId="2F2D9C2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0,707</w:t>
                  </w:r>
                </w:p>
              </w:tc>
              <w:tc>
                <w:tcPr>
                  <w:tcW w:w="829" w:type="dxa"/>
                  <w:tcBorders>
                    <w:top w:val="outset" w:sz="6" w:space="0" w:color="auto"/>
                    <w:left w:val="outset" w:sz="6" w:space="0" w:color="auto"/>
                    <w:bottom w:val="outset" w:sz="6" w:space="0" w:color="auto"/>
                    <w:right w:val="outset" w:sz="6" w:space="0" w:color="auto"/>
                  </w:tcBorders>
                  <w:hideMark/>
                </w:tcPr>
                <w:p w14:paraId="03CD4CBC"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c>
                <w:tcPr>
                  <w:tcW w:w="829" w:type="dxa"/>
                  <w:tcBorders>
                    <w:top w:val="outset" w:sz="6" w:space="0" w:color="auto"/>
                    <w:left w:val="outset" w:sz="6" w:space="0" w:color="auto"/>
                    <w:bottom w:val="outset" w:sz="6" w:space="0" w:color="auto"/>
                    <w:right w:val="outset" w:sz="6" w:space="0" w:color="auto"/>
                  </w:tcBorders>
                  <w:hideMark/>
                </w:tcPr>
                <w:p w14:paraId="7605685D"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w:t>
                  </w:r>
                </w:p>
              </w:tc>
              <w:tc>
                <w:tcPr>
                  <w:tcW w:w="829" w:type="dxa"/>
                  <w:tcBorders>
                    <w:top w:val="outset" w:sz="6" w:space="0" w:color="auto"/>
                    <w:left w:val="outset" w:sz="6" w:space="0" w:color="auto"/>
                    <w:bottom w:val="outset" w:sz="6" w:space="0" w:color="auto"/>
                    <w:right w:val="outset" w:sz="6" w:space="0" w:color="auto"/>
                  </w:tcBorders>
                  <w:hideMark/>
                </w:tcPr>
                <w:p w14:paraId="4881AE1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1,414</w:t>
                  </w:r>
                </w:p>
              </w:tc>
              <w:tc>
                <w:tcPr>
                  <w:tcW w:w="829" w:type="dxa"/>
                  <w:tcBorders>
                    <w:top w:val="outset" w:sz="6" w:space="0" w:color="auto"/>
                    <w:left w:val="outset" w:sz="6" w:space="0" w:color="auto"/>
                    <w:bottom w:val="outset" w:sz="6" w:space="0" w:color="auto"/>
                    <w:right w:val="outset" w:sz="6" w:space="0" w:color="auto"/>
                  </w:tcBorders>
                  <w:hideMark/>
                </w:tcPr>
                <w:p w14:paraId="3200C7B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5,657</w:t>
                  </w:r>
                </w:p>
              </w:tc>
              <w:tc>
                <w:tcPr>
                  <w:tcW w:w="829" w:type="dxa"/>
                  <w:tcBorders>
                    <w:top w:val="outset" w:sz="6" w:space="0" w:color="auto"/>
                    <w:left w:val="outset" w:sz="6" w:space="0" w:color="auto"/>
                    <w:bottom w:val="outset" w:sz="6" w:space="0" w:color="auto"/>
                    <w:right w:val="outset" w:sz="6" w:space="0" w:color="auto"/>
                  </w:tcBorders>
                  <w:hideMark/>
                </w:tcPr>
                <w:p w14:paraId="62FB11D2"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w:t>
                  </w:r>
                </w:p>
              </w:tc>
              <w:tc>
                <w:tcPr>
                  <w:tcW w:w="829" w:type="dxa"/>
                  <w:tcBorders>
                    <w:top w:val="outset" w:sz="6" w:space="0" w:color="auto"/>
                    <w:left w:val="outset" w:sz="6" w:space="0" w:color="auto"/>
                    <w:bottom w:val="outset" w:sz="6" w:space="0" w:color="auto"/>
                    <w:right w:val="outset" w:sz="6" w:space="0" w:color="auto"/>
                  </w:tcBorders>
                  <w:hideMark/>
                </w:tcPr>
                <w:p w14:paraId="54E78AA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r>
            <w:tr w:rsidR="00A94811" w:rsidRPr="009339E6" w14:paraId="42FB3373"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tcBorders>
                    <w:left w:val="outset" w:sz="6" w:space="0" w:color="auto"/>
                    <w:right w:val="outset" w:sz="6" w:space="0" w:color="auto"/>
                  </w:tcBorders>
                  <w:hideMark/>
                </w:tcPr>
                <w:p w14:paraId="3D6D6DF2"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p>
              </w:tc>
              <w:tc>
                <w:tcPr>
                  <w:tcW w:w="940" w:type="dxa"/>
                  <w:tcBorders>
                    <w:top w:val="outset" w:sz="6" w:space="0" w:color="auto"/>
                    <w:left w:val="outset" w:sz="6" w:space="0" w:color="auto"/>
                    <w:bottom w:val="outset" w:sz="6" w:space="0" w:color="auto"/>
                    <w:right w:val="outset" w:sz="6" w:space="0" w:color="auto"/>
                  </w:tcBorders>
                  <w:hideMark/>
                </w:tcPr>
                <w:p w14:paraId="2A1FBE7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 &lt; m ≤ 3</w:t>
                  </w:r>
                </w:p>
              </w:tc>
              <w:tc>
                <w:tcPr>
                  <w:tcW w:w="829" w:type="dxa"/>
                  <w:tcBorders>
                    <w:top w:val="outset" w:sz="6" w:space="0" w:color="auto"/>
                    <w:left w:val="outset" w:sz="6" w:space="0" w:color="auto"/>
                    <w:bottom w:val="outset" w:sz="6" w:space="0" w:color="auto"/>
                    <w:right w:val="outset" w:sz="6" w:space="0" w:color="auto"/>
                  </w:tcBorders>
                  <w:hideMark/>
                </w:tcPr>
                <w:p w14:paraId="1EDAEE7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4,243</w:t>
                  </w:r>
                </w:p>
              </w:tc>
              <w:tc>
                <w:tcPr>
                  <w:tcW w:w="829" w:type="dxa"/>
                  <w:tcBorders>
                    <w:top w:val="outset" w:sz="6" w:space="0" w:color="auto"/>
                    <w:left w:val="outset" w:sz="6" w:space="0" w:color="auto"/>
                    <w:bottom w:val="outset" w:sz="6" w:space="0" w:color="auto"/>
                    <w:right w:val="outset" w:sz="6" w:space="0" w:color="auto"/>
                  </w:tcBorders>
                  <w:hideMark/>
                </w:tcPr>
                <w:p w14:paraId="4FFB2226"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3</w:t>
                  </w:r>
                </w:p>
              </w:tc>
              <w:tc>
                <w:tcPr>
                  <w:tcW w:w="829" w:type="dxa"/>
                  <w:tcBorders>
                    <w:top w:val="outset" w:sz="6" w:space="0" w:color="auto"/>
                    <w:left w:val="outset" w:sz="6" w:space="0" w:color="auto"/>
                    <w:bottom w:val="outset" w:sz="6" w:space="0" w:color="auto"/>
                    <w:right w:val="outset" w:sz="6" w:space="0" w:color="auto"/>
                  </w:tcBorders>
                  <w:hideMark/>
                </w:tcPr>
                <w:p w14:paraId="7059DA41"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2,121</w:t>
                  </w:r>
                </w:p>
              </w:tc>
              <w:tc>
                <w:tcPr>
                  <w:tcW w:w="829" w:type="dxa"/>
                  <w:tcBorders>
                    <w:top w:val="outset" w:sz="6" w:space="0" w:color="auto"/>
                    <w:left w:val="outset" w:sz="6" w:space="0" w:color="auto"/>
                    <w:bottom w:val="outset" w:sz="6" w:space="0" w:color="auto"/>
                    <w:right w:val="outset" w:sz="6" w:space="0" w:color="auto"/>
                  </w:tcBorders>
                  <w:hideMark/>
                </w:tcPr>
                <w:p w14:paraId="4216D045"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5,657</w:t>
                  </w:r>
                </w:p>
              </w:tc>
              <w:tc>
                <w:tcPr>
                  <w:tcW w:w="829" w:type="dxa"/>
                  <w:tcBorders>
                    <w:top w:val="outset" w:sz="6" w:space="0" w:color="auto"/>
                    <w:left w:val="outset" w:sz="6" w:space="0" w:color="auto"/>
                    <w:bottom w:val="outset" w:sz="6" w:space="0" w:color="auto"/>
                    <w:right w:val="outset" w:sz="6" w:space="0" w:color="auto"/>
                  </w:tcBorders>
                  <w:hideMark/>
                </w:tcPr>
                <w:p w14:paraId="0040CD33"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w:t>
                  </w:r>
                </w:p>
              </w:tc>
              <w:tc>
                <w:tcPr>
                  <w:tcW w:w="829" w:type="dxa"/>
                  <w:tcBorders>
                    <w:top w:val="outset" w:sz="6" w:space="0" w:color="auto"/>
                    <w:left w:val="outset" w:sz="6" w:space="0" w:color="auto"/>
                    <w:bottom w:val="outset" w:sz="6" w:space="0" w:color="auto"/>
                    <w:right w:val="outset" w:sz="6" w:space="0" w:color="auto"/>
                  </w:tcBorders>
                  <w:hideMark/>
                </w:tcPr>
                <w:p w14:paraId="510CC0B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w:t>
                  </w:r>
                </w:p>
              </w:tc>
              <w:tc>
                <w:tcPr>
                  <w:tcW w:w="829" w:type="dxa"/>
                  <w:tcBorders>
                    <w:top w:val="outset" w:sz="6" w:space="0" w:color="auto"/>
                    <w:left w:val="outset" w:sz="6" w:space="0" w:color="auto"/>
                    <w:bottom w:val="outset" w:sz="6" w:space="0" w:color="auto"/>
                    <w:right w:val="outset" w:sz="6" w:space="0" w:color="auto"/>
                  </w:tcBorders>
                  <w:hideMark/>
                </w:tcPr>
                <w:p w14:paraId="714B211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16,971</w:t>
                  </w:r>
                </w:p>
              </w:tc>
              <w:tc>
                <w:tcPr>
                  <w:tcW w:w="829" w:type="dxa"/>
                  <w:tcBorders>
                    <w:top w:val="outset" w:sz="6" w:space="0" w:color="auto"/>
                    <w:left w:val="outset" w:sz="6" w:space="0" w:color="auto"/>
                    <w:bottom w:val="outset" w:sz="6" w:space="0" w:color="auto"/>
                    <w:right w:val="outset" w:sz="6" w:space="0" w:color="auto"/>
                  </w:tcBorders>
                  <w:hideMark/>
                </w:tcPr>
                <w:p w14:paraId="6A41AFC5"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12</w:t>
                  </w:r>
                </w:p>
              </w:tc>
              <w:tc>
                <w:tcPr>
                  <w:tcW w:w="829" w:type="dxa"/>
                  <w:tcBorders>
                    <w:top w:val="outset" w:sz="6" w:space="0" w:color="auto"/>
                    <w:left w:val="outset" w:sz="6" w:space="0" w:color="auto"/>
                    <w:bottom w:val="outset" w:sz="6" w:space="0" w:color="auto"/>
                    <w:right w:val="outset" w:sz="6" w:space="0" w:color="auto"/>
                  </w:tcBorders>
                  <w:hideMark/>
                </w:tcPr>
                <w:p w14:paraId="750103C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8,485</w:t>
                  </w:r>
                </w:p>
              </w:tc>
            </w:tr>
            <w:tr w:rsidR="00A94811" w:rsidRPr="009339E6" w14:paraId="1D40BF9C"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tcBorders>
                    <w:left w:val="outset" w:sz="6" w:space="0" w:color="auto"/>
                    <w:right w:val="outset" w:sz="6" w:space="0" w:color="auto"/>
                  </w:tcBorders>
                  <w:hideMark/>
                </w:tcPr>
                <w:p w14:paraId="39F19F51"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p>
              </w:tc>
              <w:tc>
                <w:tcPr>
                  <w:tcW w:w="940" w:type="dxa"/>
                  <w:tcBorders>
                    <w:top w:val="outset" w:sz="6" w:space="0" w:color="auto"/>
                    <w:left w:val="outset" w:sz="6" w:space="0" w:color="auto"/>
                    <w:bottom w:val="outset" w:sz="6" w:space="0" w:color="auto"/>
                    <w:right w:val="outset" w:sz="6" w:space="0" w:color="auto"/>
                  </w:tcBorders>
                  <w:hideMark/>
                </w:tcPr>
                <w:p w14:paraId="0579A66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3 &lt; m ≤ 5</w:t>
                  </w:r>
                </w:p>
              </w:tc>
              <w:tc>
                <w:tcPr>
                  <w:tcW w:w="829" w:type="dxa"/>
                  <w:tcBorders>
                    <w:top w:val="outset" w:sz="6" w:space="0" w:color="auto"/>
                    <w:left w:val="outset" w:sz="6" w:space="0" w:color="auto"/>
                    <w:bottom w:val="outset" w:sz="6" w:space="0" w:color="auto"/>
                    <w:right w:val="outset" w:sz="6" w:space="0" w:color="auto"/>
                  </w:tcBorders>
                  <w:hideMark/>
                </w:tcPr>
                <w:p w14:paraId="26F20EFF"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4,243</w:t>
                  </w:r>
                </w:p>
              </w:tc>
              <w:tc>
                <w:tcPr>
                  <w:tcW w:w="829" w:type="dxa"/>
                  <w:tcBorders>
                    <w:top w:val="outset" w:sz="6" w:space="0" w:color="auto"/>
                    <w:left w:val="outset" w:sz="6" w:space="0" w:color="auto"/>
                    <w:bottom w:val="outset" w:sz="6" w:space="0" w:color="auto"/>
                    <w:right w:val="outset" w:sz="6" w:space="0" w:color="auto"/>
                  </w:tcBorders>
                  <w:hideMark/>
                </w:tcPr>
                <w:p w14:paraId="2F3601FD"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3</w:t>
                  </w:r>
                </w:p>
              </w:tc>
              <w:tc>
                <w:tcPr>
                  <w:tcW w:w="829" w:type="dxa"/>
                  <w:tcBorders>
                    <w:top w:val="outset" w:sz="6" w:space="0" w:color="auto"/>
                    <w:left w:val="outset" w:sz="6" w:space="0" w:color="auto"/>
                    <w:bottom w:val="outset" w:sz="6" w:space="0" w:color="auto"/>
                    <w:right w:val="outset" w:sz="6" w:space="0" w:color="auto"/>
                  </w:tcBorders>
                  <w:hideMark/>
                </w:tcPr>
                <w:p w14:paraId="45F706F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2,121</w:t>
                  </w:r>
                </w:p>
              </w:tc>
              <w:tc>
                <w:tcPr>
                  <w:tcW w:w="829" w:type="dxa"/>
                  <w:tcBorders>
                    <w:top w:val="outset" w:sz="6" w:space="0" w:color="auto"/>
                    <w:left w:val="outset" w:sz="6" w:space="0" w:color="auto"/>
                    <w:bottom w:val="outset" w:sz="6" w:space="0" w:color="auto"/>
                    <w:right w:val="outset" w:sz="6" w:space="0" w:color="auto"/>
                  </w:tcBorders>
                  <w:hideMark/>
                </w:tcPr>
                <w:p w14:paraId="30D363E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8,485</w:t>
                  </w:r>
                </w:p>
              </w:tc>
              <w:tc>
                <w:tcPr>
                  <w:tcW w:w="829" w:type="dxa"/>
                  <w:tcBorders>
                    <w:top w:val="outset" w:sz="6" w:space="0" w:color="auto"/>
                    <w:left w:val="outset" w:sz="6" w:space="0" w:color="auto"/>
                    <w:bottom w:val="outset" w:sz="6" w:space="0" w:color="auto"/>
                    <w:right w:val="outset" w:sz="6" w:space="0" w:color="auto"/>
                  </w:tcBorders>
                  <w:hideMark/>
                </w:tcPr>
                <w:p w14:paraId="38ACB93D"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6</w:t>
                  </w:r>
                </w:p>
              </w:tc>
              <w:tc>
                <w:tcPr>
                  <w:tcW w:w="829" w:type="dxa"/>
                  <w:tcBorders>
                    <w:top w:val="outset" w:sz="6" w:space="0" w:color="auto"/>
                    <w:left w:val="outset" w:sz="6" w:space="0" w:color="auto"/>
                    <w:bottom w:val="outset" w:sz="6" w:space="0" w:color="auto"/>
                    <w:right w:val="outset" w:sz="6" w:space="0" w:color="auto"/>
                  </w:tcBorders>
                  <w:hideMark/>
                </w:tcPr>
                <w:p w14:paraId="554B1999"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4,243</w:t>
                  </w:r>
                </w:p>
              </w:tc>
              <w:tc>
                <w:tcPr>
                  <w:tcW w:w="829" w:type="dxa"/>
                  <w:tcBorders>
                    <w:top w:val="outset" w:sz="6" w:space="0" w:color="auto"/>
                    <w:left w:val="outset" w:sz="6" w:space="0" w:color="auto"/>
                    <w:bottom w:val="outset" w:sz="6" w:space="0" w:color="auto"/>
                    <w:right w:val="outset" w:sz="6" w:space="0" w:color="auto"/>
                  </w:tcBorders>
                  <w:hideMark/>
                </w:tcPr>
                <w:p w14:paraId="3D21E48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16,971</w:t>
                  </w:r>
                </w:p>
              </w:tc>
              <w:tc>
                <w:tcPr>
                  <w:tcW w:w="829" w:type="dxa"/>
                  <w:tcBorders>
                    <w:top w:val="outset" w:sz="6" w:space="0" w:color="auto"/>
                    <w:left w:val="outset" w:sz="6" w:space="0" w:color="auto"/>
                    <w:bottom w:val="outset" w:sz="6" w:space="0" w:color="auto"/>
                    <w:right w:val="outset" w:sz="6" w:space="0" w:color="auto"/>
                  </w:tcBorders>
                  <w:hideMark/>
                </w:tcPr>
                <w:p w14:paraId="58485EF0"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12</w:t>
                  </w:r>
                </w:p>
              </w:tc>
              <w:tc>
                <w:tcPr>
                  <w:tcW w:w="829" w:type="dxa"/>
                  <w:tcBorders>
                    <w:top w:val="outset" w:sz="6" w:space="0" w:color="auto"/>
                    <w:left w:val="outset" w:sz="6" w:space="0" w:color="auto"/>
                    <w:bottom w:val="outset" w:sz="6" w:space="0" w:color="auto"/>
                    <w:right w:val="outset" w:sz="6" w:space="0" w:color="auto"/>
                  </w:tcBorders>
                  <w:hideMark/>
                </w:tcPr>
                <w:p w14:paraId="6B6F05DC"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8,485</w:t>
                  </w:r>
                </w:p>
              </w:tc>
            </w:tr>
            <w:tr w:rsidR="00A94811" w:rsidRPr="009339E6" w14:paraId="00C865AA"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tcBorders>
                    <w:left w:val="outset" w:sz="6" w:space="0" w:color="auto"/>
                    <w:right w:val="outset" w:sz="6" w:space="0" w:color="auto"/>
                  </w:tcBorders>
                  <w:hideMark/>
                </w:tcPr>
                <w:p w14:paraId="580392B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p>
              </w:tc>
              <w:tc>
                <w:tcPr>
                  <w:tcW w:w="940" w:type="dxa"/>
                  <w:tcBorders>
                    <w:top w:val="outset" w:sz="6" w:space="0" w:color="auto"/>
                    <w:left w:val="outset" w:sz="6" w:space="0" w:color="auto"/>
                    <w:bottom w:val="outset" w:sz="6" w:space="0" w:color="auto"/>
                    <w:right w:val="outset" w:sz="6" w:space="0" w:color="auto"/>
                  </w:tcBorders>
                  <w:hideMark/>
                </w:tcPr>
                <w:p w14:paraId="1C208EE3"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5 &lt; m ≤ 10</w:t>
                  </w:r>
                </w:p>
              </w:tc>
              <w:tc>
                <w:tcPr>
                  <w:tcW w:w="829" w:type="dxa"/>
                  <w:tcBorders>
                    <w:top w:val="outset" w:sz="6" w:space="0" w:color="auto"/>
                    <w:left w:val="outset" w:sz="6" w:space="0" w:color="auto"/>
                    <w:bottom w:val="outset" w:sz="6" w:space="0" w:color="auto"/>
                    <w:right w:val="outset" w:sz="6" w:space="0" w:color="auto"/>
                  </w:tcBorders>
                  <w:hideMark/>
                </w:tcPr>
                <w:p w14:paraId="28165F7A"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8,485</w:t>
                  </w:r>
                </w:p>
              </w:tc>
              <w:tc>
                <w:tcPr>
                  <w:tcW w:w="829" w:type="dxa"/>
                  <w:tcBorders>
                    <w:top w:val="outset" w:sz="6" w:space="0" w:color="auto"/>
                    <w:left w:val="outset" w:sz="6" w:space="0" w:color="auto"/>
                    <w:bottom w:val="outset" w:sz="6" w:space="0" w:color="auto"/>
                    <w:right w:val="outset" w:sz="6" w:space="0" w:color="auto"/>
                  </w:tcBorders>
                  <w:hideMark/>
                </w:tcPr>
                <w:p w14:paraId="7D5989F5"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6</w:t>
                  </w:r>
                </w:p>
              </w:tc>
              <w:tc>
                <w:tcPr>
                  <w:tcW w:w="829" w:type="dxa"/>
                  <w:tcBorders>
                    <w:top w:val="outset" w:sz="6" w:space="0" w:color="auto"/>
                    <w:left w:val="outset" w:sz="6" w:space="0" w:color="auto"/>
                    <w:bottom w:val="outset" w:sz="6" w:space="0" w:color="auto"/>
                    <w:right w:val="outset" w:sz="6" w:space="0" w:color="auto"/>
                  </w:tcBorders>
                  <w:hideMark/>
                </w:tcPr>
                <w:p w14:paraId="6F0E7682"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4,243</w:t>
                  </w:r>
                </w:p>
              </w:tc>
              <w:tc>
                <w:tcPr>
                  <w:tcW w:w="829" w:type="dxa"/>
                  <w:tcBorders>
                    <w:top w:val="outset" w:sz="6" w:space="0" w:color="auto"/>
                    <w:left w:val="outset" w:sz="6" w:space="0" w:color="auto"/>
                    <w:bottom w:val="outset" w:sz="6" w:space="0" w:color="auto"/>
                    <w:right w:val="outset" w:sz="6" w:space="0" w:color="auto"/>
                  </w:tcBorders>
                  <w:hideMark/>
                </w:tcPr>
                <w:p w14:paraId="18E558D5"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16,971</w:t>
                  </w:r>
                </w:p>
              </w:tc>
              <w:tc>
                <w:tcPr>
                  <w:tcW w:w="829" w:type="dxa"/>
                  <w:tcBorders>
                    <w:top w:val="outset" w:sz="6" w:space="0" w:color="auto"/>
                    <w:left w:val="outset" w:sz="6" w:space="0" w:color="auto"/>
                    <w:bottom w:val="outset" w:sz="6" w:space="0" w:color="auto"/>
                    <w:right w:val="outset" w:sz="6" w:space="0" w:color="auto"/>
                  </w:tcBorders>
                  <w:hideMark/>
                </w:tcPr>
                <w:p w14:paraId="318DA3B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12</w:t>
                  </w:r>
                </w:p>
              </w:tc>
              <w:tc>
                <w:tcPr>
                  <w:tcW w:w="829" w:type="dxa"/>
                  <w:tcBorders>
                    <w:top w:val="outset" w:sz="6" w:space="0" w:color="auto"/>
                    <w:left w:val="outset" w:sz="6" w:space="0" w:color="auto"/>
                    <w:bottom w:val="outset" w:sz="6" w:space="0" w:color="auto"/>
                    <w:right w:val="outset" w:sz="6" w:space="0" w:color="auto"/>
                  </w:tcBorders>
                  <w:hideMark/>
                </w:tcPr>
                <w:p w14:paraId="21CF8AFD"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8,485</w:t>
                  </w:r>
                </w:p>
              </w:tc>
              <w:tc>
                <w:tcPr>
                  <w:tcW w:w="829" w:type="dxa"/>
                  <w:tcBorders>
                    <w:top w:val="outset" w:sz="6" w:space="0" w:color="auto"/>
                    <w:left w:val="outset" w:sz="6" w:space="0" w:color="auto"/>
                    <w:bottom w:val="outset" w:sz="6" w:space="0" w:color="auto"/>
                    <w:right w:val="outset" w:sz="6" w:space="0" w:color="auto"/>
                  </w:tcBorders>
                  <w:hideMark/>
                </w:tcPr>
                <w:p w14:paraId="3213D305"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33,941</w:t>
                  </w:r>
                </w:p>
              </w:tc>
              <w:tc>
                <w:tcPr>
                  <w:tcW w:w="829" w:type="dxa"/>
                  <w:tcBorders>
                    <w:top w:val="outset" w:sz="6" w:space="0" w:color="auto"/>
                    <w:left w:val="outset" w:sz="6" w:space="0" w:color="auto"/>
                    <w:bottom w:val="outset" w:sz="6" w:space="0" w:color="auto"/>
                    <w:right w:val="outset" w:sz="6" w:space="0" w:color="auto"/>
                  </w:tcBorders>
                  <w:hideMark/>
                </w:tcPr>
                <w:p w14:paraId="3D9328C1"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24</w:t>
                  </w:r>
                </w:p>
              </w:tc>
              <w:tc>
                <w:tcPr>
                  <w:tcW w:w="829" w:type="dxa"/>
                  <w:tcBorders>
                    <w:top w:val="outset" w:sz="6" w:space="0" w:color="auto"/>
                    <w:left w:val="outset" w:sz="6" w:space="0" w:color="auto"/>
                    <w:bottom w:val="outset" w:sz="6" w:space="0" w:color="auto"/>
                    <w:right w:val="outset" w:sz="6" w:space="0" w:color="auto"/>
                  </w:tcBorders>
                  <w:hideMark/>
                </w:tcPr>
                <w:p w14:paraId="518F47F5"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16,971</w:t>
                  </w:r>
                </w:p>
              </w:tc>
            </w:tr>
            <w:tr w:rsidR="00A94811" w:rsidRPr="009339E6" w14:paraId="7F9F4126"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vMerge/>
                  <w:tcBorders>
                    <w:left w:val="outset" w:sz="6" w:space="0" w:color="auto"/>
                    <w:bottom w:val="outset" w:sz="6" w:space="0" w:color="auto"/>
                    <w:right w:val="outset" w:sz="6" w:space="0" w:color="auto"/>
                  </w:tcBorders>
                  <w:hideMark/>
                </w:tcPr>
                <w:p w14:paraId="22F0CE33"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p>
              </w:tc>
              <w:tc>
                <w:tcPr>
                  <w:tcW w:w="940" w:type="dxa"/>
                  <w:tcBorders>
                    <w:top w:val="outset" w:sz="6" w:space="0" w:color="auto"/>
                    <w:left w:val="outset" w:sz="6" w:space="0" w:color="auto"/>
                    <w:bottom w:val="outset" w:sz="6" w:space="0" w:color="auto"/>
                    <w:right w:val="outset" w:sz="6" w:space="0" w:color="auto"/>
                  </w:tcBorders>
                  <w:hideMark/>
                </w:tcPr>
                <w:p w14:paraId="0B235126"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m &gt; 10</w:t>
                  </w:r>
                </w:p>
              </w:tc>
              <w:tc>
                <w:tcPr>
                  <w:tcW w:w="829" w:type="dxa"/>
                  <w:tcBorders>
                    <w:top w:val="outset" w:sz="6" w:space="0" w:color="auto"/>
                    <w:left w:val="outset" w:sz="6" w:space="0" w:color="auto"/>
                    <w:bottom w:val="outset" w:sz="6" w:space="0" w:color="auto"/>
                    <w:right w:val="outset" w:sz="6" w:space="0" w:color="auto"/>
                  </w:tcBorders>
                  <w:hideMark/>
                </w:tcPr>
                <w:p w14:paraId="64ECDCE1"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8,485</w:t>
                  </w:r>
                </w:p>
              </w:tc>
              <w:tc>
                <w:tcPr>
                  <w:tcW w:w="829" w:type="dxa"/>
                  <w:tcBorders>
                    <w:top w:val="outset" w:sz="6" w:space="0" w:color="auto"/>
                    <w:left w:val="outset" w:sz="6" w:space="0" w:color="auto"/>
                    <w:bottom w:val="outset" w:sz="6" w:space="0" w:color="auto"/>
                    <w:right w:val="outset" w:sz="6" w:space="0" w:color="auto"/>
                  </w:tcBorders>
                  <w:hideMark/>
                </w:tcPr>
                <w:p w14:paraId="6DE2A387"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6</w:t>
                  </w:r>
                </w:p>
              </w:tc>
              <w:tc>
                <w:tcPr>
                  <w:tcW w:w="829" w:type="dxa"/>
                  <w:tcBorders>
                    <w:top w:val="outset" w:sz="6" w:space="0" w:color="auto"/>
                    <w:left w:val="outset" w:sz="6" w:space="0" w:color="auto"/>
                    <w:bottom w:val="outset" w:sz="6" w:space="0" w:color="auto"/>
                    <w:right w:val="outset" w:sz="6" w:space="0" w:color="auto"/>
                  </w:tcBorders>
                  <w:hideMark/>
                </w:tcPr>
                <w:p w14:paraId="2AA856E6"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4,243</w:t>
                  </w:r>
                </w:p>
              </w:tc>
              <w:tc>
                <w:tcPr>
                  <w:tcW w:w="829" w:type="dxa"/>
                  <w:tcBorders>
                    <w:top w:val="outset" w:sz="6" w:space="0" w:color="auto"/>
                    <w:left w:val="outset" w:sz="6" w:space="0" w:color="auto"/>
                    <w:bottom w:val="outset" w:sz="6" w:space="0" w:color="auto"/>
                    <w:right w:val="outset" w:sz="6" w:space="0" w:color="auto"/>
                  </w:tcBorders>
                  <w:hideMark/>
                </w:tcPr>
                <w:p w14:paraId="171A7BEA"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28,284</w:t>
                  </w:r>
                </w:p>
              </w:tc>
              <w:tc>
                <w:tcPr>
                  <w:tcW w:w="829" w:type="dxa"/>
                  <w:tcBorders>
                    <w:top w:val="outset" w:sz="6" w:space="0" w:color="auto"/>
                    <w:left w:val="outset" w:sz="6" w:space="0" w:color="auto"/>
                    <w:bottom w:val="outset" w:sz="6" w:space="0" w:color="auto"/>
                    <w:right w:val="outset" w:sz="6" w:space="0" w:color="auto"/>
                  </w:tcBorders>
                  <w:hideMark/>
                </w:tcPr>
                <w:p w14:paraId="6E1088FC"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20</w:t>
                  </w:r>
                </w:p>
              </w:tc>
              <w:tc>
                <w:tcPr>
                  <w:tcW w:w="829" w:type="dxa"/>
                  <w:tcBorders>
                    <w:top w:val="outset" w:sz="6" w:space="0" w:color="auto"/>
                    <w:left w:val="outset" w:sz="6" w:space="0" w:color="auto"/>
                    <w:bottom w:val="outset" w:sz="6" w:space="0" w:color="auto"/>
                    <w:right w:val="outset" w:sz="6" w:space="0" w:color="auto"/>
                  </w:tcBorders>
                  <w:hideMark/>
                </w:tcPr>
                <w:p w14:paraId="0B64289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14,142</w:t>
                  </w:r>
                </w:p>
              </w:tc>
              <w:tc>
                <w:tcPr>
                  <w:tcW w:w="829" w:type="dxa"/>
                  <w:tcBorders>
                    <w:top w:val="outset" w:sz="6" w:space="0" w:color="auto"/>
                    <w:left w:val="outset" w:sz="6" w:space="0" w:color="auto"/>
                    <w:bottom w:val="outset" w:sz="6" w:space="0" w:color="auto"/>
                    <w:right w:val="outset" w:sz="6" w:space="0" w:color="auto"/>
                  </w:tcBorders>
                  <w:hideMark/>
                </w:tcPr>
                <w:p w14:paraId="1C767BE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33,941</w:t>
                  </w:r>
                </w:p>
              </w:tc>
              <w:tc>
                <w:tcPr>
                  <w:tcW w:w="829" w:type="dxa"/>
                  <w:tcBorders>
                    <w:top w:val="outset" w:sz="6" w:space="0" w:color="auto"/>
                    <w:left w:val="outset" w:sz="6" w:space="0" w:color="auto"/>
                    <w:bottom w:val="outset" w:sz="6" w:space="0" w:color="auto"/>
                    <w:right w:val="outset" w:sz="6" w:space="0" w:color="auto"/>
                  </w:tcBorders>
                  <w:hideMark/>
                </w:tcPr>
                <w:p w14:paraId="087D2717"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24</w:t>
                  </w:r>
                </w:p>
              </w:tc>
              <w:tc>
                <w:tcPr>
                  <w:tcW w:w="829" w:type="dxa"/>
                  <w:tcBorders>
                    <w:top w:val="outset" w:sz="6" w:space="0" w:color="auto"/>
                    <w:left w:val="outset" w:sz="6" w:space="0" w:color="auto"/>
                    <w:bottom w:val="outset" w:sz="6" w:space="0" w:color="auto"/>
                    <w:right w:val="outset" w:sz="6" w:space="0" w:color="auto"/>
                  </w:tcBorders>
                  <w:hideMark/>
                </w:tcPr>
                <w:p w14:paraId="445157BA"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16,971</w:t>
                  </w:r>
                </w:p>
              </w:tc>
            </w:tr>
            <w:tr w:rsidR="00A94811" w:rsidRPr="009339E6" w14:paraId="7A15F1B3" w14:textId="77777777" w:rsidTr="005C3300">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1050" w:type="dxa"/>
                  <w:tcBorders>
                    <w:top w:val="outset" w:sz="6" w:space="0" w:color="auto"/>
                    <w:left w:val="outset" w:sz="6" w:space="0" w:color="auto"/>
                    <w:bottom w:val="outset" w:sz="6" w:space="0" w:color="auto"/>
                    <w:right w:val="outset" w:sz="6" w:space="0" w:color="auto"/>
                  </w:tcBorders>
                  <w:hideMark/>
                </w:tcPr>
                <w:p w14:paraId="1B93530E" w14:textId="77777777" w:rsidR="00A94811" w:rsidRPr="009339E6" w:rsidRDefault="00A94811" w:rsidP="00A94811">
                  <w:pPr>
                    <w:spacing w:after="0" w:line="312" w:lineRule="atLeast"/>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4</w:t>
                  </w:r>
                </w:p>
              </w:tc>
              <w:tc>
                <w:tcPr>
                  <w:tcW w:w="940" w:type="dxa"/>
                  <w:tcBorders>
                    <w:top w:val="outset" w:sz="6" w:space="0" w:color="auto"/>
                    <w:left w:val="outset" w:sz="6" w:space="0" w:color="auto"/>
                    <w:bottom w:val="outset" w:sz="6" w:space="0" w:color="auto"/>
                    <w:right w:val="outset" w:sz="6" w:space="0" w:color="auto"/>
                  </w:tcBorders>
                  <w:hideMark/>
                </w:tcPr>
                <w:p w14:paraId="7DE60A7C"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proofErr w:type="spellStart"/>
                  <w:r w:rsidRPr="009339E6">
                    <w:rPr>
                      <w:rFonts w:ascii="Times New Roman" w:eastAsia="Times New Roman" w:hAnsi="Times New Roman" w:cs="Times New Roman"/>
                      <w:color w:val="000000" w:themeColor="text1"/>
                      <w:sz w:val="20"/>
                      <w:szCs w:val="20"/>
                      <w:lang w:eastAsia="ro-MD"/>
                    </w:rPr>
                    <w:t>toți</w:t>
                  </w:r>
                  <w:proofErr w:type="spellEnd"/>
                </w:p>
              </w:tc>
              <w:tc>
                <w:tcPr>
                  <w:tcW w:w="829" w:type="dxa"/>
                  <w:tcBorders>
                    <w:top w:val="outset" w:sz="6" w:space="0" w:color="auto"/>
                    <w:left w:val="outset" w:sz="6" w:space="0" w:color="auto"/>
                    <w:bottom w:val="outset" w:sz="6" w:space="0" w:color="auto"/>
                    <w:right w:val="outset" w:sz="6" w:space="0" w:color="auto"/>
                  </w:tcBorders>
                  <w:hideMark/>
                </w:tcPr>
                <w:p w14:paraId="7D2D456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21,213</w:t>
                  </w:r>
                </w:p>
              </w:tc>
              <w:tc>
                <w:tcPr>
                  <w:tcW w:w="829" w:type="dxa"/>
                  <w:tcBorders>
                    <w:top w:val="outset" w:sz="6" w:space="0" w:color="auto"/>
                    <w:left w:val="outset" w:sz="6" w:space="0" w:color="auto"/>
                    <w:bottom w:val="outset" w:sz="6" w:space="0" w:color="auto"/>
                    <w:right w:val="outset" w:sz="6" w:space="0" w:color="auto"/>
                  </w:tcBorders>
                  <w:hideMark/>
                </w:tcPr>
                <w:p w14:paraId="4CCCAB7B"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15</w:t>
                  </w:r>
                </w:p>
              </w:tc>
              <w:tc>
                <w:tcPr>
                  <w:tcW w:w="829" w:type="dxa"/>
                  <w:tcBorders>
                    <w:top w:val="outset" w:sz="6" w:space="0" w:color="auto"/>
                    <w:left w:val="outset" w:sz="6" w:space="0" w:color="auto"/>
                    <w:bottom w:val="outset" w:sz="6" w:space="0" w:color="auto"/>
                    <w:right w:val="outset" w:sz="6" w:space="0" w:color="auto"/>
                  </w:tcBorders>
                  <w:hideMark/>
                </w:tcPr>
                <w:p w14:paraId="62DB5B8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10,607</w:t>
                  </w:r>
                </w:p>
              </w:tc>
              <w:tc>
                <w:tcPr>
                  <w:tcW w:w="829" w:type="dxa"/>
                  <w:tcBorders>
                    <w:top w:val="outset" w:sz="6" w:space="0" w:color="auto"/>
                    <w:left w:val="outset" w:sz="6" w:space="0" w:color="auto"/>
                    <w:bottom w:val="outset" w:sz="6" w:space="0" w:color="auto"/>
                    <w:right w:val="outset" w:sz="6" w:space="0" w:color="auto"/>
                  </w:tcBorders>
                  <w:hideMark/>
                </w:tcPr>
                <w:p w14:paraId="1453660C"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N/A</w:t>
                  </w:r>
                </w:p>
              </w:tc>
              <w:tc>
                <w:tcPr>
                  <w:tcW w:w="829" w:type="dxa"/>
                  <w:tcBorders>
                    <w:top w:val="outset" w:sz="6" w:space="0" w:color="auto"/>
                    <w:left w:val="outset" w:sz="6" w:space="0" w:color="auto"/>
                    <w:bottom w:val="outset" w:sz="6" w:space="0" w:color="auto"/>
                    <w:right w:val="outset" w:sz="6" w:space="0" w:color="auto"/>
                  </w:tcBorders>
                  <w:hideMark/>
                </w:tcPr>
                <w:p w14:paraId="5E7E9494"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N/A</w:t>
                  </w:r>
                </w:p>
              </w:tc>
              <w:tc>
                <w:tcPr>
                  <w:tcW w:w="829" w:type="dxa"/>
                  <w:tcBorders>
                    <w:top w:val="outset" w:sz="6" w:space="0" w:color="auto"/>
                    <w:left w:val="outset" w:sz="6" w:space="0" w:color="auto"/>
                    <w:bottom w:val="outset" w:sz="6" w:space="0" w:color="auto"/>
                    <w:right w:val="outset" w:sz="6" w:space="0" w:color="auto"/>
                  </w:tcBorders>
                  <w:hideMark/>
                </w:tcPr>
                <w:p w14:paraId="3916D0C7"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N/A</w:t>
                  </w:r>
                </w:p>
              </w:tc>
              <w:tc>
                <w:tcPr>
                  <w:tcW w:w="829" w:type="dxa"/>
                  <w:tcBorders>
                    <w:top w:val="outset" w:sz="6" w:space="0" w:color="auto"/>
                    <w:left w:val="outset" w:sz="6" w:space="0" w:color="auto"/>
                    <w:bottom w:val="outset" w:sz="6" w:space="0" w:color="auto"/>
                    <w:right w:val="outset" w:sz="6" w:space="0" w:color="auto"/>
                  </w:tcBorders>
                  <w:hideMark/>
                </w:tcPr>
                <w:p w14:paraId="3B54220F"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N/A</w:t>
                  </w:r>
                </w:p>
              </w:tc>
              <w:tc>
                <w:tcPr>
                  <w:tcW w:w="829" w:type="dxa"/>
                  <w:tcBorders>
                    <w:top w:val="outset" w:sz="6" w:space="0" w:color="auto"/>
                    <w:left w:val="outset" w:sz="6" w:space="0" w:color="auto"/>
                    <w:bottom w:val="outset" w:sz="6" w:space="0" w:color="auto"/>
                    <w:right w:val="outset" w:sz="6" w:space="0" w:color="auto"/>
                  </w:tcBorders>
                  <w:hideMark/>
                </w:tcPr>
                <w:p w14:paraId="25AB6308"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N/A</w:t>
                  </w:r>
                </w:p>
              </w:tc>
              <w:tc>
                <w:tcPr>
                  <w:tcW w:w="829" w:type="dxa"/>
                  <w:tcBorders>
                    <w:top w:val="outset" w:sz="6" w:space="0" w:color="auto"/>
                    <w:left w:val="outset" w:sz="6" w:space="0" w:color="auto"/>
                    <w:bottom w:val="outset" w:sz="6" w:space="0" w:color="auto"/>
                    <w:right w:val="outset" w:sz="6" w:space="0" w:color="auto"/>
                  </w:tcBorders>
                  <w:hideMark/>
                </w:tcPr>
                <w:p w14:paraId="3B02EB9E" w14:textId="77777777" w:rsidR="00A94811" w:rsidRPr="009339E6" w:rsidRDefault="00A94811" w:rsidP="00A94811">
                  <w:pPr>
                    <w:spacing w:before="60" w:after="60" w:line="312" w:lineRule="atLeast"/>
                    <w:jc w:val="both"/>
                    <w:rPr>
                      <w:rFonts w:ascii="Times New Roman" w:eastAsia="Times New Roman" w:hAnsi="Times New Roman" w:cs="Times New Roman"/>
                      <w:color w:val="000000" w:themeColor="text1"/>
                      <w:sz w:val="20"/>
                      <w:szCs w:val="20"/>
                      <w:lang w:eastAsia="ro-MD"/>
                    </w:rPr>
                  </w:pPr>
                  <w:r w:rsidRPr="009339E6">
                    <w:rPr>
                      <w:rFonts w:ascii="Times New Roman" w:eastAsia="Times New Roman" w:hAnsi="Times New Roman" w:cs="Times New Roman"/>
                      <w:color w:val="000000" w:themeColor="text1"/>
                      <w:sz w:val="20"/>
                      <w:szCs w:val="20"/>
                      <w:lang w:eastAsia="ro-MD"/>
                    </w:rPr>
                    <w:t>N/A</w:t>
                  </w:r>
                </w:p>
              </w:tc>
            </w:tr>
          </w:tbl>
          <w:bookmarkEnd w:id="39"/>
          <w:p w14:paraId="36E6500C" w14:textId="77777777" w:rsidR="00A94811" w:rsidRPr="009339E6" w:rsidRDefault="00A94811" w:rsidP="00A94811">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 </w:t>
            </w:r>
          </w:p>
          <w:p w14:paraId="3C99A51E" w14:textId="77777777" w:rsidR="00A94811" w:rsidRPr="009339E6" w:rsidRDefault="00A94811" w:rsidP="00A94811">
            <w:pPr>
              <w:spacing w:after="0" w:line="240" w:lineRule="auto"/>
              <w:ind w:right="708"/>
              <w:jc w:val="right"/>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 </w:t>
            </w:r>
            <w:r w:rsidRPr="009339E6">
              <w:rPr>
                <w:rFonts w:ascii="Times New Roman" w:eastAsia="Times New Roman" w:hAnsi="Times New Roman" w:cs="Times New Roman"/>
                <w:b/>
                <w:bCs/>
                <w:color w:val="000000" w:themeColor="text1"/>
                <w:sz w:val="20"/>
                <w:szCs w:val="20"/>
                <w:lang w:val="ro-RO" w:eastAsia="ro-MD"/>
              </w:rPr>
              <w:t>Tabelul nr.2</w:t>
            </w:r>
          </w:p>
          <w:p w14:paraId="6D6031AF" w14:textId="77777777" w:rsidR="00A94811" w:rsidRPr="009339E6" w:rsidRDefault="00A94811" w:rsidP="00A94811">
            <w:pPr>
              <w:spacing w:after="0" w:line="240" w:lineRule="auto"/>
              <w:jc w:val="right"/>
              <w:rPr>
                <w:rFonts w:ascii="Times New Roman" w:eastAsia="Times New Roman" w:hAnsi="Times New Roman" w:cs="Times New Roman"/>
                <w:color w:val="000000" w:themeColor="text1"/>
                <w:sz w:val="20"/>
                <w:szCs w:val="20"/>
                <w:lang w:val="ro-RO" w:eastAsia="ro-MD"/>
              </w:rPr>
            </w:pPr>
          </w:p>
          <w:tbl>
            <w:tblPr>
              <w:tblW w:w="498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44"/>
              <w:gridCol w:w="484"/>
              <w:gridCol w:w="479"/>
              <w:gridCol w:w="481"/>
              <w:gridCol w:w="484"/>
              <w:gridCol w:w="479"/>
              <w:gridCol w:w="480"/>
              <w:gridCol w:w="486"/>
              <w:gridCol w:w="482"/>
              <w:gridCol w:w="486"/>
            </w:tblGrid>
            <w:tr w:rsidR="00773D9D" w:rsidRPr="00773D9D" w14:paraId="2C2F7037" w14:textId="77777777" w:rsidTr="00773D9D">
              <w:trPr>
                <w:trHeight w:val="529"/>
                <w:jc w:val="center"/>
              </w:trPr>
              <w:tc>
                <w:tcPr>
                  <w:tcW w:w="644" w:type="dxa"/>
                  <w:tcBorders>
                    <w:top w:val="outset" w:sz="6" w:space="0" w:color="auto"/>
                    <w:left w:val="outset" w:sz="6" w:space="0" w:color="auto"/>
                    <w:bottom w:val="outset" w:sz="6" w:space="0" w:color="auto"/>
                    <w:right w:val="outset" w:sz="6" w:space="0" w:color="auto"/>
                  </w:tcBorders>
                  <w:hideMark/>
                </w:tcPr>
                <w:p w14:paraId="1E5EF2D9"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Nivelul</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calitate</w:t>
                  </w:r>
                  <w:proofErr w:type="spellEnd"/>
                  <w:r w:rsidRPr="00773D9D">
                    <w:rPr>
                      <w:rFonts w:ascii="Times New Roman" w:eastAsia="Times New Roman" w:hAnsi="Times New Roman" w:cs="Times New Roman"/>
                      <w:b/>
                      <w:bCs/>
                      <w:color w:val="000000" w:themeColor="text1"/>
                      <w:sz w:val="16"/>
                      <w:szCs w:val="16"/>
                      <w:lang w:eastAsia="ro-MD"/>
                    </w:rPr>
                    <w:t xml:space="preserve"> a </w:t>
                  </w:r>
                  <w:proofErr w:type="spellStart"/>
                  <w:r w:rsidRPr="00773D9D">
                    <w:rPr>
                      <w:rFonts w:ascii="Times New Roman" w:eastAsia="Times New Roman" w:hAnsi="Times New Roman" w:cs="Times New Roman"/>
                      <w:b/>
                      <w:bCs/>
                      <w:color w:val="000000" w:themeColor="text1"/>
                      <w:sz w:val="16"/>
                      <w:szCs w:val="16"/>
                      <w:lang w:eastAsia="ro-MD"/>
                    </w:rPr>
                    <w:t>creditului</w:t>
                  </w:r>
                  <w:proofErr w:type="spellEnd"/>
                  <w:r w:rsidRPr="00773D9D">
                    <w:rPr>
                      <w:rFonts w:ascii="Times New Roman" w:eastAsia="Times New Roman" w:hAnsi="Times New Roman" w:cs="Times New Roman"/>
                      <w:b/>
                      <w:bCs/>
                      <w:color w:val="000000" w:themeColor="text1"/>
                      <w:sz w:val="16"/>
                      <w:szCs w:val="16"/>
                      <w:lang w:eastAsia="ro-MD"/>
                    </w:rPr>
                    <w:t xml:space="preserve"> cu care </w:t>
                  </w:r>
                  <w:proofErr w:type="spellStart"/>
                  <w:r w:rsidRPr="00773D9D">
                    <w:rPr>
                      <w:rFonts w:ascii="Times New Roman" w:eastAsia="Times New Roman" w:hAnsi="Times New Roman" w:cs="Times New Roman"/>
                      <w:b/>
                      <w:bCs/>
                      <w:color w:val="000000" w:themeColor="text1"/>
                      <w:sz w:val="16"/>
                      <w:szCs w:val="16"/>
                      <w:lang w:eastAsia="ro-MD"/>
                    </w:rPr>
                    <w:t>este</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asociată</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evaluarea</w:t>
                  </w:r>
                  <w:proofErr w:type="spellEnd"/>
                  <w:r w:rsidRPr="00773D9D">
                    <w:rPr>
                      <w:rFonts w:ascii="Times New Roman" w:eastAsia="Times New Roman" w:hAnsi="Times New Roman" w:cs="Times New Roman"/>
                      <w:b/>
                      <w:bCs/>
                      <w:color w:val="000000" w:themeColor="text1"/>
                      <w:sz w:val="16"/>
                      <w:szCs w:val="16"/>
                      <w:lang w:eastAsia="ro-MD"/>
                    </w:rPr>
                    <w:t xml:space="preserve"> de credit </w:t>
                  </w:r>
                  <w:proofErr w:type="spellStart"/>
                  <w:r w:rsidRPr="00773D9D">
                    <w:rPr>
                      <w:rFonts w:ascii="Times New Roman" w:eastAsia="Times New Roman" w:hAnsi="Times New Roman" w:cs="Times New Roman"/>
                      <w:b/>
                      <w:bCs/>
                      <w:color w:val="000000" w:themeColor="text1"/>
                      <w:sz w:val="16"/>
                      <w:szCs w:val="16"/>
                      <w:lang w:eastAsia="ro-MD"/>
                    </w:rPr>
                    <w:t>pentru</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titlul</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datorie</w:t>
                  </w:r>
                  <w:proofErr w:type="spellEnd"/>
                  <w:r w:rsidRPr="00773D9D">
                    <w:rPr>
                      <w:rFonts w:ascii="Times New Roman" w:eastAsia="Times New Roman" w:hAnsi="Times New Roman" w:cs="Times New Roman"/>
                      <w:b/>
                      <w:bCs/>
                      <w:color w:val="000000" w:themeColor="text1"/>
                      <w:sz w:val="16"/>
                      <w:szCs w:val="16"/>
                      <w:lang w:eastAsia="ro-MD"/>
                    </w:rPr>
                    <w:t xml:space="preserve"> pe termen </w:t>
                  </w:r>
                  <w:proofErr w:type="spellStart"/>
                  <w:r w:rsidRPr="00773D9D">
                    <w:rPr>
                      <w:rFonts w:ascii="Times New Roman" w:eastAsia="Times New Roman" w:hAnsi="Times New Roman" w:cs="Times New Roman"/>
                      <w:b/>
                      <w:bCs/>
                      <w:color w:val="000000" w:themeColor="text1"/>
                      <w:sz w:val="16"/>
                      <w:szCs w:val="16"/>
                      <w:lang w:eastAsia="ro-MD"/>
                    </w:rPr>
                    <w:t>scurt</w:t>
                  </w:r>
                  <w:proofErr w:type="spellEnd"/>
                </w:p>
              </w:tc>
              <w:tc>
                <w:tcPr>
                  <w:tcW w:w="1444" w:type="dxa"/>
                  <w:gridSpan w:val="3"/>
                  <w:tcBorders>
                    <w:top w:val="outset" w:sz="6" w:space="0" w:color="auto"/>
                    <w:left w:val="outset" w:sz="6" w:space="0" w:color="auto"/>
                    <w:bottom w:val="outset" w:sz="6" w:space="0" w:color="auto"/>
                    <w:right w:val="outset" w:sz="6" w:space="0" w:color="auto"/>
                  </w:tcBorders>
                  <w:hideMark/>
                </w:tcPr>
                <w:p w14:paraId="3B973471"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Ajustările</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volatilitate</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pentru</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titlurile</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datorie</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emise</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entitățile</w:t>
                  </w:r>
                  <w:proofErr w:type="spellEnd"/>
                  <w:r w:rsidRPr="00773D9D">
                    <w:rPr>
                      <w:rFonts w:ascii="Times New Roman" w:eastAsia="Times New Roman" w:hAnsi="Times New Roman" w:cs="Times New Roman"/>
                      <w:b/>
                      <w:bCs/>
                      <w:color w:val="000000" w:themeColor="text1"/>
                      <w:sz w:val="16"/>
                      <w:szCs w:val="16"/>
                      <w:lang w:eastAsia="ro-MD"/>
                    </w:rPr>
                    <w:t xml:space="preserve"> </w:t>
                  </w:r>
                  <w:r w:rsidRPr="00773D9D">
                    <w:rPr>
                      <w:rFonts w:ascii="Times New Roman" w:eastAsia="Times New Roman" w:hAnsi="Times New Roman" w:cs="Times New Roman"/>
                      <w:b/>
                      <w:bCs/>
                      <w:color w:val="000000" w:themeColor="text1"/>
                      <w:sz w:val="16"/>
                      <w:szCs w:val="16"/>
                      <w:lang w:val="ro-RO" w:eastAsia="ro-MD"/>
                    </w:rPr>
                    <w:t>descrise la punctul 25 subpunctele 2) și 3) care beneficiază de evaluări ale creditului pe termen scurt</w:t>
                  </w:r>
                </w:p>
              </w:tc>
              <w:tc>
                <w:tcPr>
                  <w:tcW w:w="1443" w:type="dxa"/>
                  <w:gridSpan w:val="3"/>
                  <w:tcBorders>
                    <w:top w:val="outset" w:sz="6" w:space="0" w:color="auto"/>
                    <w:left w:val="outset" w:sz="6" w:space="0" w:color="auto"/>
                    <w:bottom w:val="outset" w:sz="6" w:space="0" w:color="auto"/>
                    <w:right w:val="outset" w:sz="6" w:space="0" w:color="auto"/>
                  </w:tcBorders>
                  <w:hideMark/>
                </w:tcPr>
                <w:p w14:paraId="32C3A313"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Ajustările</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volatilitate</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pentru</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titlurile</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datorie</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emise</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entitățile</w:t>
                  </w:r>
                  <w:proofErr w:type="spellEnd"/>
                  <w:r w:rsidRPr="00773D9D">
                    <w:rPr>
                      <w:rFonts w:ascii="Times New Roman" w:eastAsia="Times New Roman" w:hAnsi="Times New Roman" w:cs="Times New Roman"/>
                      <w:b/>
                      <w:bCs/>
                      <w:color w:val="000000" w:themeColor="text1"/>
                      <w:sz w:val="16"/>
                      <w:szCs w:val="16"/>
                      <w:lang w:eastAsia="ro-MD"/>
                    </w:rPr>
                    <w:t xml:space="preserve"> </w:t>
                  </w:r>
                  <w:r w:rsidRPr="00773D9D">
                    <w:rPr>
                      <w:rFonts w:ascii="Times New Roman" w:eastAsia="Times New Roman" w:hAnsi="Times New Roman" w:cs="Times New Roman"/>
                      <w:b/>
                      <w:bCs/>
                      <w:color w:val="000000" w:themeColor="text1"/>
                      <w:sz w:val="16"/>
                      <w:szCs w:val="16"/>
                      <w:lang w:val="ro-RO" w:eastAsia="ro-MD"/>
                    </w:rPr>
                    <w:t>descrise la punctul 25 subpunctele 4) și 5) care beneficiază de evaluări ale creditului pe termen scurt</w:t>
                  </w:r>
                </w:p>
              </w:tc>
              <w:tc>
                <w:tcPr>
                  <w:tcW w:w="1454" w:type="dxa"/>
                  <w:gridSpan w:val="3"/>
                  <w:tcBorders>
                    <w:top w:val="outset" w:sz="6" w:space="0" w:color="auto"/>
                    <w:left w:val="outset" w:sz="6" w:space="0" w:color="auto"/>
                    <w:bottom w:val="outset" w:sz="6" w:space="0" w:color="auto"/>
                    <w:right w:val="outset" w:sz="6" w:space="0" w:color="auto"/>
                  </w:tcBorders>
                  <w:hideMark/>
                </w:tcPr>
                <w:p w14:paraId="1653E972"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Ajustările</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volatilitate</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pentru</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pozițiile</w:t>
                  </w:r>
                  <w:proofErr w:type="spellEnd"/>
                  <w:r w:rsidRPr="00773D9D">
                    <w:rPr>
                      <w:rFonts w:ascii="Times New Roman" w:eastAsia="Times New Roman" w:hAnsi="Times New Roman" w:cs="Times New Roman"/>
                      <w:b/>
                      <w:bCs/>
                      <w:color w:val="000000" w:themeColor="text1"/>
                      <w:sz w:val="16"/>
                      <w:szCs w:val="16"/>
                      <w:lang w:eastAsia="ro-MD"/>
                    </w:rPr>
                    <w:t xml:space="preserve"> din </w:t>
                  </w:r>
                  <w:proofErr w:type="spellStart"/>
                  <w:r w:rsidRPr="00773D9D">
                    <w:rPr>
                      <w:rFonts w:ascii="Times New Roman" w:eastAsia="Times New Roman" w:hAnsi="Times New Roman" w:cs="Times New Roman"/>
                      <w:b/>
                      <w:bCs/>
                      <w:color w:val="000000" w:themeColor="text1"/>
                      <w:sz w:val="16"/>
                      <w:szCs w:val="16"/>
                      <w:lang w:eastAsia="ro-MD"/>
                    </w:rPr>
                    <w:t>securitizare</w:t>
                  </w:r>
                  <w:proofErr w:type="spellEnd"/>
                  <w:r w:rsidRPr="00773D9D">
                    <w:rPr>
                      <w:rFonts w:ascii="Times New Roman" w:eastAsia="Times New Roman" w:hAnsi="Times New Roman" w:cs="Times New Roman"/>
                      <w:b/>
                      <w:bCs/>
                      <w:color w:val="000000" w:themeColor="text1"/>
                      <w:sz w:val="16"/>
                      <w:szCs w:val="16"/>
                      <w:lang w:eastAsia="ro-MD"/>
                    </w:rPr>
                    <w:t xml:space="preserve"> care </w:t>
                  </w:r>
                  <w:proofErr w:type="spellStart"/>
                  <w:r w:rsidRPr="00773D9D">
                    <w:rPr>
                      <w:rFonts w:ascii="Times New Roman" w:eastAsia="Times New Roman" w:hAnsi="Times New Roman" w:cs="Times New Roman"/>
                      <w:b/>
                      <w:bCs/>
                      <w:color w:val="000000" w:themeColor="text1"/>
                      <w:sz w:val="16"/>
                      <w:szCs w:val="16"/>
                      <w:lang w:eastAsia="ro-MD"/>
                    </w:rPr>
                    <w:t>îndeplinesc</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criteriile</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stabilite</w:t>
                  </w:r>
                  <w:proofErr w:type="spellEnd"/>
                  <w:r w:rsidRPr="00773D9D">
                    <w:rPr>
                      <w:rFonts w:ascii="Times New Roman" w:eastAsia="Times New Roman" w:hAnsi="Times New Roman" w:cs="Times New Roman"/>
                      <w:b/>
                      <w:bCs/>
                      <w:color w:val="000000" w:themeColor="text1"/>
                      <w:sz w:val="16"/>
                      <w:szCs w:val="16"/>
                      <w:lang w:eastAsia="ro-MD"/>
                    </w:rPr>
                    <w:t xml:space="preserve"> la </w:t>
                  </w:r>
                  <w:proofErr w:type="spellStart"/>
                  <w:r w:rsidRPr="00773D9D">
                    <w:rPr>
                      <w:rFonts w:ascii="Times New Roman" w:eastAsia="Times New Roman" w:hAnsi="Times New Roman" w:cs="Times New Roman"/>
                      <w:b/>
                      <w:bCs/>
                      <w:color w:val="000000" w:themeColor="text1"/>
                      <w:sz w:val="16"/>
                      <w:szCs w:val="16"/>
                      <w:lang w:eastAsia="ro-MD"/>
                    </w:rPr>
                    <w:t>punctul</w:t>
                  </w:r>
                  <w:proofErr w:type="spellEnd"/>
                  <w:r w:rsidRPr="00773D9D">
                    <w:rPr>
                      <w:rFonts w:ascii="Times New Roman" w:eastAsia="Times New Roman" w:hAnsi="Times New Roman" w:cs="Times New Roman"/>
                      <w:b/>
                      <w:bCs/>
                      <w:color w:val="000000" w:themeColor="text1"/>
                      <w:sz w:val="16"/>
                      <w:szCs w:val="16"/>
                      <w:lang w:eastAsia="ro-MD"/>
                    </w:rPr>
                    <w:t xml:space="preserve"> 25 </w:t>
                  </w:r>
                  <w:proofErr w:type="spellStart"/>
                  <w:r w:rsidRPr="00773D9D">
                    <w:rPr>
                      <w:rFonts w:ascii="Times New Roman" w:eastAsia="Times New Roman" w:hAnsi="Times New Roman" w:cs="Times New Roman"/>
                      <w:b/>
                      <w:bCs/>
                      <w:color w:val="000000" w:themeColor="text1"/>
                      <w:sz w:val="16"/>
                      <w:szCs w:val="16"/>
                      <w:lang w:eastAsia="ro-MD"/>
                    </w:rPr>
                    <w:t>subpunctul</w:t>
                  </w:r>
                  <w:proofErr w:type="spellEnd"/>
                  <w:r w:rsidRPr="00773D9D">
                    <w:rPr>
                      <w:rFonts w:ascii="Times New Roman" w:eastAsia="Times New Roman" w:hAnsi="Times New Roman" w:cs="Times New Roman"/>
                      <w:b/>
                      <w:bCs/>
                      <w:color w:val="000000" w:themeColor="text1"/>
                      <w:sz w:val="16"/>
                      <w:szCs w:val="16"/>
                      <w:lang w:eastAsia="ro-MD"/>
                    </w:rPr>
                    <w:t xml:space="preserve"> 9</w:t>
                  </w:r>
                  <w:proofErr w:type="gramStart"/>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pentru</w:t>
                  </w:r>
                  <w:proofErr w:type="spellEnd"/>
                  <w:proofErr w:type="gramEnd"/>
                  <w:r w:rsidRPr="00773D9D">
                    <w:rPr>
                      <w:rFonts w:ascii="Times New Roman" w:eastAsia="Times New Roman" w:hAnsi="Times New Roman" w:cs="Times New Roman"/>
                      <w:b/>
                      <w:bCs/>
                      <w:color w:val="000000" w:themeColor="text1"/>
                      <w:sz w:val="16"/>
                      <w:szCs w:val="16"/>
                      <w:lang w:eastAsia="ro-MD"/>
                    </w:rPr>
                    <w:t xml:space="preserve"> care s-au </w:t>
                  </w:r>
                  <w:proofErr w:type="spellStart"/>
                  <w:r w:rsidRPr="00773D9D">
                    <w:rPr>
                      <w:rFonts w:ascii="Times New Roman" w:eastAsia="Times New Roman" w:hAnsi="Times New Roman" w:cs="Times New Roman"/>
                      <w:b/>
                      <w:bCs/>
                      <w:color w:val="000000" w:themeColor="text1"/>
                      <w:sz w:val="16"/>
                      <w:szCs w:val="16"/>
                      <w:lang w:eastAsia="ro-MD"/>
                    </w:rPr>
                    <w:t>efectuat</w:t>
                  </w:r>
                  <w:proofErr w:type="spellEnd"/>
                  <w:r w:rsidRPr="00773D9D">
                    <w:rPr>
                      <w:rFonts w:ascii="Times New Roman" w:eastAsia="Times New Roman" w:hAnsi="Times New Roman" w:cs="Times New Roman"/>
                      <w:b/>
                      <w:bCs/>
                      <w:color w:val="000000" w:themeColor="text1"/>
                      <w:sz w:val="16"/>
                      <w:szCs w:val="16"/>
                      <w:lang w:eastAsia="ro-MD"/>
                    </w:rPr>
                    <w:t xml:space="preserve"> </w:t>
                  </w:r>
                  <w:proofErr w:type="spellStart"/>
                  <w:r w:rsidRPr="00773D9D">
                    <w:rPr>
                      <w:rFonts w:ascii="Times New Roman" w:eastAsia="Times New Roman" w:hAnsi="Times New Roman" w:cs="Times New Roman"/>
                      <w:b/>
                      <w:bCs/>
                      <w:color w:val="000000" w:themeColor="text1"/>
                      <w:sz w:val="16"/>
                      <w:szCs w:val="16"/>
                      <w:lang w:eastAsia="ro-MD"/>
                    </w:rPr>
                    <w:t>evaluări</w:t>
                  </w:r>
                  <w:proofErr w:type="spellEnd"/>
                  <w:r w:rsidRPr="00773D9D">
                    <w:rPr>
                      <w:rFonts w:ascii="Times New Roman" w:eastAsia="Times New Roman" w:hAnsi="Times New Roman" w:cs="Times New Roman"/>
                      <w:b/>
                      <w:bCs/>
                      <w:color w:val="000000" w:themeColor="text1"/>
                      <w:sz w:val="16"/>
                      <w:szCs w:val="16"/>
                      <w:lang w:eastAsia="ro-MD"/>
                    </w:rPr>
                    <w:t xml:space="preserve"> de credit pe termen </w:t>
                  </w:r>
                  <w:proofErr w:type="spellStart"/>
                  <w:r w:rsidRPr="00773D9D">
                    <w:rPr>
                      <w:rFonts w:ascii="Times New Roman" w:eastAsia="Times New Roman" w:hAnsi="Times New Roman" w:cs="Times New Roman"/>
                      <w:b/>
                      <w:bCs/>
                      <w:color w:val="000000" w:themeColor="text1"/>
                      <w:sz w:val="16"/>
                      <w:szCs w:val="16"/>
                      <w:lang w:eastAsia="ro-MD"/>
                    </w:rPr>
                    <w:t>scurt</w:t>
                  </w:r>
                  <w:proofErr w:type="spellEnd"/>
                </w:p>
              </w:tc>
            </w:tr>
            <w:tr w:rsidR="00A94811" w:rsidRPr="00773D9D" w14:paraId="6FFC0886" w14:textId="77777777" w:rsidTr="00A94811">
              <w:trPr>
                <w:trHeight w:val="1709"/>
                <w:jc w:val="center"/>
              </w:trPr>
              <w:tc>
                <w:tcPr>
                  <w:tcW w:w="644" w:type="dxa"/>
                  <w:tcBorders>
                    <w:top w:val="outset" w:sz="6" w:space="0" w:color="auto"/>
                    <w:left w:val="outset" w:sz="6" w:space="0" w:color="auto"/>
                    <w:bottom w:val="outset" w:sz="6" w:space="0" w:color="auto"/>
                    <w:right w:val="outset" w:sz="6" w:space="0" w:color="auto"/>
                  </w:tcBorders>
                  <w:hideMark/>
                </w:tcPr>
                <w:p w14:paraId="32F0B17E" w14:textId="77777777" w:rsidR="00A94811" w:rsidRPr="00773D9D" w:rsidRDefault="00A94811" w:rsidP="00A94811">
                  <w:pPr>
                    <w:spacing w:after="0" w:line="312" w:lineRule="atLeast"/>
                    <w:rPr>
                      <w:rFonts w:ascii="Times New Roman" w:eastAsia="Times New Roman" w:hAnsi="Times New Roman" w:cs="Times New Roman"/>
                      <w:b/>
                      <w:bCs/>
                      <w:color w:val="000000" w:themeColor="text1"/>
                      <w:sz w:val="16"/>
                      <w:szCs w:val="16"/>
                      <w:lang w:eastAsia="ro-MD"/>
                    </w:rPr>
                  </w:pPr>
                  <w:r w:rsidRPr="00773D9D">
                    <w:rPr>
                      <w:rFonts w:ascii="Times New Roman" w:eastAsia="Times New Roman" w:hAnsi="Times New Roman" w:cs="Times New Roman"/>
                      <w:b/>
                      <w:bCs/>
                      <w:color w:val="000000" w:themeColor="text1"/>
                      <w:sz w:val="16"/>
                      <w:szCs w:val="16"/>
                      <w:lang w:eastAsia="ro-MD"/>
                    </w:rPr>
                    <w:t> </w:t>
                  </w:r>
                </w:p>
              </w:tc>
              <w:tc>
                <w:tcPr>
                  <w:tcW w:w="484" w:type="dxa"/>
                  <w:tcBorders>
                    <w:top w:val="outset" w:sz="6" w:space="0" w:color="auto"/>
                    <w:left w:val="outset" w:sz="6" w:space="0" w:color="auto"/>
                    <w:bottom w:val="outset" w:sz="6" w:space="0" w:color="auto"/>
                    <w:right w:val="outset" w:sz="6" w:space="0" w:color="auto"/>
                  </w:tcBorders>
                  <w:hideMark/>
                </w:tcPr>
                <w:p w14:paraId="56D5FB80"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20 de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c>
                <w:tcPr>
                  <w:tcW w:w="479" w:type="dxa"/>
                  <w:tcBorders>
                    <w:top w:val="outset" w:sz="6" w:space="0" w:color="auto"/>
                    <w:left w:val="outset" w:sz="6" w:space="0" w:color="auto"/>
                    <w:bottom w:val="outset" w:sz="6" w:space="0" w:color="auto"/>
                    <w:right w:val="outset" w:sz="6" w:space="0" w:color="auto"/>
                  </w:tcBorders>
                  <w:hideMark/>
                </w:tcPr>
                <w:p w14:paraId="6A1E3756"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10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c>
                <w:tcPr>
                  <w:tcW w:w="480" w:type="dxa"/>
                  <w:tcBorders>
                    <w:top w:val="outset" w:sz="6" w:space="0" w:color="auto"/>
                    <w:left w:val="outset" w:sz="6" w:space="0" w:color="auto"/>
                    <w:bottom w:val="outset" w:sz="6" w:space="0" w:color="auto"/>
                    <w:right w:val="outset" w:sz="6" w:space="0" w:color="auto"/>
                  </w:tcBorders>
                  <w:hideMark/>
                </w:tcPr>
                <w:p w14:paraId="243DD648"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5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c>
                <w:tcPr>
                  <w:tcW w:w="484" w:type="dxa"/>
                  <w:tcBorders>
                    <w:top w:val="outset" w:sz="6" w:space="0" w:color="auto"/>
                    <w:left w:val="outset" w:sz="6" w:space="0" w:color="auto"/>
                    <w:bottom w:val="outset" w:sz="6" w:space="0" w:color="auto"/>
                    <w:right w:val="outset" w:sz="6" w:space="0" w:color="auto"/>
                  </w:tcBorders>
                  <w:hideMark/>
                </w:tcPr>
                <w:p w14:paraId="73523B2E"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20 de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c>
                <w:tcPr>
                  <w:tcW w:w="479" w:type="dxa"/>
                  <w:tcBorders>
                    <w:top w:val="outset" w:sz="6" w:space="0" w:color="auto"/>
                    <w:left w:val="outset" w:sz="6" w:space="0" w:color="auto"/>
                    <w:bottom w:val="outset" w:sz="6" w:space="0" w:color="auto"/>
                    <w:right w:val="outset" w:sz="6" w:space="0" w:color="auto"/>
                  </w:tcBorders>
                  <w:hideMark/>
                </w:tcPr>
                <w:p w14:paraId="34B5484D"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10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c>
                <w:tcPr>
                  <w:tcW w:w="479" w:type="dxa"/>
                  <w:tcBorders>
                    <w:top w:val="outset" w:sz="6" w:space="0" w:color="auto"/>
                    <w:left w:val="outset" w:sz="6" w:space="0" w:color="auto"/>
                    <w:bottom w:val="outset" w:sz="6" w:space="0" w:color="auto"/>
                    <w:right w:val="outset" w:sz="6" w:space="0" w:color="auto"/>
                  </w:tcBorders>
                  <w:hideMark/>
                </w:tcPr>
                <w:p w14:paraId="29A37DBA"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5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c>
                <w:tcPr>
                  <w:tcW w:w="486" w:type="dxa"/>
                  <w:tcBorders>
                    <w:top w:val="outset" w:sz="6" w:space="0" w:color="auto"/>
                    <w:left w:val="outset" w:sz="6" w:space="0" w:color="auto"/>
                    <w:bottom w:val="outset" w:sz="6" w:space="0" w:color="auto"/>
                    <w:right w:val="outset" w:sz="6" w:space="0" w:color="auto"/>
                  </w:tcBorders>
                </w:tcPr>
                <w:p w14:paraId="001B148D"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20 de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c>
                <w:tcPr>
                  <w:tcW w:w="482" w:type="dxa"/>
                  <w:tcBorders>
                    <w:top w:val="outset" w:sz="6" w:space="0" w:color="auto"/>
                    <w:left w:val="outset" w:sz="6" w:space="0" w:color="auto"/>
                    <w:bottom w:val="outset" w:sz="6" w:space="0" w:color="auto"/>
                    <w:right w:val="outset" w:sz="6" w:space="0" w:color="auto"/>
                  </w:tcBorders>
                </w:tcPr>
                <w:p w14:paraId="29F01FBE"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10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c>
                <w:tcPr>
                  <w:tcW w:w="485" w:type="dxa"/>
                  <w:tcBorders>
                    <w:top w:val="outset" w:sz="6" w:space="0" w:color="auto"/>
                    <w:left w:val="outset" w:sz="6" w:space="0" w:color="auto"/>
                    <w:bottom w:val="outset" w:sz="6" w:space="0" w:color="auto"/>
                    <w:right w:val="outset" w:sz="6" w:space="0" w:color="auto"/>
                  </w:tcBorders>
                </w:tcPr>
                <w:p w14:paraId="7BFE908A" w14:textId="77777777" w:rsidR="00A94811" w:rsidRPr="00773D9D" w:rsidRDefault="00A94811" w:rsidP="00A94811">
                  <w:pPr>
                    <w:spacing w:before="60" w:after="60" w:line="312" w:lineRule="atLeast"/>
                    <w:jc w:val="both"/>
                    <w:rPr>
                      <w:rFonts w:ascii="Times New Roman" w:eastAsia="Times New Roman" w:hAnsi="Times New Roman" w:cs="Times New Roman"/>
                      <w:b/>
                      <w:bCs/>
                      <w:color w:val="000000" w:themeColor="text1"/>
                      <w:sz w:val="16"/>
                      <w:szCs w:val="16"/>
                      <w:lang w:eastAsia="ro-MD"/>
                    </w:rPr>
                  </w:pPr>
                  <w:proofErr w:type="spellStart"/>
                  <w:r w:rsidRPr="00773D9D">
                    <w:rPr>
                      <w:rFonts w:ascii="Times New Roman" w:eastAsia="Times New Roman" w:hAnsi="Times New Roman" w:cs="Times New Roman"/>
                      <w:b/>
                      <w:bCs/>
                      <w:color w:val="000000" w:themeColor="text1"/>
                      <w:sz w:val="16"/>
                      <w:szCs w:val="16"/>
                      <w:lang w:eastAsia="ro-MD"/>
                    </w:rPr>
                    <w:t>Perioadă</w:t>
                  </w:r>
                  <w:proofErr w:type="spellEnd"/>
                  <w:r w:rsidRPr="00773D9D">
                    <w:rPr>
                      <w:rFonts w:ascii="Times New Roman" w:eastAsia="Times New Roman" w:hAnsi="Times New Roman" w:cs="Times New Roman"/>
                      <w:b/>
                      <w:bCs/>
                      <w:color w:val="000000" w:themeColor="text1"/>
                      <w:sz w:val="16"/>
                      <w:szCs w:val="16"/>
                      <w:lang w:eastAsia="ro-MD"/>
                    </w:rPr>
                    <w:t xml:space="preserve"> de </w:t>
                  </w:r>
                  <w:proofErr w:type="spellStart"/>
                  <w:r w:rsidRPr="00773D9D">
                    <w:rPr>
                      <w:rFonts w:ascii="Times New Roman" w:eastAsia="Times New Roman" w:hAnsi="Times New Roman" w:cs="Times New Roman"/>
                      <w:b/>
                      <w:bCs/>
                      <w:color w:val="000000" w:themeColor="text1"/>
                      <w:sz w:val="16"/>
                      <w:szCs w:val="16"/>
                      <w:lang w:eastAsia="ro-MD"/>
                    </w:rPr>
                    <w:t>deținere</w:t>
                  </w:r>
                  <w:proofErr w:type="spellEnd"/>
                  <w:r w:rsidRPr="00773D9D">
                    <w:rPr>
                      <w:rFonts w:ascii="Times New Roman" w:eastAsia="Times New Roman" w:hAnsi="Times New Roman" w:cs="Times New Roman"/>
                      <w:b/>
                      <w:bCs/>
                      <w:color w:val="000000" w:themeColor="text1"/>
                      <w:sz w:val="16"/>
                      <w:szCs w:val="16"/>
                      <w:lang w:eastAsia="ro-MD"/>
                    </w:rPr>
                    <w:t xml:space="preserve"> de 5 </w:t>
                  </w:r>
                  <w:proofErr w:type="spellStart"/>
                  <w:r w:rsidRPr="00773D9D">
                    <w:rPr>
                      <w:rFonts w:ascii="Times New Roman" w:eastAsia="Times New Roman" w:hAnsi="Times New Roman" w:cs="Times New Roman"/>
                      <w:b/>
                      <w:bCs/>
                      <w:color w:val="000000" w:themeColor="text1"/>
                      <w:sz w:val="16"/>
                      <w:szCs w:val="16"/>
                      <w:lang w:eastAsia="ro-MD"/>
                    </w:rPr>
                    <w:t>zile</w:t>
                  </w:r>
                  <w:proofErr w:type="spellEnd"/>
                  <w:r w:rsidRPr="00773D9D">
                    <w:rPr>
                      <w:rFonts w:ascii="Times New Roman" w:eastAsia="Times New Roman" w:hAnsi="Times New Roman" w:cs="Times New Roman"/>
                      <w:b/>
                      <w:bCs/>
                      <w:color w:val="000000" w:themeColor="text1"/>
                      <w:sz w:val="16"/>
                      <w:szCs w:val="16"/>
                      <w:lang w:eastAsia="ro-MD"/>
                    </w:rPr>
                    <w:t xml:space="preserve"> (%)</w:t>
                  </w:r>
                </w:p>
              </w:tc>
            </w:tr>
            <w:tr w:rsidR="00A94811" w:rsidRPr="00773D9D" w14:paraId="5F71F069" w14:textId="77777777" w:rsidTr="00A94811">
              <w:trPr>
                <w:trHeight w:val="442"/>
                <w:jc w:val="center"/>
              </w:trPr>
              <w:tc>
                <w:tcPr>
                  <w:tcW w:w="644" w:type="dxa"/>
                  <w:tcBorders>
                    <w:top w:val="outset" w:sz="6" w:space="0" w:color="auto"/>
                    <w:left w:val="outset" w:sz="6" w:space="0" w:color="auto"/>
                    <w:bottom w:val="outset" w:sz="6" w:space="0" w:color="auto"/>
                    <w:right w:val="outset" w:sz="6" w:space="0" w:color="auto"/>
                  </w:tcBorders>
                  <w:hideMark/>
                </w:tcPr>
                <w:p w14:paraId="32DFE967"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1</w:t>
                  </w:r>
                </w:p>
              </w:tc>
              <w:tc>
                <w:tcPr>
                  <w:tcW w:w="484" w:type="dxa"/>
                  <w:tcBorders>
                    <w:top w:val="outset" w:sz="6" w:space="0" w:color="auto"/>
                    <w:left w:val="outset" w:sz="6" w:space="0" w:color="auto"/>
                    <w:bottom w:val="outset" w:sz="6" w:space="0" w:color="auto"/>
                    <w:right w:val="outset" w:sz="6" w:space="0" w:color="auto"/>
                  </w:tcBorders>
                  <w:hideMark/>
                </w:tcPr>
                <w:p w14:paraId="5309DD79"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0,707</w:t>
                  </w:r>
                </w:p>
              </w:tc>
              <w:tc>
                <w:tcPr>
                  <w:tcW w:w="479" w:type="dxa"/>
                  <w:tcBorders>
                    <w:top w:val="outset" w:sz="6" w:space="0" w:color="auto"/>
                    <w:left w:val="outset" w:sz="6" w:space="0" w:color="auto"/>
                    <w:bottom w:val="outset" w:sz="6" w:space="0" w:color="auto"/>
                    <w:right w:val="outset" w:sz="6" w:space="0" w:color="auto"/>
                  </w:tcBorders>
                  <w:hideMark/>
                </w:tcPr>
                <w:p w14:paraId="3C82489E"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0,5</w:t>
                  </w:r>
                </w:p>
              </w:tc>
              <w:tc>
                <w:tcPr>
                  <w:tcW w:w="480" w:type="dxa"/>
                  <w:tcBorders>
                    <w:top w:val="outset" w:sz="6" w:space="0" w:color="auto"/>
                    <w:left w:val="outset" w:sz="6" w:space="0" w:color="auto"/>
                    <w:bottom w:val="outset" w:sz="6" w:space="0" w:color="auto"/>
                    <w:right w:val="outset" w:sz="6" w:space="0" w:color="auto"/>
                  </w:tcBorders>
                  <w:hideMark/>
                </w:tcPr>
                <w:p w14:paraId="6D28B12F"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0,354</w:t>
                  </w:r>
                </w:p>
              </w:tc>
              <w:tc>
                <w:tcPr>
                  <w:tcW w:w="484" w:type="dxa"/>
                  <w:tcBorders>
                    <w:top w:val="outset" w:sz="6" w:space="0" w:color="auto"/>
                    <w:left w:val="outset" w:sz="6" w:space="0" w:color="auto"/>
                    <w:bottom w:val="outset" w:sz="6" w:space="0" w:color="auto"/>
                    <w:right w:val="outset" w:sz="6" w:space="0" w:color="auto"/>
                  </w:tcBorders>
                  <w:hideMark/>
                </w:tcPr>
                <w:p w14:paraId="4D224578"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1,414</w:t>
                  </w:r>
                </w:p>
              </w:tc>
              <w:tc>
                <w:tcPr>
                  <w:tcW w:w="479" w:type="dxa"/>
                  <w:tcBorders>
                    <w:top w:val="outset" w:sz="6" w:space="0" w:color="auto"/>
                    <w:left w:val="outset" w:sz="6" w:space="0" w:color="auto"/>
                    <w:bottom w:val="outset" w:sz="6" w:space="0" w:color="auto"/>
                    <w:right w:val="outset" w:sz="6" w:space="0" w:color="auto"/>
                  </w:tcBorders>
                  <w:hideMark/>
                </w:tcPr>
                <w:p w14:paraId="36CFEDED"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1</w:t>
                  </w:r>
                </w:p>
              </w:tc>
              <w:tc>
                <w:tcPr>
                  <w:tcW w:w="479" w:type="dxa"/>
                  <w:tcBorders>
                    <w:top w:val="outset" w:sz="6" w:space="0" w:color="auto"/>
                    <w:left w:val="outset" w:sz="6" w:space="0" w:color="auto"/>
                    <w:bottom w:val="outset" w:sz="6" w:space="0" w:color="auto"/>
                    <w:right w:val="outset" w:sz="6" w:space="0" w:color="auto"/>
                  </w:tcBorders>
                  <w:hideMark/>
                </w:tcPr>
                <w:p w14:paraId="61E77510"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0,707</w:t>
                  </w:r>
                </w:p>
              </w:tc>
              <w:tc>
                <w:tcPr>
                  <w:tcW w:w="486" w:type="dxa"/>
                  <w:tcBorders>
                    <w:top w:val="outset" w:sz="6" w:space="0" w:color="auto"/>
                    <w:left w:val="outset" w:sz="6" w:space="0" w:color="auto"/>
                    <w:bottom w:val="outset" w:sz="6" w:space="0" w:color="auto"/>
                    <w:right w:val="outset" w:sz="6" w:space="0" w:color="auto"/>
                  </w:tcBorders>
                </w:tcPr>
                <w:p w14:paraId="0782CA19"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2,828</w:t>
                  </w:r>
                </w:p>
              </w:tc>
              <w:tc>
                <w:tcPr>
                  <w:tcW w:w="482" w:type="dxa"/>
                  <w:tcBorders>
                    <w:top w:val="outset" w:sz="6" w:space="0" w:color="auto"/>
                    <w:left w:val="outset" w:sz="6" w:space="0" w:color="auto"/>
                    <w:bottom w:val="outset" w:sz="6" w:space="0" w:color="auto"/>
                    <w:right w:val="outset" w:sz="6" w:space="0" w:color="auto"/>
                  </w:tcBorders>
                </w:tcPr>
                <w:p w14:paraId="3F8FC80C"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2</w:t>
                  </w:r>
                </w:p>
              </w:tc>
              <w:tc>
                <w:tcPr>
                  <w:tcW w:w="485" w:type="dxa"/>
                  <w:tcBorders>
                    <w:top w:val="outset" w:sz="6" w:space="0" w:color="auto"/>
                    <w:left w:val="outset" w:sz="6" w:space="0" w:color="auto"/>
                    <w:bottom w:val="outset" w:sz="6" w:space="0" w:color="auto"/>
                    <w:right w:val="outset" w:sz="6" w:space="0" w:color="auto"/>
                  </w:tcBorders>
                </w:tcPr>
                <w:p w14:paraId="09FA3939"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1,414</w:t>
                  </w:r>
                </w:p>
              </w:tc>
            </w:tr>
            <w:tr w:rsidR="00A94811" w:rsidRPr="00773D9D" w14:paraId="05748569" w14:textId="77777777" w:rsidTr="00A94811">
              <w:trPr>
                <w:trHeight w:val="442"/>
                <w:jc w:val="center"/>
              </w:trPr>
              <w:tc>
                <w:tcPr>
                  <w:tcW w:w="644" w:type="dxa"/>
                  <w:tcBorders>
                    <w:top w:val="outset" w:sz="6" w:space="0" w:color="auto"/>
                    <w:left w:val="outset" w:sz="6" w:space="0" w:color="auto"/>
                    <w:bottom w:val="outset" w:sz="6" w:space="0" w:color="auto"/>
                    <w:right w:val="outset" w:sz="6" w:space="0" w:color="auto"/>
                  </w:tcBorders>
                  <w:hideMark/>
                </w:tcPr>
                <w:p w14:paraId="3120C888"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2-3</w:t>
                  </w:r>
                </w:p>
              </w:tc>
              <w:tc>
                <w:tcPr>
                  <w:tcW w:w="484" w:type="dxa"/>
                  <w:tcBorders>
                    <w:top w:val="outset" w:sz="6" w:space="0" w:color="auto"/>
                    <w:left w:val="outset" w:sz="6" w:space="0" w:color="auto"/>
                    <w:bottom w:val="outset" w:sz="6" w:space="0" w:color="auto"/>
                    <w:right w:val="outset" w:sz="6" w:space="0" w:color="auto"/>
                  </w:tcBorders>
                  <w:hideMark/>
                </w:tcPr>
                <w:p w14:paraId="51B9E1D2"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1,414</w:t>
                  </w:r>
                </w:p>
              </w:tc>
              <w:tc>
                <w:tcPr>
                  <w:tcW w:w="479" w:type="dxa"/>
                  <w:tcBorders>
                    <w:top w:val="outset" w:sz="6" w:space="0" w:color="auto"/>
                    <w:left w:val="outset" w:sz="6" w:space="0" w:color="auto"/>
                    <w:bottom w:val="outset" w:sz="6" w:space="0" w:color="auto"/>
                    <w:right w:val="outset" w:sz="6" w:space="0" w:color="auto"/>
                  </w:tcBorders>
                  <w:hideMark/>
                </w:tcPr>
                <w:p w14:paraId="63191C04"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1</w:t>
                  </w:r>
                </w:p>
              </w:tc>
              <w:tc>
                <w:tcPr>
                  <w:tcW w:w="480" w:type="dxa"/>
                  <w:tcBorders>
                    <w:top w:val="outset" w:sz="6" w:space="0" w:color="auto"/>
                    <w:left w:val="outset" w:sz="6" w:space="0" w:color="auto"/>
                    <w:bottom w:val="outset" w:sz="6" w:space="0" w:color="auto"/>
                    <w:right w:val="outset" w:sz="6" w:space="0" w:color="auto"/>
                  </w:tcBorders>
                  <w:hideMark/>
                </w:tcPr>
                <w:p w14:paraId="5554A06A"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0,707</w:t>
                  </w:r>
                </w:p>
              </w:tc>
              <w:tc>
                <w:tcPr>
                  <w:tcW w:w="484" w:type="dxa"/>
                  <w:tcBorders>
                    <w:top w:val="outset" w:sz="6" w:space="0" w:color="auto"/>
                    <w:left w:val="outset" w:sz="6" w:space="0" w:color="auto"/>
                    <w:bottom w:val="outset" w:sz="6" w:space="0" w:color="auto"/>
                    <w:right w:val="outset" w:sz="6" w:space="0" w:color="auto"/>
                  </w:tcBorders>
                  <w:hideMark/>
                </w:tcPr>
                <w:p w14:paraId="2A9AEFFB"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2,828</w:t>
                  </w:r>
                </w:p>
              </w:tc>
              <w:tc>
                <w:tcPr>
                  <w:tcW w:w="479" w:type="dxa"/>
                  <w:tcBorders>
                    <w:top w:val="outset" w:sz="6" w:space="0" w:color="auto"/>
                    <w:left w:val="outset" w:sz="6" w:space="0" w:color="auto"/>
                    <w:bottom w:val="outset" w:sz="6" w:space="0" w:color="auto"/>
                    <w:right w:val="outset" w:sz="6" w:space="0" w:color="auto"/>
                  </w:tcBorders>
                  <w:hideMark/>
                </w:tcPr>
                <w:p w14:paraId="14F53220"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2</w:t>
                  </w:r>
                </w:p>
              </w:tc>
              <w:tc>
                <w:tcPr>
                  <w:tcW w:w="479" w:type="dxa"/>
                  <w:tcBorders>
                    <w:top w:val="outset" w:sz="6" w:space="0" w:color="auto"/>
                    <w:left w:val="outset" w:sz="6" w:space="0" w:color="auto"/>
                    <w:bottom w:val="outset" w:sz="6" w:space="0" w:color="auto"/>
                    <w:right w:val="outset" w:sz="6" w:space="0" w:color="auto"/>
                  </w:tcBorders>
                  <w:hideMark/>
                </w:tcPr>
                <w:p w14:paraId="1D90A31C"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1,414</w:t>
                  </w:r>
                </w:p>
              </w:tc>
              <w:tc>
                <w:tcPr>
                  <w:tcW w:w="486" w:type="dxa"/>
                  <w:tcBorders>
                    <w:top w:val="outset" w:sz="6" w:space="0" w:color="auto"/>
                    <w:left w:val="outset" w:sz="6" w:space="0" w:color="auto"/>
                    <w:bottom w:val="outset" w:sz="6" w:space="0" w:color="auto"/>
                    <w:right w:val="outset" w:sz="6" w:space="0" w:color="auto"/>
                  </w:tcBorders>
                </w:tcPr>
                <w:p w14:paraId="50CE2676"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5,657</w:t>
                  </w:r>
                </w:p>
              </w:tc>
              <w:tc>
                <w:tcPr>
                  <w:tcW w:w="482" w:type="dxa"/>
                  <w:tcBorders>
                    <w:top w:val="outset" w:sz="6" w:space="0" w:color="auto"/>
                    <w:left w:val="outset" w:sz="6" w:space="0" w:color="auto"/>
                    <w:bottom w:val="outset" w:sz="6" w:space="0" w:color="auto"/>
                    <w:right w:val="outset" w:sz="6" w:space="0" w:color="auto"/>
                  </w:tcBorders>
                </w:tcPr>
                <w:p w14:paraId="0FA66D0A"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4</w:t>
                  </w:r>
                </w:p>
              </w:tc>
              <w:tc>
                <w:tcPr>
                  <w:tcW w:w="485" w:type="dxa"/>
                  <w:tcBorders>
                    <w:top w:val="outset" w:sz="6" w:space="0" w:color="auto"/>
                    <w:left w:val="outset" w:sz="6" w:space="0" w:color="auto"/>
                    <w:bottom w:val="outset" w:sz="6" w:space="0" w:color="auto"/>
                    <w:right w:val="outset" w:sz="6" w:space="0" w:color="auto"/>
                  </w:tcBorders>
                </w:tcPr>
                <w:p w14:paraId="7EB1C8E2" w14:textId="77777777" w:rsidR="00A94811" w:rsidRPr="00773D9D" w:rsidRDefault="00A94811" w:rsidP="00A94811">
                  <w:pPr>
                    <w:spacing w:before="60" w:after="60" w:line="312" w:lineRule="atLeast"/>
                    <w:jc w:val="both"/>
                    <w:rPr>
                      <w:rFonts w:ascii="Times New Roman" w:eastAsia="Times New Roman" w:hAnsi="Times New Roman" w:cs="Times New Roman"/>
                      <w:color w:val="000000" w:themeColor="text1"/>
                      <w:sz w:val="16"/>
                      <w:szCs w:val="16"/>
                      <w:lang w:eastAsia="ro-MD"/>
                    </w:rPr>
                  </w:pPr>
                  <w:r w:rsidRPr="00773D9D">
                    <w:rPr>
                      <w:rFonts w:ascii="Times New Roman" w:eastAsia="Times New Roman" w:hAnsi="Times New Roman" w:cs="Times New Roman"/>
                      <w:color w:val="000000" w:themeColor="text1"/>
                      <w:sz w:val="16"/>
                      <w:szCs w:val="16"/>
                      <w:lang w:eastAsia="ro-MD"/>
                    </w:rPr>
                    <w:t>2,828</w:t>
                  </w:r>
                </w:p>
              </w:tc>
            </w:tr>
          </w:tbl>
          <w:p w14:paraId="622EB1A2" w14:textId="77777777" w:rsidR="00A94811" w:rsidRPr="009339E6" w:rsidRDefault="00A94811" w:rsidP="00A94811">
            <w:pPr>
              <w:shd w:val="clear" w:color="auto" w:fill="FFFFFF"/>
              <w:spacing w:after="0" w:line="312" w:lineRule="atLeast"/>
              <w:rPr>
                <w:rFonts w:ascii="Arial Unicode MS" w:eastAsia="Times New Roman" w:hAnsi="Arial Unicode MS" w:cs="Times New Roman"/>
                <w:color w:val="000000" w:themeColor="text1"/>
                <w:sz w:val="20"/>
                <w:szCs w:val="20"/>
                <w:lang w:eastAsia="ro-MD"/>
              </w:rPr>
            </w:pPr>
          </w:p>
          <w:p w14:paraId="34617F4D" w14:textId="77777777" w:rsidR="00A94811" w:rsidRPr="009339E6" w:rsidRDefault="00A94811" w:rsidP="00A94811">
            <w:pPr>
              <w:spacing w:after="0" w:line="240" w:lineRule="auto"/>
              <w:ind w:firstLine="567"/>
              <w:jc w:val="both"/>
              <w:rPr>
                <w:rFonts w:ascii="Times New Roman" w:eastAsia="Times New Roman" w:hAnsi="Times New Roman" w:cs="Times New Roman"/>
                <w:color w:val="000000" w:themeColor="text1"/>
                <w:sz w:val="20"/>
                <w:szCs w:val="20"/>
                <w:lang w:val="ro-RO" w:eastAsia="ro-MD"/>
              </w:rPr>
            </w:pPr>
          </w:p>
          <w:tbl>
            <w:tblPr>
              <w:tblW w:w="4000" w:type="pct"/>
              <w:jc w:val="center"/>
              <w:tblLayout w:type="fixed"/>
              <w:tblCellMar>
                <w:top w:w="15" w:type="dxa"/>
                <w:left w:w="15" w:type="dxa"/>
                <w:bottom w:w="15" w:type="dxa"/>
                <w:right w:w="15" w:type="dxa"/>
              </w:tblCellMar>
              <w:tblLook w:val="04A0" w:firstRow="1" w:lastRow="0" w:firstColumn="1" w:lastColumn="0" w:noHBand="0" w:noVBand="1"/>
            </w:tblPr>
            <w:tblGrid>
              <w:gridCol w:w="1255"/>
              <w:gridCol w:w="841"/>
              <w:gridCol w:w="841"/>
              <w:gridCol w:w="795"/>
            </w:tblGrid>
            <w:tr w:rsidR="00A94811" w:rsidRPr="009339E6" w14:paraId="5D4CC8C0" w14:textId="77777777" w:rsidTr="005C3300">
              <w:trPr>
                <w:jc w:val="center"/>
              </w:trPr>
              <w:tc>
                <w:tcPr>
                  <w:tcW w:w="7561" w:type="dxa"/>
                  <w:gridSpan w:val="4"/>
                  <w:tcBorders>
                    <w:top w:val="nil"/>
                    <w:left w:val="nil"/>
                    <w:bottom w:val="single" w:sz="6" w:space="0" w:color="000000"/>
                    <w:right w:val="nil"/>
                  </w:tcBorders>
                  <w:tcMar>
                    <w:top w:w="24" w:type="dxa"/>
                    <w:left w:w="48" w:type="dxa"/>
                    <w:bottom w:w="24" w:type="dxa"/>
                    <w:right w:w="48" w:type="dxa"/>
                  </w:tcMar>
                  <w:hideMark/>
                </w:tcPr>
                <w:p w14:paraId="1B5D7295" w14:textId="77777777" w:rsidR="00A94811" w:rsidRPr="009339E6" w:rsidRDefault="00A94811" w:rsidP="00A94811">
                  <w:pPr>
                    <w:spacing w:after="0" w:line="240" w:lineRule="auto"/>
                    <w:jc w:val="right"/>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Tabelul nr.3</w:t>
                  </w:r>
                </w:p>
                <w:p w14:paraId="6B018E26" w14:textId="77777777" w:rsidR="00A94811" w:rsidRPr="009339E6" w:rsidRDefault="00A94811" w:rsidP="00A94811">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 </w:t>
                  </w:r>
                </w:p>
                <w:p w14:paraId="35B747B5"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Alte tipuri de garanții reale sau de expuneri</w:t>
                  </w:r>
                </w:p>
                <w:p w14:paraId="5346C6FD" w14:textId="77777777" w:rsidR="00A94811" w:rsidRPr="009339E6" w:rsidRDefault="00A94811" w:rsidP="00A94811">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 </w:t>
                  </w:r>
                </w:p>
              </w:tc>
            </w:tr>
            <w:tr w:rsidR="00A94811" w:rsidRPr="009339E6" w14:paraId="7307C007" w14:textId="77777777" w:rsidTr="005C3300">
              <w:trPr>
                <w:jc w:val="center"/>
              </w:trPr>
              <w:tc>
                <w:tcPr>
                  <w:tcW w:w="258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BE5CB8"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Tipuri de garanții reale</w:t>
                  </w:r>
                </w:p>
              </w:tc>
              <w:tc>
                <w:tcPr>
                  <w:tcW w:w="1691" w:type="dxa"/>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2F7D90E"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Perioadă de</w:t>
                  </w:r>
                  <w:r w:rsidRPr="009339E6">
                    <w:rPr>
                      <w:rFonts w:ascii="Times New Roman" w:eastAsia="Times New Roman" w:hAnsi="Times New Roman" w:cs="Times New Roman"/>
                      <w:b/>
                      <w:bCs/>
                      <w:color w:val="000000" w:themeColor="text1"/>
                      <w:sz w:val="20"/>
                      <w:szCs w:val="20"/>
                      <w:lang w:val="ro-RO" w:eastAsia="ro-MD"/>
                    </w:rPr>
                    <w:br/>
                    <w:t>lichidare de 20 zile</w:t>
                  </w:r>
                  <w:r w:rsidRPr="009339E6">
                    <w:rPr>
                      <w:rFonts w:ascii="Times New Roman" w:eastAsia="Times New Roman" w:hAnsi="Times New Roman" w:cs="Times New Roman"/>
                      <w:b/>
                      <w:bCs/>
                      <w:color w:val="000000" w:themeColor="text1"/>
                      <w:sz w:val="20"/>
                      <w:szCs w:val="20"/>
                      <w:lang w:val="ro-RO" w:eastAsia="ro-MD"/>
                    </w:rPr>
                    <w:br/>
                    <w:t>lucrătoare (%)</w:t>
                  </w:r>
                </w:p>
              </w:tc>
              <w:tc>
                <w:tcPr>
                  <w:tcW w:w="1691" w:type="dxa"/>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94EE29A"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Perioadă de</w:t>
                  </w:r>
                  <w:r w:rsidRPr="009339E6">
                    <w:rPr>
                      <w:rFonts w:ascii="Times New Roman" w:eastAsia="Times New Roman" w:hAnsi="Times New Roman" w:cs="Times New Roman"/>
                      <w:b/>
                      <w:bCs/>
                      <w:color w:val="000000" w:themeColor="text1"/>
                      <w:sz w:val="20"/>
                      <w:szCs w:val="20"/>
                      <w:lang w:val="ro-RO" w:eastAsia="ro-MD"/>
                    </w:rPr>
                    <w:br/>
                    <w:t>lichidare de 10 zile</w:t>
                  </w:r>
                  <w:r w:rsidRPr="009339E6">
                    <w:rPr>
                      <w:rFonts w:ascii="Times New Roman" w:eastAsia="Times New Roman" w:hAnsi="Times New Roman" w:cs="Times New Roman"/>
                      <w:b/>
                      <w:bCs/>
                      <w:color w:val="000000" w:themeColor="text1"/>
                      <w:sz w:val="20"/>
                      <w:szCs w:val="20"/>
                      <w:lang w:val="ro-RO" w:eastAsia="ro-MD"/>
                    </w:rPr>
                    <w:br/>
                    <w:t>lucrătoare (%)</w:t>
                  </w:r>
                </w:p>
              </w:tc>
              <w:tc>
                <w:tcPr>
                  <w:tcW w:w="1591" w:type="dxa"/>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3257F2BB"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Perioadă de</w:t>
                  </w:r>
                  <w:r w:rsidRPr="009339E6">
                    <w:rPr>
                      <w:rFonts w:ascii="Times New Roman" w:eastAsia="Times New Roman" w:hAnsi="Times New Roman" w:cs="Times New Roman"/>
                      <w:b/>
                      <w:bCs/>
                      <w:color w:val="000000" w:themeColor="text1"/>
                      <w:sz w:val="20"/>
                      <w:szCs w:val="20"/>
                      <w:lang w:val="ro-RO" w:eastAsia="ro-MD"/>
                    </w:rPr>
                    <w:br/>
                    <w:t>lichidare de 5 zile</w:t>
                  </w:r>
                  <w:r w:rsidRPr="009339E6">
                    <w:rPr>
                      <w:rFonts w:ascii="Times New Roman" w:eastAsia="Times New Roman" w:hAnsi="Times New Roman" w:cs="Times New Roman"/>
                      <w:b/>
                      <w:bCs/>
                      <w:color w:val="000000" w:themeColor="text1"/>
                      <w:sz w:val="20"/>
                      <w:szCs w:val="20"/>
                      <w:lang w:val="ro-RO" w:eastAsia="ro-MD"/>
                    </w:rPr>
                    <w:br/>
                    <w:t>lucrătoare (%)</w:t>
                  </w:r>
                </w:p>
              </w:tc>
            </w:tr>
            <w:tr w:rsidR="00A94811" w:rsidRPr="009339E6" w14:paraId="3A652F79" w14:textId="77777777" w:rsidTr="005C3300">
              <w:trPr>
                <w:jc w:val="center"/>
              </w:trPr>
              <w:tc>
                <w:tcPr>
                  <w:tcW w:w="25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ED36B" w14:textId="77777777" w:rsidR="00A94811" w:rsidRPr="009339E6" w:rsidRDefault="00A94811" w:rsidP="00A94811">
                  <w:pPr>
                    <w:spacing w:after="0" w:line="240" w:lineRule="auto"/>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Titluri de capital incluse într-un indice principal, obligațiuni convertibile incluse într-un indice principal</w:t>
                  </w:r>
                </w:p>
              </w:tc>
              <w:tc>
                <w:tcPr>
                  <w:tcW w:w="16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1618C"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28,284</w:t>
                  </w:r>
                </w:p>
              </w:tc>
              <w:tc>
                <w:tcPr>
                  <w:tcW w:w="16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221C"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20</w:t>
                  </w:r>
                </w:p>
              </w:tc>
              <w:tc>
                <w:tcPr>
                  <w:tcW w:w="15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15560"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14,142</w:t>
                  </w:r>
                </w:p>
              </w:tc>
            </w:tr>
            <w:tr w:rsidR="00A94811" w:rsidRPr="009339E6" w14:paraId="5ED8CC3F" w14:textId="77777777" w:rsidTr="005C3300">
              <w:trPr>
                <w:jc w:val="center"/>
              </w:trPr>
              <w:tc>
                <w:tcPr>
                  <w:tcW w:w="25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B0880" w14:textId="77777777" w:rsidR="00A94811" w:rsidRPr="009339E6" w:rsidRDefault="00A94811" w:rsidP="00A94811">
                  <w:pPr>
                    <w:spacing w:after="0" w:line="240" w:lineRule="auto"/>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Alte titluri de capital sau obligațiuni convertibile cotate la o bursă recunoscută</w:t>
                  </w:r>
                </w:p>
              </w:tc>
              <w:tc>
                <w:tcPr>
                  <w:tcW w:w="16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204A5"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42,426</w:t>
                  </w:r>
                </w:p>
              </w:tc>
              <w:tc>
                <w:tcPr>
                  <w:tcW w:w="16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9083C"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30</w:t>
                  </w:r>
                </w:p>
              </w:tc>
              <w:tc>
                <w:tcPr>
                  <w:tcW w:w="15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D948D"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21,213</w:t>
                  </w:r>
                </w:p>
              </w:tc>
            </w:tr>
            <w:tr w:rsidR="00A94811" w:rsidRPr="009339E6" w14:paraId="0B82A1DA" w14:textId="77777777" w:rsidTr="005C3300">
              <w:trPr>
                <w:jc w:val="center"/>
              </w:trPr>
              <w:tc>
                <w:tcPr>
                  <w:tcW w:w="25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083B9" w14:textId="77777777" w:rsidR="00A94811" w:rsidRPr="009339E6" w:rsidRDefault="00A94811" w:rsidP="00A94811">
                  <w:pPr>
                    <w:spacing w:after="0" w:line="240" w:lineRule="auto"/>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Mijloace bănești</w:t>
                  </w:r>
                </w:p>
              </w:tc>
              <w:tc>
                <w:tcPr>
                  <w:tcW w:w="16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A2D32"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0</w:t>
                  </w:r>
                </w:p>
              </w:tc>
              <w:tc>
                <w:tcPr>
                  <w:tcW w:w="16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49A9A"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0</w:t>
                  </w:r>
                </w:p>
              </w:tc>
              <w:tc>
                <w:tcPr>
                  <w:tcW w:w="15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BCBB5"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0</w:t>
                  </w:r>
                </w:p>
              </w:tc>
            </w:tr>
            <w:tr w:rsidR="00A94811" w:rsidRPr="009339E6" w14:paraId="5C9006BD" w14:textId="77777777" w:rsidTr="005C3300">
              <w:trPr>
                <w:jc w:val="center"/>
              </w:trPr>
              <w:tc>
                <w:tcPr>
                  <w:tcW w:w="25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7DA2D" w14:textId="77777777" w:rsidR="00A94811" w:rsidRPr="009339E6" w:rsidRDefault="00A94811" w:rsidP="00A94811">
                  <w:pPr>
                    <w:spacing w:after="0" w:line="240" w:lineRule="auto"/>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Aur lingouri</w:t>
                  </w:r>
                </w:p>
              </w:tc>
              <w:tc>
                <w:tcPr>
                  <w:tcW w:w="16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9A9BE"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28,284</w:t>
                  </w:r>
                </w:p>
              </w:tc>
              <w:tc>
                <w:tcPr>
                  <w:tcW w:w="16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BD1C"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20</w:t>
                  </w:r>
                </w:p>
              </w:tc>
              <w:tc>
                <w:tcPr>
                  <w:tcW w:w="15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0A1E8"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14,142</w:t>
                  </w:r>
                </w:p>
              </w:tc>
            </w:tr>
          </w:tbl>
          <w:p w14:paraId="1C5F691D" w14:textId="77777777" w:rsidR="00A94811" w:rsidRPr="009339E6" w:rsidRDefault="00A94811" w:rsidP="00A94811">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 </w:t>
            </w:r>
          </w:p>
          <w:tbl>
            <w:tblPr>
              <w:tblW w:w="4000" w:type="pct"/>
              <w:jc w:val="center"/>
              <w:tblLayout w:type="fixed"/>
              <w:tblCellMar>
                <w:top w:w="15" w:type="dxa"/>
                <w:left w:w="15" w:type="dxa"/>
                <w:bottom w:w="15" w:type="dxa"/>
                <w:right w:w="15" w:type="dxa"/>
              </w:tblCellMar>
              <w:tblLook w:val="04A0" w:firstRow="1" w:lastRow="0" w:firstColumn="1" w:lastColumn="0" w:noHBand="0" w:noVBand="1"/>
            </w:tblPr>
            <w:tblGrid>
              <w:gridCol w:w="1252"/>
              <w:gridCol w:w="1252"/>
              <w:gridCol w:w="1228"/>
            </w:tblGrid>
            <w:tr w:rsidR="00A94811" w:rsidRPr="009339E6" w14:paraId="50FDB469" w14:textId="77777777" w:rsidTr="005C3300">
              <w:trPr>
                <w:jc w:val="center"/>
              </w:trPr>
              <w:tc>
                <w:tcPr>
                  <w:tcW w:w="7561" w:type="dxa"/>
                  <w:gridSpan w:val="3"/>
                  <w:tcBorders>
                    <w:top w:val="nil"/>
                    <w:left w:val="nil"/>
                    <w:bottom w:val="single" w:sz="6" w:space="0" w:color="000000"/>
                    <w:right w:val="nil"/>
                  </w:tcBorders>
                  <w:tcMar>
                    <w:top w:w="24" w:type="dxa"/>
                    <w:left w:w="48" w:type="dxa"/>
                    <w:bottom w:w="24" w:type="dxa"/>
                    <w:right w:w="48" w:type="dxa"/>
                  </w:tcMar>
                  <w:hideMark/>
                </w:tcPr>
                <w:p w14:paraId="135038F5" w14:textId="77777777" w:rsidR="00A94811" w:rsidRPr="009339E6" w:rsidRDefault="00A94811" w:rsidP="00A94811">
                  <w:pPr>
                    <w:spacing w:after="0" w:line="240" w:lineRule="auto"/>
                    <w:jc w:val="right"/>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Tabelul nr.4</w:t>
                  </w:r>
                </w:p>
                <w:p w14:paraId="07A5C40F" w14:textId="77777777" w:rsidR="00A94811" w:rsidRPr="009339E6" w:rsidRDefault="00A94811" w:rsidP="00A94811">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 </w:t>
                  </w:r>
                </w:p>
                <w:p w14:paraId="7D5F17A3"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Ajustarea de volatilitate pentru neconcordanța de monede (</w:t>
                  </w:r>
                  <w:proofErr w:type="spellStart"/>
                  <w:r w:rsidRPr="009339E6">
                    <w:rPr>
                      <w:rFonts w:ascii="Times New Roman" w:eastAsia="Times New Roman" w:hAnsi="Times New Roman" w:cs="Times New Roman"/>
                      <w:b/>
                      <w:bCs/>
                      <w:color w:val="000000" w:themeColor="text1"/>
                      <w:sz w:val="20"/>
                      <w:szCs w:val="20"/>
                      <w:lang w:val="ro-RO" w:eastAsia="ro-MD"/>
                    </w:rPr>
                    <w:t>H</w:t>
                  </w:r>
                  <w:r w:rsidRPr="009339E6">
                    <w:rPr>
                      <w:rFonts w:ascii="Times New Roman" w:eastAsia="Times New Roman" w:hAnsi="Times New Roman" w:cs="Times New Roman"/>
                      <w:b/>
                      <w:bCs/>
                      <w:color w:val="000000" w:themeColor="text1"/>
                      <w:sz w:val="20"/>
                      <w:szCs w:val="20"/>
                      <w:vertAlign w:val="subscript"/>
                      <w:lang w:val="ro-RO" w:eastAsia="ro-MD"/>
                    </w:rPr>
                    <w:t>fx</w:t>
                  </w:r>
                  <w:proofErr w:type="spellEnd"/>
                  <w:r w:rsidRPr="009339E6">
                    <w:rPr>
                      <w:rFonts w:ascii="Times New Roman" w:eastAsia="Times New Roman" w:hAnsi="Times New Roman" w:cs="Times New Roman"/>
                      <w:b/>
                      <w:bCs/>
                      <w:color w:val="000000" w:themeColor="text1"/>
                      <w:sz w:val="20"/>
                      <w:szCs w:val="20"/>
                      <w:lang w:val="ro-RO" w:eastAsia="ro-MD"/>
                    </w:rPr>
                    <w:t>)</w:t>
                  </w:r>
                </w:p>
                <w:p w14:paraId="441ABE27" w14:textId="77777777" w:rsidR="00A94811" w:rsidRPr="009339E6" w:rsidRDefault="00A94811" w:rsidP="00A94811">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 </w:t>
                  </w:r>
                </w:p>
              </w:tc>
            </w:tr>
            <w:tr w:rsidR="00A94811" w:rsidRPr="009339E6" w14:paraId="4797F49E" w14:textId="77777777" w:rsidTr="005C3300">
              <w:trPr>
                <w:jc w:val="center"/>
              </w:trPr>
              <w:tc>
                <w:tcPr>
                  <w:tcW w:w="253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FEFC9B"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Perioadă de lichidare de 20 zile lucrătoare (%)</w:t>
                  </w:r>
                </w:p>
              </w:tc>
              <w:tc>
                <w:tcPr>
                  <w:tcW w:w="253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2DA5B1"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Perioadă de lichidare de 10 zile lucrătoare (%)</w:t>
                  </w:r>
                </w:p>
              </w:tc>
              <w:tc>
                <w:tcPr>
                  <w:tcW w:w="248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3A59E8" w14:textId="77777777" w:rsidR="00A94811" w:rsidRPr="009339E6" w:rsidRDefault="00A94811" w:rsidP="00A94811">
                  <w:pPr>
                    <w:spacing w:after="0" w:line="240" w:lineRule="auto"/>
                    <w:jc w:val="center"/>
                    <w:rPr>
                      <w:rFonts w:ascii="Times New Roman" w:eastAsia="Times New Roman" w:hAnsi="Times New Roman" w:cs="Times New Roman"/>
                      <w:b/>
                      <w:bCs/>
                      <w:color w:val="000000" w:themeColor="text1"/>
                      <w:sz w:val="20"/>
                      <w:szCs w:val="20"/>
                      <w:lang w:val="ro-RO" w:eastAsia="ro-MD"/>
                    </w:rPr>
                  </w:pPr>
                  <w:r w:rsidRPr="009339E6">
                    <w:rPr>
                      <w:rFonts w:ascii="Times New Roman" w:eastAsia="Times New Roman" w:hAnsi="Times New Roman" w:cs="Times New Roman"/>
                      <w:b/>
                      <w:bCs/>
                      <w:color w:val="000000" w:themeColor="text1"/>
                      <w:sz w:val="20"/>
                      <w:szCs w:val="20"/>
                      <w:lang w:val="ro-RO" w:eastAsia="ro-MD"/>
                    </w:rPr>
                    <w:t>Perioadă de lichidare de 5 zile lucrătoare (%)</w:t>
                  </w:r>
                </w:p>
              </w:tc>
            </w:tr>
            <w:tr w:rsidR="00A94811" w:rsidRPr="009339E6" w14:paraId="16241764" w14:textId="77777777" w:rsidTr="005C3300">
              <w:trPr>
                <w:jc w:val="center"/>
              </w:trPr>
              <w:tc>
                <w:tcPr>
                  <w:tcW w:w="253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03B59"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11,314</w:t>
                  </w:r>
                </w:p>
              </w:tc>
              <w:tc>
                <w:tcPr>
                  <w:tcW w:w="253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19907"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8</w:t>
                  </w:r>
                </w:p>
              </w:tc>
              <w:tc>
                <w:tcPr>
                  <w:tcW w:w="24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87744" w14:textId="77777777" w:rsidR="00A94811" w:rsidRPr="009339E6" w:rsidRDefault="00A94811" w:rsidP="00A94811">
                  <w:pPr>
                    <w:spacing w:after="0" w:line="240" w:lineRule="auto"/>
                    <w:jc w:val="center"/>
                    <w:rPr>
                      <w:rFonts w:ascii="Times New Roman" w:eastAsia="Times New Roman" w:hAnsi="Times New Roman" w:cs="Times New Roman"/>
                      <w:color w:val="000000" w:themeColor="text1"/>
                      <w:sz w:val="20"/>
                      <w:szCs w:val="20"/>
                      <w:lang w:val="ro-RO" w:eastAsia="ro-MD"/>
                    </w:rPr>
                  </w:pPr>
                  <w:r w:rsidRPr="009339E6">
                    <w:rPr>
                      <w:rFonts w:ascii="Times New Roman" w:eastAsia="Times New Roman" w:hAnsi="Times New Roman" w:cs="Times New Roman"/>
                      <w:color w:val="000000" w:themeColor="text1"/>
                      <w:sz w:val="20"/>
                      <w:szCs w:val="20"/>
                      <w:lang w:val="ro-RO" w:eastAsia="ro-MD"/>
                    </w:rPr>
                    <w:t>5,657</w:t>
                  </w:r>
                </w:p>
              </w:tc>
            </w:tr>
          </w:tbl>
          <w:p w14:paraId="7F4F1AB1" w14:textId="77777777" w:rsidR="00773D9D" w:rsidRDefault="00773D9D" w:rsidP="00773D9D">
            <w:pPr>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p w14:paraId="2ECA5A1A" w14:textId="77777777" w:rsidR="00D62F3C" w:rsidRPr="00773D9D" w:rsidRDefault="00D62F3C" w:rsidP="00D62F3C">
            <w:pPr>
              <w:jc w:val="center"/>
              <w:rPr>
                <w:rFonts w:ascii="Times New Roman" w:hAnsi="Times New Roman" w:cs="Times New Roman"/>
                <w:sz w:val="20"/>
                <w:szCs w:val="20"/>
              </w:rPr>
            </w:pPr>
          </w:p>
        </w:tc>
        <w:tc>
          <w:tcPr>
            <w:tcW w:w="562" w:type="pct"/>
          </w:tcPr>
          <w:p w14:paraId="23EF7196" w14:textId="5B6302DE" w:rsidR="00D62F3C" w:rsidRPr="002C32BA" w:rsidRDefault="00A94811"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00D62F3C" w:rsidRPr="002C32BA">
              <w:rPr>
                <w:rFonts w:ascii="Times New Roman" w:hAnsi="Times New Roman" w:cs="Times New Roman"/>
                <w:sz w:val="20"/>
                <w:szCs w:val="20"/>
                <w:lang w:val="ro-RO"/>
              </w:rPr>
              <w:t>ompatibil</w:t>
            </w:r>
          </w:p>
        </w:tc>
        <w:tc>
          <w:tcPr>
            <w:tcW w:w="885" w:type="pct"/>
          </w:tcPr>
          <w:p w14:paraId="33E54EAD" w14:textId="4D583A13"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7F080BC0" w14:textId="0071E049" w:rsidR="00D62F3C" w:rsidRPr="002C32BA" w:rsidRDefault="00D62F3C" w:rsidP="00D62F3C">
            <w:pPr>
              <w:jc w:val="both"/>
              <w:rPr>
                <w:rFonts w:ascii="Times New Roman" w:hAnsi="Times New Roman" w:cs="Times New Roman"/>
                <w:sz w:val="20"/>
                <w:szCs w:val="20"/>
                <w:lang w:val="ro-RO"/>
              </w:rPr>
            </w:pPr>
          </w:p>
        </w:tc>
      </w:tr>
      <w:tr w:rsidR="00D62F3C" w:rsidRPr="002C32BA" w14:paraId="4664785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D8787C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Calcularea ajustărilor de volatilitate în conformitate cu alineatul (1) este supusă următoarelor condiții:</w:t>
            </w:r>
          </w:p>
          <w:p w14:paraId="23707D4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pentru tranzacțiile de creditare garantate, perioada de deținere este de 20 de zile lucrătoare;</w:t>
            </w:r>
          </w:p>
          <w:p w14:paraId="2D8348D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pentru tranzacțiile de răscumpărare, cu excepția măsurii în care acestea implică transferul de mărfuri sau de drepturi garantate referitoare la proprietatea asupra mărfurilor, și pentru operațiunile de dare sau luare de titluri cu împrumut, perioada de deținere este de 5 zile lucrătoare;</w:t>
            </w:r>
          </w:p>
          <w:p w14:paraId="208F1CFB"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hAnsi="Times New Roman"/>
                <w:iCs/>
                <w:sz w:val="20"/>
                <w:szCs w:val="20"/>
                <w:lang w:val="ro-RO" w:eastAsia="ru-RU"/>
              </w:rPr>
              <w:t>(c) pentru alte operațiuni ajustate la condițiile pieței de capital, perioada de deținere este de 10 zile lucrătoare.</w:t>
            </w:r>
          </w:p>
          <w:p w14:paraId="2D5782BB" w14:textId="53559E0A" w:rsidR="00D62F3C" w:rsidRPr="002C32BA" w:rsidRDefault="00D62F3C" w:rsidP="00D62F3C">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113F069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773D9D">
              <w:rPr>
                <w:rFonts w:ascii="Times New Roman" w:hAnsi="Times New Roman"/>
                <w:b/>
                <w:bCs/>
                <w:sz w:val="20"/>
                <w:szCs w:val="20"/>
                <w:lang w:val="ro-RO" w:eastAsia="ru-RU"/>
              </w:rPr>
              <w:t>96.</w:t>
            </w:r>
            <w:r w:rsidRPr="002C32BA">
              <w:rPr>
                <w:rFonts w:ascii="Times New Roman" w:hAnsi="Times New Roman"/>
                <w:sz w:val="20"/>
                <w:szCs w:val="20"/>
                <w:lang w:val="ro-RO" w:eastAsia="ru-RU"/>
              </w:rPr>
              <w:t xml:space="preserve"> Calcularea ajustărilor de volatilitate în conformitate cu punctul 95 este supusă următoarelor condiții: </w:t>
            </w:r>
          </w:p>
          <w:p w14:paraId="39ECB3B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pentru tranzacțiile de creditare garantate, perioada de lichidare trebuie să fie de 20 de zile lucrătoare; </w:t>
            </w:r>
          </w:p>
          <w:p w14:paraId="48B7135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pentru tranzacțiile de răscumpărare (cu excepția cazului în care astfel de tranzacții implică transferul de mărfuri sau de drepturi garantate referitoare la proprietatea asupra mărfurilor) și pentru operațiunile de dare sau luare de valori mobiliare cu împrumut, perioada de lichidare trebuie să fie de 5 zile lucrătoare; </w:t>
            </w:r>
          </w:p>
          <w:p w14:paraId="326D388F" w14:textId="52AB30A3" w:rsidR="00773D9D" w:rsidRPr="00773D9D" w:rsidRDefault="00D62F3C" w:rsidP="00773D9D">
            <w:pPr>
              <w:pStyle w:val="CM4"/>
              <w:tabs>
                <w:tab w:val="left" w:pos="150"/>
              </w:tabs>
              <w:ind w:left="-36"/>
              <w:rPr>
                <w:lang w:val="ro-RO" w:eastAsia="ru-RU"/>
              </w:rPr>
            </w:pPr>
            <w:r w:rsidRPr="002C32BA">
              <w:rPr>
                <w:rFonts w:ascii="Times New Roman" w:hAnsi="Times New Roman"/>
                <w:sz w:val="20"/>
                <w:szCs w:val="20"/>
                <w:lang w:val="ro-RO" w:eastAsia="ru-RU"/>
              </w:rPr>
              <w:t>3) pentru alte operațiuni ajustate la condițiile pieței de capital, perioada de lichidare trebuie să fie de 10 zile lucrătoare.</w:t>
            </w:r>
          </w:p>
        </w:tc>
        <w:tc>
          <w:tcPr>
            <w:tcW w:w="562" w:type="pct"/>
          </w:tcPr>
          <w:p w14:paraId="231FA4E3" w14:textId="060B168B" w:rsidR="00D62F3C" w:rsidRPr="002C32BA" w:rsidRDefault="00773D9D"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00D62F3C" w:rsidRPr="002C32BA">
              <w:rPr>
                <w:rFonts w:ascii="Times New Roman" w:hAnsi="Times New Roman" w:cs="Times New Roman"/>
                <w:sz w:val="20"/>
                <w:szCs w:val="20"/>
                <w:lang w:val="ro-RO"/>
              </w:rPr>
              <w:t>ompatibil</w:t>
            </w:r>
          </w:p>
        </w:tc>
        <w:tc>
          <w:tcPr>
            <w:tcW w:w="885" w:type="pct"/>
          </w:tcPr>
          <w:p w14:paraId="10055144" w14:textId="6885B180"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70B450B" w14:textId="4183DF0B" w:rsidR="00D62F3C" w:rsidRPr="002C32BA" w:rsidRDefault="00D62F3C" w:rsidP="00D62F3C">
            <w:pPr>
              <w:jc w:val="both"/>
              <w:rPr>
                <w:rFonts w:ascii="Times New Roman" w:hAnsi="Times New Roman" w:cs="Times New Roman"/>
                <w:sz w:val="20"/>
                <w:szCs w:val="20"/>
                <w:lang w:val="ro-RO"/>
              </w:rPr>
            </w:pPr>
          </w:p>
        </w:tc>
      </w:tr>
      <w:tr w:rsidR="00773D9D" w:rsidRPr="002C32BA" w14:paraId="30F2F4A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8FE4BD9" w14:textId="169CC94A" w:rsidR="00773D9D" w:rsidRPr="002C32BA" w:rsidRDefault="00773D9D"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Dacă o instituție are o tranzacție sau un set de compensare care îndeplinesc criteriile stabilite la articolul 285 alineatele (2), (3) și (4), perioada minimă de deținere trebuie aliniată cu perioada de risc de marjă care s-ar aplica în conformitate cu aceste alineate.</w:t>
            </w:r>
          </w:p>
        </w:tc>
        <w:tc>
          <w:tcPr>
            <w:tcW w:w="1636" w:type="pct"/>
            <w:shd w:val="clear" w:color="auto" w:fill="auto"/>
          </w:tcPr>
          <w:p w14:paraId="1DB40677" w14:textId="77777777" w:rsidR="00773D9D" w:rsidRDefault="00773D9D" w:rsidP="00D62F3C">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b/>
                <w:bCs/>
                <w:color w:val="000000" w:themeColor="text1"/>
                <w:sz w:val="20"/>
                <w:szCs w:val="20"/>
                <w:lang w:val="ro-RO" w:eastAsia="ro-MD"/>
              </w:rPr>
              <w:t>96</w:t>
            </w:r>
            <w:r w:rsidRPr="005C3300">
              <w:rPr>
                <w:rFonts w:ascii="Times New Roman" w:hAnsi="Times New Roman"/>
                <w:b/>
                <w:bCs/>
                <w:color w:val="000000" w:themeColor="text1"/>
                <w:sz w:val="20"/>
                <w:szCs w:val="20"/>
                <w:vertAlign w:val="superscript"/>
                <w:lang w:val="ro-RO" w:eastAsia="ro-MD"/>
              </w:rPr>
              <w:t>1</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Dacă banca are o tranzacție sau un set de compensare care îndeplinesc criteriile aferente valorii expunerii pentru seturile de compensare care fac obiectul unui contract în marjă stabilite conform actelor normative ale Băncii Naționale a Moldovei aferente tratamentului riscului de credit al </w:t>
            </w:r>
            <w:proofErr w:type="spellStart"/>
            <w:r w:rsidRPr="005C3300">
              <w:rPr>
                <w:rFonts w:ascii="Times New Roman" w:hAnsi="Times New Roman"/>
                <w:color w:val="000000" w:themeColor="text1"/>
                <w:sz w:val="20"/>
                <w:szCs w:val="20"/>
                <w:lang w:val="ro-RO" w:eastAsia="ro-MD"/>
              </w:rPr>
              <w:t>contrapărții</w:t>
            </w:r>
            <w:proofErr w:type="spellEnd"/>
            <w:r w:rsidRPr="005C3300">
              <w:rPr>
                <w:rFonts w:ascii="Times New Roman" w:hAnsi="Times New Roman"/>
                <w:color w:val="000000" w:themeColor="text1"/>
                <w:sz w:val="20"/>
                <w:szCs w:val="20"/>
                <w:lang w:val="ro-RO" w:eastAsia="ro-MD"/>
              </w:rPr>
              <w:t>, perioada minimă de deținere trebuie aliniată cu perioada de risc de marjă care s-ar aplica în conformitate cu aceste criterii.</w:t>
            </w:r>
          </w:p>
          <w:p w14:paraId="7EB0B725" w14:textId="2EEF8512" w:rsidR="00773D9D" w:rsidRPr="00773D9D" w:rsidRDefault="00773D9D" w:rsidP="00773D9D">
            <w:pPr>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5C6EF52F" w14:textId="0F4484E6" w:rsidR="00773D9D" w:rsidRDefault="00773D9D"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Pr="002C32BA">
              <w:rPr>
                <w:rFonts w:ascii="Times New Roman" w:hAnsi="Times New Roman" w:cs="Times New Roman"/>
                <w:sz w:val="20"/>
                <w:szCs w:val="20"/>
                <w:lang w:val="ro-RO"/>
              </w:rPr>
              <w:t>ompatibil</w:t>
            </w:r>
          </w:p>
        </w:tc>
        <w:tc>
          <w:tcPr>
            <w:tcW w:w="885" w:type="pct"/>
          </w:tcPr>
          <w:p w14:paraId="27C0F7E6" w14:textId="77777777" w:rsidR="00773D9D" w:rsidRDefault="00773D9D" w:rsidP="00D62F3C">
            <w:pPr>
              <w:jc w:val="both"/>
              <w:rPr>
                <w:rFonts w:ascii="Times New Roman" w:hAnsi="Times New Roman" w:cs="Times New Roman"/>
                <w:sz w:val="20"/>
                <w:szCs w:val="20"/>
                <w:lang w:val="ro-RO"/>
              </w:rPr>
            </w:pPr>
          </w:p>
        </w:tc>
      </w:tr>
      <w:tr w:rsidR="00D62F3C" w:rsidRPr="002C32BA" w14:paraId="78DC371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7693DB5" w14:textId="77777777" w:rsidR="00D62F3C"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(3) Nivelul de calitate a creditului cu care este asociată o evaluare a creditului pentru un titlu de datorie, menționat în tabelele 1 - 4 de la alineatul (1) și la alineatele (4)-(6), este nivelul de calitate a creditului cu care este asociată evaluarea creditului de către ABE în temeiul capitolului 2.</w:t>
            </w:r>
          </w:p>
          <w:p w14:paraId="3B7100A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În vederea determinării nivelului de calitate a creditului cu care este asociată evaluarea creditului pentru titlul de datorie, menționat la primul paragraf, se aplică, de asemenea, articolul 197 alineatul (7).</w:t>
            </w:r>
          </w:p>
        </w:tc>
        <w:tc>
          <w:tcPr>
            <w:tcW w:w="1636" w:type="pct"/>
            <w:shd w:val="clear" w:color="auto" w:fill="auto"/>
          </w:tcPr>
          <w:p w14:paraId="7932CD79" w14:textId="1D74120D" w:rsidR="00D62F3C" w:rsidRDefault="00D62F3C" w:rsidP="00D62F3C">
            <w:pPr>
              <w:pStyle w:val="CM4"/>
              <w:tabs>
                <w:tab w:val="left" w:pos="150"/>
              </w:tabs>
              <w:ind w:left="-36"/>
              <w:rPr>
                <w:rFonts w:ascii="Times New Roman" w:hAnsi="Times New Roman"/>
                <w:color w:val="000000" w:themeColor="text1"/>
                <w:sz w:val="20"/>
                <w:szCs w:val="20"/>
                <w:lang w:val="ro-RO" w:eastAsia="ro-MD"/>
              </w:rPr>
            </w:pPr>
            <w:r w:rsidRPr="005E18AB">
              <w:rPr>
                <w:rFonts w:ascii="Times New Roman" w:hAnsi="Times New Roman"/>
                <w:b/>
                <w:bCs/>
                <w:sz w:val="20"/>
                <w:szCs w:val="20"/>
                <w:lang w:val="ro-RO" w:eastAsia="ru-RU"/>
              </w:rPr>
              <w:t>97.</w:t>
            </w:r>
            <w:r w:rsidRPr="002C32BA">
              <w:rPr>
                <w:rFonts w:ascii="Times New Roman" w:hAnsi="Times New Roman"/>
                <w:sz w:val="20"/>
                <w:szCs w:val="20"/>
                <w:lang w:val="ro-RO" w:eastAsia="ru-RU"/>
              </w:rPr>
              <w:t xml:space="preserve"> </w:t>
            </w:r>
            <w:r w:rsidR="005E18AB" w:rsidRPr="005C3300">
              <w:rPr>
                <w:rFonts w:ascii="Times New Roman" w:hAnsi="Times New Roman"/>
                <w:color w:val="000000" w:themeColor="text1"/>
                <w:sz w:val="20"/>
                <w:szCs w:val="20"/>
                <w:lang w:val="ro-RO" w:eastAsia="ro-MD"/>
              </w:rPr>
              <w:t>Nivelul de calitate a creditului cu care este asociată o evaluare a creditului pentru un titlu de datorie, menționat în tabelele de la punctul 95 și la punctele 99-101, este nivelul de calitate a creditului cu care este asociată evaluarea creditului de către Banca Națională a Moldovei în conformitate cu Regulamentul nr.111/2018.</w:t>
            </w:r>
          </w:p>
          <w:p w14:paraId="2D018DC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5E18AB">
              <w:rPr>
                <w:rFonts w:ascii="Times New Roman" w:hAnsi="Times New Roman"/>
                <w:b/>
                <w:bCs/>
                <w:sz w:val="20"/>
                <w:szCs w:val="20"/>
                <w:lang w:val="ro-RO" w:eastAsia="ru-RU"/>
              </w:rPr>
              <w:t>98.</w:t>
            </w:r>
            <w:r w:rsidRPr="002C32BA">
              <w:rPr>
                <w:rFonts w:ascii="Times New Roman" w:hAnsi="Times New Roman"/>
                <w:sz w:val="20"/>
                <w:szCs w:val="20"/>
                <w:lang w:val="ro-RO" w:eastAsia="ru-RU"/>
              </w:rPr>
              <w:t xml:space="preserve"> În vederea determinării nivelului de calitate a creditului cu care este asociată evaluarea creditului pentru titlul de datorie, menționat la punctul 97, se aplică, de asemenea, punctul 29.</w:t>
            </w:r>
          </w:p>
        </w:tc>
        <w:tc>
          <w:tcPr>
            <w:tcW w:w="562" w:type="pct"/>
          </w:tcPr>
          <w:p w14:paraId="2FA7BCB8"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0FF9AA3" w14:textId="107F77FF"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764A032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33AE31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(4) Pentru titlurile neeligibile sau mărfurile date cu împrumut sau vândute în cadrul tranzacțiilor de răscumpărare sau al operațiunilor de dare sau luare de titluri sau mărfuri cu împrumut, ajustarea de volatilitate este aceeași ca și pentru titlurile de capital neincluse în indicele principal dar cotate la o bursă recunoscută.</w:t>
            </w:r>
          </w:p>
        </w:tc>
        <w:tc>
          <w:tcPr>
            <w:tcW w:w="1636" w:type="pct"/>
            <w:shd w:val="clear" w:color="auto" w:fill="auto"/>
          </w:tcPr>
          <w:p w14:paraId="7527EDB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5E18AB">
              <w:rPr>
                <w:rFonts w:ascii="Times New Roman" w:hAnsi="Times New Roman"/>
                <w:b/>
                <w:bCs/>
                <w:sz w:val="20"/>
                <w:szCs w:val="20"/>
                <w:lang w:val="ro-RO" w:eastAsia="ru-RU"/>
              </w:rPr>
              <w:t>99.</w:t>
            </w:r>
            <w:r w:rsidRPr="002C32BA">
              <w:rPr>
                <w:rFonts w:ascii="Times New Roman" w:hAnsi="Times New Roman"/>
                <w:sz w:val="20"/>
                <w:szCs w:val="20"/>
                <w:lang w:val="ro-RO" w:eastAsia="ru-RU"/>
              </w:rPr>
              <w:t xml:space="preserve"> Pentru valorile mobiliare neeligibile sau pentru mărfurile date cu împrumut sau vândute în cadrul tranzacțiilor de răscumpărare sau al operațiunilor de dare sau luare de valori mobiliare sau mărfuri cu împrumut, ajustarea de volatilitate este aceeași ca și pentru titlurile de capital neincluse în indicele principal dar cotate la o bursă recunoscută.</w:t>
            </w:r>
          </w:p>
        </w:tc>
        <w:tc>
          <w:tcPr>
            <w:tcW w:w="562" w:type="pct"/>
          </w:tcPr>
          <w:p w14:paraId="17D7239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337DA5AF" w14:textId="64CE0919"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79F5AB5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0674A6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(5) Pentru unitățile eligibile deținute în OPC, ajustarea de volatilitate este media ponderată a ajustărilor de volatilitate care s-ar aplica activelor în care a investit fondul, având în vedere perioada de deținere a tranzacției specificată la alineatul (2).</w:t>
            </w:r>
          </w:p>
          <w:p w14:paraId="659D3E0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Dacă instituția nu are cunoștință de activele în care a investit fondul, ajustarea de volatilitate este cea mai mare ajustare de volatilitate care s- ar aplica unui activ în care fondul are dreptul să investească.</w:t>
            </w:r>
          </w:p>
        </w:tc>
        <w:tc>
          <w:tcPr>
            <w:tcW w:w="1636" w:type="pct"/>
            <w:shd w:val="clear" w:color="auto" w:fill="auto"/>
          </w:tcPr>
          <w:p w14:paraId="5C61AE1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5E18AB">
              <w:rPr>
                <w:rFonts w:ascii="Times New Roman" w:hAnsi="Times New Roman"/>
                <w:b/>
                <w:bCs/>
                <w:sz w:val="20"/>
                <w:szCs w:val="20"/>
                <w:lang w:val="ro-RO" w:eastAsia="ru-RU"/>
              </w:rPr>
              <w:t>100.</w:t>
            </w:r>
            <w:r w:rsidRPr="002C32BA">
              <w:rPr>
                <w:rFonts w:ascii="Times New Roman" w:hAnsi="Times New Roman"/>
                <w:sz w:val="20"/>
                <w:szCs w:val="20"/>
                <w:lang w:val="ro-RO" w:eastAsia="ru-RU"/>
              </w:rPr>
              <w:t xml:space="preserve"> Pentru unitățile eligibile deținute în OPC, ajustarea de volatilitate este media ponderată a ajustărilor de volatilitate care s-ar aplica activelor în care fondul a investit, având în vedere perioada de lichidare a tranzacției specificată la punctul 96. Dacă banca nu are cunoștință de activele în care a investit fondul, ajustarea de volatilitate este cea mai mare ajustare de volatilitate care s-ar aplica </w:t>
            </w:r>
            <w:proofErr w:type="spellStart"/>
            <w:r w:rsidRPr="002C32BA">
              <w:rPr>
                <w:rFonts w:ascii="Times New Roman" w:hAnsi="Times New Roman"/>
                <w:sz w:val="20"/>
                <w:szCs w:val="20"/>
                <w:lang w:val="ro-RO" w:eastAsia="ru-RU"/>
              </w:rPr>
              <w:t>orcărui</w:t>
            </w:r>
            <w:proofErr w:type="spellEnd"/>
            <w:r w:rsidRPr="002C32BA">
              <w:rPr>
                <w:rFonts w:ascii="Times New Roman" w:hAnsi="Times New Roman"/>
                <w:sz w:val="20"/>
                <w:szCs w:val="20"/>
                <w:lang w:val="ro-RO" w:eastAsia="ru-RU"/>
              </w:rPr>
              <w:t xml:space="preserve"> activ în care fondul are dreptul să investească.</w:t>
            </w:r>
          </w:p>
        </w:tc>
        <w:tc>
          <w:tcPr>
            <w:tcW w:w="562" w:type="pct"/>
          </w:tcPr>
          <w:p w14:paraId="2A60ABD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9ADC1EE" w14:textId="65A6798D"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2C02ABD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0BB075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M9</w:t>
            </w:r>
          </w:p>
          <w:p w14:paraId="021478AF" w14:textId="2D230A1C"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(6) Pentru titlurile de datorie care nu beneficiază de rating emise de instituții sau firme de investiții și care satisfac criteriile de eligibilitate prevăzute la articolul 197 alineatul (4), ajustarea de volatilitate este aceeași ca și pentru titlurile emise de instituții sau de societăți având o evaluare externă a creditului asociată cu nivelul 2 sau 3 de calitate a creditului.</w:t>
            </w:r>
          </w:p>
        </w:tc>
        <w:tc>
          <w:tcPr>
            <w:tcW w:w="1636" w:type="pct"/>
            <w:shd w:val="clear" w:color="auto" w:fill="auto"/>
          </w:tcPr>
          <w:p w14:paraId="6666854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5E18AB">
              <w:rPr>
                <w:rFonts w:ascii="Times New Roman" w:hAnsi="Times New Roman"/>
                <w:b/>
                <w:bCs/>
                <w:sz w:val="20"/>
                <w:szCs w:val="20"/>
                <w:lang w:val="ro-RO" w:eastAsia="ru-RU"/>
              </w:rPr>
              <w:t>101.</w:t>
            </w:r>
            <w:r w:rsidRPr="002C32BA">
              <w:rPr>
                <w:rFonts w:ascii="Times New Roman" w:hAnsi="Times New Roman"/>
                <w:sz w:val="20"/>
                <w:szCs w:val="20"/>
                <w:lang w:val="ro-RO" w:eastAsia="ru-RU"/>
              </w:rPr>
              <w:t xml:space="preserve"> Pentru titlurile de datorie care nu beneficiază de rating emise de bănci și satisfac criteriile de eligibilitate prevăzute la punctul 28, ajustarea de volatilitate este aceeași ca și pentru valori mobiliare emise de bănci sau de societăți, care au o evaluare externă a creditului asociată cu nivelul 2 sau 3 de calitate a creditului.</w:t>
            </w:r>
          </w:p>
        </w:tc>
        <w:tc>
          <w:tcPr>
            <w:tcW w:w="562" w:type="pct"/>
          </w:tcPr>
          <w:p w14:paraId="0613B503"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3D13F1C2" w14:textId="043133C2"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412E65C2" w14:textId="77777777" w:rsidR="00D62F3C" w:rsidRPr="002C32BA" w:rsidRDefault="00D62F3C" w:rsidP="00D62F3C">
            <w:pPr>
              <w:jc w:val="both"/>
              <w:rPr>
                <w:rFonts w:ascii="Times New Roman" w:hAnsi="Times New Roman" w:cs="Times New Roman"/>
                <w:sz w:val="20"/>
                <w:szCs w:val="20"/>
                <w:lang w:val="ro-RO"/>
              </w:rPr>
            </w:pPr>
          </w:p>
        </w:tc>
      </w:tr>
      <w:tr w:rsidR="005E18AB" w:rsidRPr="002C32BA" w14:paraId="718CFEA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FDF730D" w14:textId="224851AF" w:rsidR="005E18AB" w:rsidRPr="002C32BA" w:rsidRDefault="005E18AB" w:rsidP="005E18AB">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225</w:t>
            </w:r>
            <w:r w:rsidRPr="002C32BA">
              <w:rPr>
                <w:rFonts w:ascii="Times New Roman" w:hAnsi="Times New Roman"/>
                <w:iCs/>
                <w:sz w:val="20"/>
                <w:szCs w:val="20"/>
                <w:lang w:val="ro-RO" w:eastAsia="ru-RU"/>
              </w:rPr>
              <w:t xml:space="preserve"> </w:t>
            </w:r>
            <w:r>
              <w:rPr>
                <w:rFonts w:ascii="Times New Roman" w:hAnsi="Times New Roman"/>
                <w:iCs/>
                <w:sz w:val="20"/>
                <w:szCs w:val="20"/>
                <w:lang w:val="ro-RO" w:eastAsia="ru-RU"/>
              </w:rPr>
              <w:t>– abrogat prin M17</w:t>
            </w:r>
          </w:p>
        </w:tc>
        <w:tc>
          <w:tcPr>
            <w:tcW w:w="1636" w:type="pct"/>
            <w:shd w:val="clear" w:color="auto" w:fill="auto"/>
          </w:tcPr>
          <w:p w14:paraId="1A4D9FDA" w14:textId="77777777" w:rsidR="005E18AB" w:rsidRPr="005E18AB" w:rsidRDefault="005E18AB" w:rsidP="00D62F3C">
            <w:pPr>
              <w:pStyle w:val="CM4"/>
              <w:tabs>
                <w:tab w:val="left" w:pos="150"/>
              </w:tabs>
              <w:ind w:left="-36"/>
              <w:rPr>
                <w:rFonts w:ascii="Times New Roman" w:hAnsi="Times New Roman"/>
                <w:b/>
                <w:bCs/>
                <w:sz w:val="20"/>
                <w:szCs w:val="20"/>
                <w:lang w:val="ro-RO" w:eastAsia="ru-RU"/>
              </w:rPr>
            </w:pPr>
          </w:p>
        </w:tc>
        <w:tc>
          <w:tcPr>
            <w:tcW w:w="562" w:type="pct"/>
          </w:tcPr>
          <w:p w14:paraId="2EFA37C7" w14:textId="77777777" w:rsidR="005E18AB" w:rsidRPr="002C32BA" w:rsidRDefault="005E18AB" w:rsidP="00D62F3C">
            <w:pPr>
              <w:rPr>
                <w:rFonts w:ascii="Times New Roman" w:hAnsi="Times New Roman" w:cs="Times New Roman"/>
                <w:sz w:val="20"/>
                <w:szCs w:val="20"/>
                <w:lang w:val="ro-RO"/>
              </w:rPr>
            </w:pPr>
          </w:p>
        </w:tc>
        <w:tc>
          <w:tcPr>
            <w:tcW w:w="885" w:type="pct"/>
          </w:tcPr>
          <w:p w14:paraId="503A8F01" w14:textId="77777777" w:rsidR="005E18AB" w:rsidRDefault="005E18AB" w:rsidP="00D62F3C">
            <w:pPr>
              <w:jc w:val="both"/>
              <w:rPr>
                <w:rFonts w:ascii="Times New Roman" w:hAnsi="Times New Roman" w:cs="Times New Roman"/>
                <w:sz w:val="20"/>
                <w:szCs w:val="20"/>
                <w:lang w:val="ro-RO"/>
              </w:rPr>
            </w:pPr>
          </w:p>
        </w:tc>
      </w:tr>
      <w:tr w:rsidR="00D62F3C" w:rsidRPr="002C32BA" w14:paraId="7518C4D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C317F6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226</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Majorarea ajustărilor de volatilitate în cadrul metodei extinse a garanțiilor financiare</w:t>
            </w:r>
          </w:p>
          <w:p w14:paraId="61F1A281" w14:textId="77777777" w:rsidR="00D62F3C" w:rsidRPr="002C32BA" w:rsidRDefault="00D62F3C" w:rsidP="00D62F3C">
            <w:pPr>
              <w:rPr>
                <w:rFonts w:ascii="Times New Roman" w:hAnsi="Times New Roman" w:cs="Times New Roman"/>
                <w:sz w:val="20"/>
                <w:szCs w:val="20"/>
                <w:lang w:val="ro-RO"/>
              </w:rPr>
            </w:pPr>
          </w:p>
          <w:p w14:paraId="0DF41405" w14:textId="4CE21AC5" w:rsidR="00D62F3C" w:rsidRPr="002C32BA" w:rsidRDefault="00DC2F3F" w:rsidP="00D62F3C">
            <w:pPr>
              <w:pStyle w:val="CM4"/>
              <w:tabs>
                <w:tab w:val="left" w:pos="150"/>
              </w:tabs>
              <w:ind w:left="-43"/>
              <w:jc w:val="both"/>
              <w:rPr>
                <w:rFonts w:ascii="Times New Roman" w:hAnsi="Times New Roman"/>
                <w:sz w:val="20"/>
                <w:szCs w:val="20"/>
                <w:lang w:val="ro-RO"/>
              </w:rPr>
            </w:pPr>
            <w:r w:rsidRPr="00DC2F3F">
              <w:rPr>
                <w:rFonts w:ascii="Times New Roman" w:hAnsi="Times New Roman"/>
                <w:iCs/>
                <w:sz w:val="20"/>
                <w:szCs w:val="20"/>
                <w:lang w:val="ro-RO" w:eastAsia="ru-RU"/>
              </w:rPr>
              <w:t>Ajustările de volatilitate stabilite la articolul 224 sunt cele pe care o instituție le aplică dacă efectuează o reevaluare zilnică. Dacă frecvența reevaluării este mai scăzută, instituțiile aplică ajustări de volatilitate mai mari. Acestea se calculează prin majorarea ajustărilor de volatilitate corespunzătoare efectuării unei reevaluări zilnice, utilizând următoarea formulă a rădăcinii pătrate a raportului perioadelor de deținere:</w:t>
            </w:r>
            <w:r w:rsidR="00D62F3C" w:rsidRPr="002C32BA">
              <w:rPr>
                <w:rFonts w:ascii="Times New Roman" w:hAnsi="Times New Roman"/>
                <w:iCs/>
                <w:sz w:val="20"/>
                <w:szCs w:val="20"/>
                <w:lang w:val="ro-RO" w:eastAsia="ru-RU"/>
              </w:rPr>
              <w:t>:</w:t>
            </w:r>
            <w:r w:rsidR="00D62F3C" w:rsidRPr="002C32BA">
              <w:rPr>
                <w:rFonts w:ascii="Times New Roman" w:hAnsi="Times New Roman"/>
                <w:sz w:val="20"/>
                <w:szCs w:val="20"/>
                <w:lang w:val="ro-RO"/>
              </w:rPr>
              <w:t xml:space="preserve"> </w:t>
            </w:r>
          </w:p>
          <w:p w14:paraId="67B0BF88"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eastAsia="Arial Unicode MS" w:hAnsi="Times New Roman"/>
                <w:noProof/>
                <w:sz w:val="20"/>
                <w:szCs w:val="20"/>
                <w:lang w:val="ro-RO"/>
              </w:rPr>
              <w:drawing>
                <wp:inline distT="0" distB="0" distL="0" distR="0" wp14:anchorId="4D467B90" wp14:editId="23FF1D01">
                  <wp:extent cx="1911350" cy="393700"/>
                  <wp:effectExtent l="0" t="0" r="0" b="6350"/>
                  <wp:docPr id="14" name="Picture 14"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scription: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19660" cy="395412"/>
                          </a:xfrm>
                          <a:prstGeom prst="rect">
                            <a:avLst/>
                          </a:prstGeom>
                          <a:noFill/>
                          <a:ln>
                            <a:noFill/>
                          </a:ln>
                        </pic:spPr>
                      </pic:pic>
                    </a:graphicData>
                  </a:graphic>
                </wp:inline>
              </w:drawing>
            </w:r>
          </w:p>
          <w:p w14:paraId="02B0BBB2" w14:textId="77777777" w:rsidR="00D62F3C" w:rsidRPr="002C32BA" w:rsidRDefault="00D62F3C" w:rsidP="00D62F3C">
            <w:pPr>
              <w:pStyle w:val="CM4"/>
              <w:tabs>
                <w:tab w:val="left" w:pos="150"/>
              </w:tabs>
              <w:ind w:left="-43"/>
              <w:jc w:val="both"/>
              <w:rPr>
                <w:rFonts w:ascii="Times New Roman" w:hAnsi="Times New Roman"/>
                <w:sz w:val="20"/>
                <w:szCs w:val="20"/>
                <w:lang w:val="ro-RO"/>
              </w:rPr>
            </w:pPr>
          </w:p>
          <w:p w14:paraId="511D55B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unde:</w:t>
            </w:r>
          </w:p>
          <w:p w14:paraId="6D6EDE5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H = ajustarea de volatilitate care trebuie aplicată;</w:t>
            </w:r>
          </w:p>
          <w:p w14:paraId="5155C18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H </w:t>
            </w:r>
            <w:r w:rsidRPr="002C32BA">
              <w:rPr>
                <w:rFonts w:ascii="Times New Roman" w:hAnsi="Times New Roman"/>
                <w:iCs/>
                <w:sz w:val="20"/>
                <w:szCs w:val="20"/>
                <w:vertAlign w:val="subscript"/>
                <w:lang w:val="ro-RO" w:eastAsia="ru-RU"/>
              </w:rPr>
              <w:t>M</w:t>
            </w:r>
            <w:r w:rsidRPr="002C32BA">
              <w:rPr>
                <w:rFonts w:ascii="Times New Roman" w:hAnsi="Times New Roman"/>
                <w:iCs/>
                <w:sz w:val="20"/>
                <w:szCs w:val="20"/>
                <w:lang w:val="ro-RO" w:eastAsia="ru-RU"/>
              </w:rPr>
              <w:t xml:space="preserve"> = ajustarea de volatilitate corespunzătoare efectuării unei reevaluări zilnice;</w:t>
            </w:r>
          </w:p>
          <w:p w14:paraId="61EDF17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N </w:t>
            </w:r>
            <w:r w:rsidRPr="002C32BA">
              <w:rPr>
                <w:rFonts w:ascii="Times New Roman" w:hAnsi="Times New Roman"/>
                <w:iCs/>
                <w:sz w:val="20"/>
                <w:szCs w:val="20"/>
                <w:vertAlign w:val="subscript"/>
                <w:lang w:val="ro-RO" w:eastAsia="ru-RU"/>
              </w:rPr>
              <w:t>R</w:t>
            </w:r>
            <w:r w:rsidRPr="002C32BA">
              <w:rPr>
                <w:rFonts w:ascii="Times New Roman" w:hAnsi="Times New Roman"/>
                <w:iCs/>
                <w:sz w:val="20"/>
                <w:szCs w:val="20"/>
                <w:lang w:val="ro-RO" w:eastAsia="ru-RU"/>
              </w:rPr>
              <w:t xml:space="preserve"> = numărul efectiv de zile lucrătoare dintre reevaluări;</w:t>
            </w:r>
          </w:p>
          <w:p w14:paraId="00546BF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T </w:t>
            </w:r>
            <w:r w:rsidRPr="002C32BA">
              <w:rPr>
                <w:rFonts w:ascii="Times New Roman" w:hAnsi="Times New Roman"/>
                <w:iCs/>
                <w:sz w:val="20"/>
                <w:szCs w:val="20"/>
                <w:vertAlign w:val="subscript"/>
                <w:lang w:val="ro-RO" w:eastAsia="ru-RU"/>
              </w:rPr>
              <w:t>M</w:t>
            </w:r>
            <w:r w:rsidRPr="002C32BA">
              <w:rPr>
                <w:rFonts w:ascii="Times New Roman" w:hAnsi="Times New Roman"/>
                <w:iCs/>
                <w:sz w:val="20"/>
                <w:szCs w:val="20"/>
                <w:lang w:val="ro-RO" w:eastAsia="ru-RU"/>
              </w:rPr>
              <w:t xml:space="preserve"> = perioada de deținere pentru tipul de tranzacție în cauză.</w:t>
            </w:r>
          </w:p>
        </w:tc>
        <w:tc>
          <w:tcPr>
            <w:tcW w:w="1636" w:type="pct"/>
            <w:shd w:val="clear" w:color="auto" w:fill="auto"/>
          </w:tcPr>
          <w:p w14:paraId="41BFD75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a 7-a. Majorarea ajustărilor de volatilitate în cadrul metodei extinse a garanțiilor financiare</w:t>
            </w:r>
          </w:p>
          <w:p w14:paraId="77B556A2"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02C98342"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07BD3EF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DC2F3F">
              <w:rPr>
                <w:rFonts w:ascii="Times New Roman" w:hAnsi="Times New Roman"/>
                <w:b/>
                <w:bCs/>
                <w:sz w:val="20"/>
                <w:szCs w:val="20"/>
                <w:lang w:val="ro-RO" w:eastAsia="ru-RU"/>
              </w:rPr>
              <w:t>102.</w:t>
            </w:r>
            <w:r w:rsidRPr="002C32BA">
              <w:rPr>
                <w:rFonts w:ascii="Times New Roman" w:hAnsi="Times New Roman"/>
                <w:sz w:val="20"/>
                <w:szCs w:val="20"/>
                <w:lang w:val="ro-RO" w:eastAsia="ru-RU"/>
              </w:rPr>
              <w:t xml:space="preserve"> Ajustările de volatilitate prevăzute la secțiunea 6 din prezentul capitol sunt cele pe care o bancă trebuie să le aplice dacă efectuează o reevaluare zilnică.</w:t>
            </w:r>
          </w:p>
          <w:p w14:paraId="02244D5E"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45B8C0E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DC2F3F">
              <w:rPr>
                <w:rFonts w:ascii="Times New Roman" w:hAnsi="Times New Roman"/>
                <w:b/>
                <w:bCs/>
                <w:sz w:val="20"/>
                <w:szCs w:val="20"/>
                <w:lang w:val="ro-RO" w:eastAsia="ru-RU"/>
              </w:rPr>
              <w:t>103</w:t>
            </w:r>
            <w:r w:rsidRPr="002C32BA">
              <w:rPr>
                <w:rFonts w:ascii="Times New Roman" w:hAnsi="Times New Roman"/>
                <w:sz w:val="20"/>
                <w:szCs w:val="20"/>
                <w:lang w:val="ro-RO" w:eastAsia="ru-RU"/>
              </w:rPr>
              <w:t xml:space="preserve">. Dacă frecvența reevaluării este mai mica decât zilnică, băncile trebuie să aplice ajustări de volatilitate mai mari. Băncile trebuie să le calculeze prin majorarea ajustărilor de volatilitate rezultate din reevaluarea zilnică, utilizând următoarea formulă a rădăcinii pătrate a raportului perioadelor de deținere: </w:t>
            </w:r>
          </w:p>
          <w:p w14:paraId="5BCCCCCA"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r w:rsidRPr="002C32BA">
              <w:rPr>
                <w:rFonts w:ascii="Times New Roman" w:eastAsia="Arial Unicode MS" w:hAnsi="Times New Roman"/>
                <w:noProof/>
                <w:sz w:val="20"/>
                <w:szCs w:val="20"/>
                <w:lang w:val="ro-RO"/>
              </w:rPr>
              <w:drawing>
                <wp:inline distT="0" distB="0" distL="0" distR="0" wp14:anchorId="0D08731A" wp14:editId="183467B7">
                  <wp:extent cx="2061845" cy="586740"/>
                  <wp:effectExtent l="0" t="0" r="0" b="0"/>
                  <wp:docPr id="17" name="Picture 17"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scription: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61845" cy="586740"/>
                          </a:xfrm>
                          <a:prstGeom prst="rect">
                            <a:avLst/>
                          </a:prstGeom>
                          <a:noFill/>
                          <a:ln>
                            <a:noFill/>
                          </a:ln>
                        </pic:spPr>
                      </pic:pic>
                    </a:graphicData>
                  </a:graphic>
                </wp:inline>
              </w:drawing>
            </w:r>
          </w:p>
          <w:p w14:paraId="5AD942CA"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unde: </w:t>
            </w:r>
          </w:p>
          <w:p w14:paraId="5BE41E5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H = ajustarea de volatilitate care trebuie aplicată (majorată); </w:t>
            </w:r>
          </w:p>
          <w:p w14:paraId="596BE89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H</w:t>
            </w:r>
            <w:r w:rsidRPr="002C32BA">
              <w:rPr>
                <w:rFonts w:ascii="Times New Roman" w:hAnsi="Times New Roman"/>
                <w:sz w:val="20"/>
                <w:szCs w:val="20"/>
                <w:vertAlign w:val="subscript"/>
                <w:lang w:val="ro-RO" w:eastAsia="ru-RU"/>
              </w:rPr>
              <w:t>M</w:t>
            </w:r>
            <w:r w:rsidRPr="002C32BA">
              <w:rPr>
                <w:rFonts w:ascii="Times New Roman" w:hAnsi="Times New Roman"/>
                <w:sz w:val="20"/>
                <w:szCs w:val="20"/>
                <w:lang w:val="ro-RO" w:eastAsia="ru-RU"/>
              </w:rPr>
              <w:t xml:space="preserve"> = ajustarea de volatilitate în cazul în care se efectuează reevaluarea zilnică; </w:t>
            </w:r>
          </w:p>
          <w:p w14:paraId="1BC6903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N</w:t>
            </w:r>
            <w:r w:rsidRPr="002C32BA">
              <w:rPr>
                <w:rFonts w:ascii="Times New Roman" w:hAnsi="Times New Roman"/>
                <w:sz w:val="20"/>
                <w:szCs w:val="20"/>
                <w:vertAlign w:val="subscript"/>
                <w:lang w:val="ro-RO" w:eastAsia="ru-RU"/>
              </w:rPr>
              <w:t>R</w:t>
            </w:r>
            <w:r w:rsidRPr="002C32BA">
              <w:rPr>
                <w:rFonts w:ascii="Times New Roman" w:hAnsi="Times New Roman"/>
                <w:sz w:val="20"/>
                <w:szCs w:val="20"/>
                <w:lang w:val="ro-RO" w:eastAsia="ru-RU"/>
              </w:rPr>
              <w:t xml:space="preserve"> = numărul efectiv de zile lucrătoare dintre reevaluări; </w:t>
            </w:r>
          </w:p>
          <w:p w14:paraId="2B968F8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T</w:t>
            </w:r>
            <w:r w:rsidRPr="002C32BA">
              <w:rPr>
                <w:rFonts w:ascii="Times New Roman" w:hAnsi="Times New Roman"/>
                <w:sz w:val="20"/>
                <w:szCs w:val="20"/>
                <w:vertAlign w:val="subscript"/>
                <w:lang w:val="ro-RO" w:eastAsia="ru-RU"/>
              </w:rPr>
              <w:t>M</w:t>
            </w:r>
            <w:r w:rsidRPr="002C32BA">
              <w:rPr>
                <w:rFonts w:ascii="Times New Roman" w:hAnsi="Times New Roman"/>
                <w:sz w:val="20"/>
                <w:szCs w:val="20"/>
                <w:lang w:val="ro-RO" w:eastAsia="ru-RU"/>
              </w:rPr>
              <w:t xml:space="preserve"> = perioada de lichidare pentru respectivul tip de tranzacție.</w:t>
            </w:r>
          </w:p>
        </w:tc>
        <w:tc>
          <w:tcPr>
            <w:tcW w:w="562" w:type="pct"/>
          </w:tcPr>
          <w:p w14:paraId="4A0C0A53"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AF4F069" w14:textId="5700BD05"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1B7D951" w14:textId="77777777" w:rsidR="00D62F3C" w:rsidRPr="00595B15" w:rsidRDefault="00D62F3C" w:rsidP="00D62F3C">
            <w:pPr>
              <w:jc w:val="both"/>
              <w:rPr>
                <w:rFonts w:ascii="Times New Roman" w:hAnsi="Times New Roman" w:cs="Times New Roman"/>
                <w:b/>
                <w:bCs/>
                <w:sz w:val="20"/>
                <w:szCs w:val="20"/>
                <w:lang w:val="ro-RO"/>
              </w:rPr>
            </w:pPr>
          </w:p>
        </w:tc>
      </w:tr>
      <w:tr w:rsidR="00D62F3C" w:rsidRPr="002C32BA" w14:paraId="17409E4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244C386" w14:textId="77777777"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 xml:space="preserve">Articolul 227 </w:t>
            </w:r>
            <w:r w:rsidRPr="002C32BA">
              <w:rPr>
                <w:rFonts w:ascii="Times New Roman" w:hAnsi="Times New Roman"/>
                <w:b/>
                <w:iCs/>
                <w:sz w:val="20"/>
                <w:szCs w:val="20"/>
                <w:lang w:val="ro-RO" w:eastAsia="ru-RU"/>
              </w:rPr>
              <w:t>Condiții de aplicare a unei ajustări de volatilitate de 0 % în cadrul metodei extinse a garanțiilor financiare</w:t>
            </w:r>
          </w:p>
          <w:p w14:paraId="4C41D0A0" w14:textId="77777777" w:rsidR="00D549D8" w:rsidRPr="00D549D8" w:rsidRDefault="00D549D8" w:rsidP="00D549D8">
            <w:pPr>
              <w:pStyle w:val="CM4"/>
              <w:tabs>
                <w:tab w:val="left" w:pos="150"/>
              </w:tabs>
              <w:ind w:left="-43"/>
              <w:jc w:val="both"/>
              <w:rPr>
                <w:rFonts w:ascii="Times New Roman" w:hAnsi="Times New Roman"/>
                <w:iCs/>
                <w:sz w:val="20"/>
                <w:szCs w:val="20"/>
                <w:lang w:val="ro-RO" w:eastAsia="ru-RU"/>
              </w:rPr>
            </w:pPr>
            <w:r w:rsidRPr="00D549D8">
              <w:rPr>
                <w:rFonts w:ascii="Times New Roman" w:hAnsi="Times New Roman"/>
                <w:iCs/>
                <w:sz w:val="20"/>
                <w:szCs w:val="20"/>
                <w:lang w:val="ro-RO" w:eastAsia="ru-RU"/>
              </w:rPr>
              <w:t>▼M17</w:t>
            </w:r>
          </w:p>
          <w:p w14:paraId="330DCDE9" w14:textId="0CDA2157" w:rsidR="00D62F3C" w:rsidRPr="002C32BA" w:rsidRDefault="00D549D8" w:rsidP="00D549D8">
            <w:pPr>
              <w:pStyle w:val="CM4"/>
              <w:tabs>
                <w:tab w:val="left" w:pos="150"/>
              </w:tabs>
              <w:ind w:left="-43"/>
              <w:jc w:val="both"/>
              <w:rPr>
                <w:rFonts w:ascii="Times New Roman" w:hAnsi="Times New Roman"/>
                <w:iCs/>
                <w:sz w:val="20"/>
                <w:szCs w:val="20"/>
                <w:lang w:val="ro-RO" w:eastAsia="ru-RU"/>
              </w:rPr>
            </w:pPr>
            <w:r w:rsidRPr="00D549D8">
              <w:rPr>
                <w:rFonts w:ascii="Times New Roman" w:hAnsi="Times New Roman"/>
                <w:iCs/>
                <w:sz w:val="20"/>
                <w:szCs w:val="20"/>
                <w:lang w:val="ro-RO" w:eastAsia="ru-RU"/>
              </w:rPr>
              <w:t xml:space="preserve">(1)   Instituțiile care utilizează abordarea bazată pe ajustări de volatilitate reglementate menționată la articolul 224 pot aplica, în cazul tranzacțiilor de răscumpărare și al operațiunilor de dare sau luare cu împrumut de titluri de valoare, o ajustare de volatilitate de 0 % în locul ajustărilor de volatilitate calculate în conformitate cu articolele 224 și 226, cu condiția îndeplinirii condițiilor prevăzute la alineatul (2) literele (a)-(h) de la prezentul articol. </w:t>
            </w:r>
          </w:p>
        </w:tc>
        <w:tc>
          <w:tcPr>
            <w:tcW w:w="1636" w:type="pct"/>
            <w:shd w:val="clear" w:color="auto" w:fill="auto"/>
          </w:tcPr>
          <w:p w14:paraId="33A1428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a 8-a. Condiții de aplicare a unei ajustări de volatilitate de 0 % în cadrul metodei extinse a garanțiilor financiare</w:t>
            </w:r>
          </w:p>
          <w:p w14:paraId="4C81270E"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11C415E9" w14:textId="540817AF" w:rsidR="00D62F3C" w:rsidRPr="006D13CF" w:rsidRDefault="00D62F3C" w:rsidP="00D62F3C">
            <w:pPr>
              <w:pStyle w:val="CM4"/>
              <w:tabs>
                <w:tab w:val="left" w:pos="150"/>
              </w:tabs>
              <w:ind w:left="-36"/>
              <w:rPr>
                <w:rFonts w:ascii="Times New Roman" w:hAnsi="Times New Roman"/>
                <w:sz w:val="20"/>
                <w:szCs w:val="20"/>
                <w:lang w:eastAsia="ru-RU"/>
              </w:rPr>
            </w:pPr>
            <w:r w:rsidRPr="00DC2F3F">
              <w:rPr>
                <w:rFonts w:ascii="Times New Roman" w:hAnsi="Times New Roman"/>
                <w:b/>
                <w:bCs/>
                <w:sz w:val="20"/>
                <w:szCs w:val="20"/>
                <w:lang w:val="ro-RO" w:eastAsia="ru-RU"/>
              </w:rPr>
              <w:t>104.</w:t>
            </w:r>
            <w:r w:rsidRPr="002C32BA">
              <w:rPr>
                <w:rFonts w:ascii="Times New Roman" w:hAnsi="Times New Roman"/>
                <w:sz w:val="20"/>
                <w:szCs w:val="20"/>
                <w:lang w:val="ro-RO" w:eastAsia="ru-RU"/>
              </w:rPr>
              <w:t xml:space="preserve"> În ceea ce privește tranzacțiile de răscumpărare și operațiunile de dare sau luare de valori mobiliare cu împrumut, băncile pot aplica o ajustare de volatilitate de 0 % (în loc să aplice ajustările de volatilitate calculate în conformitate cu secțiunile 6 și 7 din prezentul capitol, </w:t>
            </w:r>
            <w:r w:rsidR="006D13CF">
              <w:rPr>
                <w:rFonts w:ascii="Times New Roman" w:hAnsi="Times New Roman"/>
                <w:sz w:val="20"/>
                <w:szCs w:val="20"/>
                <w:lang w:eastAsia="ru-RU"/>
              </w:rPr>
              <w:t>[…]</w:t>
            </w:r>
          </w:p>
          <w:p w14:paraId="2A894C9C"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704CC2A7" w14:textId="6556756E" w:rsidR="00D62F3C" w:rsidRPr="002C32BA" w:rsidRDefault="006D13CF"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00D62F3C" w:rsidRPr="002C32BA">
              <w:rPr>
                <w:rFonts w:ascii="Times New Roman" w:hAnsi="Times New Roman" w:cs="Times New Roman"/>
                <w:sz w:val="20"/>
                <w:szCs w:val="20"/>
                <w:lang w:val="ro-RO"/>
              </w:rPr>
              <w:t>ompatibil</w:t>
            </w:r>
          </w:p>
        </w:tc>
        <w:tc>
          <w:tcPr>
            <w:tcW w:w="885" w:type="pct"/>
          </w:tcPr>
          <w:p w14:paraId="306113C8" w14:textId="68D5BD0C"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6D13CF" w:rsidRPr="002C32BA" w14:paraId="031EF03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BAF970F" w14:textId="69606766" w:rsidR="006D13CF" w:rsidRPr="002C32BA" w:rsidRDefault="006D13CF" w:rsidP="00D62F3C">
            <w:pPr>
              <w:pStyle w:val="CM4"/>
              <w:tabs>
                <w:tab w:val="left" w:pos="150"/>
              </w:tabs>
              <w:ind w:left="-43"/>
              <w:jc w:val="both"/>
              <w:rPr>
                <w:rFonts w:ascii="Times New Roman" w:hAnsi="Times New Roman"/>
                <w:i/>
                <w:iCs/>
                <w:sz w:val="20"/>
                <w:szCs w:val="20"/>
                <w:lang w:val="ro-RO" w:eastAsia="ru-RU"/>
              </w:rPr>
            </w:pPr>
            <w:r w:rsidRPr="002C32BA">
              <w:rPr>
                <w:rFonts w:ascii="Times New Roman" w:hAnsi="Times New Roman"/>
                <w:iCs/>
                <w:sz w:val="20"/>
                <w:szCs w:val="20"/>
                <w:lang w:val="ro-RO" w:eastAsia="ru-RU"/>
              </w:rPr>
              <w:t>Instituțiile care utilizează abordarea bazată pe modele interne prevăzută la articolul 221nu trebuie să utilizeze tratamentul stabilit în prezentul articol.</w:t>
            </w:r>
          </w:p>
        </w:tc>
        <w:tc>
          <w:tcPr>
            <w:tcW w:w="1636" w:type="pct"/>
            <w:shd w:val="clear" w:color="auto" w:fill="auto"/>
          </w:tcPr>
          <w:p w14:paraId="6586ED0F" w14:textId="77777777" w:rsidR="006D13CF" w:rsidRDefault="006D13CF" w:rsidP="00D62F3C">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b/>
                <w:bCs/>
                <w:color w:val="000000" w:themeColor="text1"/>
                <w:sz w:val="20"/>
                <w:szCs w:val="20"/>
                <w:lang w:val="ro-RO" w:eastAsia="ro-MD"/>
              </w:rPr>
              <w:t>104</w:t>
            </w:r>
            <w:r w:rsidRPr="005C3300">
              <w:rPr>
                <w:rFonts w:ascii="Times New Roman" w:hAnsi="Times New Roman"/>
                <w:b/>
                <w:bCs/>
                <w:color w:val="000000" w:themeColor="text1"/>
                <w:sz w:val="20"/>
                <w:szCs w:val="20"/>
                <w:vertAlign w:val="superscript"/>
                <w:lang w:val="ro-RO" w:eastAsia="ro-MD"/>
              </w:rPr>
              <w:t>1</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care utilizează abordarea bazată pe modele interne prevăzută la secțiunea 2</w:t>
            </w:r>
            <w:r w:rsidRPr="005C3300">
              <w:rPr>
                <w:rFonts w:ascii="Times New Roman" w:hAnsi="Times New Roman"/>
                <w:color w:val="000000" w:themeColor="text1"/>
                <w:sz w:val="20"/>
                <w:szCs w:val="20"/>
                <w:vertAlign w:val="superscript"/>
                <w:lang w:val="ro-RO" w:eastAsia="ro-MD"/>
              </w:rPr>
              <w:t>1</w:t>
            </w:r>
            <w:r w:rsidRPr="005C3300">
              <w:rPr>
                <w:rFonts w:ascii="Times New Roman" w:hAnsi="Times New Roman"/>
                <w:color w:val="000000" w:themeColor="text1"/>
                <w:sz w:val="20"/>
                <w:szCs w:val="20"/>
                <w:lang w:val="ro-RO" w:eastAsia="ro-MD"/>
              </w:rPr>
              <w:t xml:space="preserve"> din prezentul capitol nu utilizează tratamentul stabilit în prezenta secțiune.</w:t>
            </w:r>
          </w:p>
          <w:p w14:paraId="4A42FE67" w14:textId="6B04CA1A" w:rsidR="006D13CF" w:rsidRPr="006D13CF" w:rsidRDefault="006D13CF" w:rsidP="006D13CF">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07269B40" w14:textId="7BBBB467" w:rsidR="006D13CF" w:rsidRPr="002C32BA" w:rsidRDefault="006D13CF"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Pr="002C32BA">
              <w:rPr>
                <w:rFonts w:ascii="Times New Roman" w:hAnsi="Times New Roman" w:cs="Times New Roman"/>
                <w:sz w:val="20"/>
                <w:szCs w:val="20"/>
                <w:lang w:val="ro-RO"/>
              </w:rPr>
              <w:t>ompatibil</w:t>
            </w:r>
          </w:p>
        </w:tc>
        <w:tc>
          <w:tcPr>
            <w:tcW w:w="885" w:type="pct"/>
          </w:tcPr>
          <w:p w14:paraId="6F1E93F4" w14:textId="77777777" w:rsidR="006D13CF" w:rsidRDefault="006D13CF" w:rsidP="00D62F3C">
            <w:pPr>
              <w:jc w:val="both"/>
              <w:rPr>
                <w:rFonts w:ascii="Times New Roman" w:hAnsi="Times New Roman" w:cs="Times New Roman"/>
                <w:sz w:val="20"/>
                <w:szCs w:val="20"/>
                <w:lang w:val="ro-RO"/>
              </w:rPr>
            </w:pPr>
          </w:p>
        </w:tc>
      </w:tr>
      <w:tr w:rsidR="00D62F3C" w:rsidRPr="002C32BA" w14:paraId="28D2CF4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5059DC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Instituțiile pot aplica o ajustare de volatilitate de 0 %, dacă sunt îndeplinite toate condițiile următoare:</w:t>
            </w:r>
          </w:p>
          <w:p w14:paraId="6381CE4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atât expunerea, cât și garanția reală constau în numerar sau titluri de datorie emise de administrații centrale sau de bănci centrale, în sensul articolului 197 alineatul (1) litera (b), și eligibile pentru atribuirea unei ponderi de risc de 0 % în temeiul capitolului 2;</w:t>
            </w:r>
          </w:p>
          <w:p w14:paraId="05D3597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atât expunerea, cât și garanția reală sunt denominate în aceeași monedă;</w:t>
            </w:r>
          </w:p>
          <w:p w14:paraId="181C757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fie scadența tranzacției nu depășește o zi, fie atât expunerea, cât și garanția reală sunt marcate zilnic la piață sau fac obiectul ajustării zilnice a marjei;</w:t>
            </w:r>
          </w:p>
          <w:p w14:paraId="16D2148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(d) perioada dintre ultima marcare la piață, anterioară unui eșec al </w:t>
            </w:r>
            <w:proofErr w:type="spellStart"/>
            <w:r w:rsidRPr="002C32BA">
              <w:rPr>
                <w:rFonts w:ascii="Times New Roman" w:hAnsi="Times New Roman"/>
                <w:iCs/>
                <w:sz w:val="20"/>
                <w:szCs w:val="20"/>
                <w:lang w:val="ro-RO" w:eastAsia="ru-RU"/>
              </w:rPr>
              <w:t>contrapărții</w:t>
            </w:r>
            <w:proofErr w:type="spellEnd"/>
            <w:r w:rsidRPr="002C32BA">
              <w:rPr>
                <w:rFonts w:ascii="Times New Roman" w:hAnsi="Times New Roman"/>
                <w:iCs/>
                <w:sz w:val="20"/>
                <w:szCs w:val="20"/>
                <w:lang w:val="ro-RO" w:eastAsia="ru-RU"/>
              </w:rPr>
              <w:t xml:space="preserve"> de a reface marja, și momentul lichidării garanției reale nu depășește patru zile lucrătoare;</w:t>
            </w:r>
          </w:p>
          <w:p w14:paraId="146ADD9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(e) tranzacția este decontată în cadrul unui sistem de decontare adecvat pentru tipul de tranzacție respectiv;</w:t>
            </w:r>
          </w:p>
          <w:p w14:paraId="62C362B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(f) documentația privind acordul sau tranzacția este documentația standard utilizată pe piață pentru tranzacții de răscumpărare sau pentru operațiuni de dare sau luare de titluri cu împrumut, pentru titlurile respective; </w:t>
            </w:r>
          </w:p>
          <w:p w14:paraId="7CAFBCA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(g) tranzacția este guvernată de clauze care prevăd posibilitatea rezilierii sale imediate, în cazul în care </w:t>
            </w:r>
            <w:proofErr w:type="spellStart"/>
            <w:r w:rsidRPr="002C32BA">
              <w:rPr>
                <w:rFonts w:ascii="Times New Roman" w:hAnsi="Times New Roman"/>
                <w:iCs/>
                <w:sz w:val="20"/>
                <w:szCs w:val="20"/>
                <w:lang w:val="ro-RO" w:eastAsia="ru-RU"/>
              </w:rPr>
              <w:t>contrapartea</w:t>
            </w:r>
            <w:proofErr w:type="spellEnd"/>
            <w:r w:rsidRPr="002C32BA">
              <w:rPr>
                <w:rFonts w:ascii="Times New Roman" w:hAnsi="Times New Roman"/>
                <w:iCs/>
                <w:sz w:val="20"/>
                <w:szCs w:val="20"/>
                <w:lang w:val="ro-RO" w:eastAsia="ru-RU"/>
              </w:rPr>
              <w:t xml:space="preserve"> nu respectă obligația de a livra numerar sau titluri ori de a da curs apelului în marjă, sau nu îndeplinește alte obligații;</w:t>
            </w:r>
          </w:p>
          <w:p w14:paraId="7CE65F1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(h) </w:t>
            </w:r>
            <w:proofErr w:type="spellStart"/>
            <w:r w:rsidRPr="002C32BA">
              <w:rPr>
                <w:rFonts w:ascii="Times New Roman" w:hAnsi="Times New Roman"/>
                <w:iCs/>
                <w:sz w:val="20"/>
                <w:szCs w:val="20"/>
                <w:lang w:val="ro-RO" w:eastAsia="ru-RU"/>
              </w:rPr>
              <w:t>contrapartea</w:t>
            </w:r>
            <w:proofErr w:type="spellEnd"/>
            <w:r w:rsidRPr="002C32BA">
              <w:rPr>
                <w:rFonts w:ascii="Times New Roman" w:hAnsi="Times New Roman"/>
                <w:iCs/>
                <w:sz w:val="20"/>
                <w:szCs w:val="20"/>
                <w:lang w:val="ro-RO" w:eastAsia="ru-RU"/>
              </w:rPr>
              <w:t xml:space="preserve"> este considerată de către autoritățile competente un participant principal pe piață.</w:t>
            </w:r>
          </w:p>
        </w:tc>
        <w:tc>
          <w:tcPr>
            <w:tcW w:w="1636" w:type="pct"/>
            <w:shd w:val="clear" w:color="auto" w:fill="auto"/>
          </w:tcPr>
          <w:p w14:paraId="28304666" w14:textId="10857A38" w:rsidR="006D13CF" w:rsidRPr="006D13CF" w:rsidRDefault="006D13CF" w:rsidP="00D62F3C">
            <w:pPr>
              <w:pStyle w:val="CM4"/>
              <w:tabs>
                <w:tab w:val="left" w:pos="150"/>
              </w:tabs>
              <w:ind w:left="-36"/>
              <w:rPr>
                <w:rFonts w:ascii="Times New Roman" w:hAnsi="Times New Roman"/>
                <w:b/>
                <w:bCs/>
                <w:sz w:val="20"/>
                <w:szCs w:val="20"/>
                <w:lang w:val="ro-RO" w:eastAsia="ru-RU"/>
              </w:rPr>
            </w:pPr>
            <w:r w:rsidRPr="006D13CF">
              <w:rPr>
                <w:rFonts w:ascii="Times New Roman" w:hAnsi="Times New Roman"/>
                <w:b/>
                <w:bCs/>
                <w:sz w:val="20"/>
                <w:szCs w:val="20"/>
                <w:lang w:val="ro-RO" w:eastAsia="ru-RU"/>
              </w:rPr>
              <w:t>104.</w:t>
            </w:r>
            <w:r>
              <w:rPr>
                <w:rFonts w:ascii="Times New Roman" w:hAnsi="Times New Roman"/>
                <w:b/>
                <w:bCs/>
                <w:sz w:val="20"/>
                <w:szCs w:val="20"/>
                <w:lang w:val="ro-RO" w:eastAsia="ru-RU"/>
              </w:rPr>
              <w:t xml:space="preserve"> </w:t>
            </w:r>
            <w:r>
              <w:rPr>
                <w:rFonts w:ascii="Times New Roman" w:hAnsi="Times New Roman"/>
                <w:sz w:val="20"/>
                <w:szCs w:val="20"/>
                <w:lang w:eastAsia="ru-RU"/>
              </w:rPr>
              <w:t>[…]</w:t>
            </w:r>
          </w:p>
          <w:p w14:paraId="2CDBB7C6" w14:textId="49DFC25D"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dacă sunt îndeplinite cumulativ următoarele condiții: </w:t>
            </w:r>
          </w:p>
          <w:p w14:paraId="0425F17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atât expunerea, cât și garanția reală constau în mijloace bănești sau titluri de datorie emise de administrații centrale sau de bănci centrale, în sensul punctului 25 subpunctele 1) și 2), și eligibile pentru atribuirea unei ponderi de risc de 0 % în temeiul Regulamentului cu privire la tratamentul riscului de credit pentru bănci potrivit abordării standardizate; </w:t>
            </w:r>
          </w:p>
          <w:p w14:paraId="3EADF19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2) atât expunerea, cât și garanția reală sunt exprimate în aceeași monedă; </w:t>
            </w:r>
          </w:p>
          <w:p w14:paraId="321B36D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3) fie scadența tranzacției nu depășește o zi, fie atât expunerea, cât și garanția reală sunt supuse marcării zilnice la piață sau fac obiectul ajustării zilnice a marjei (</w:t>
            </w:r>
            <w:proofErr w:type="spellStart"/>
            <w:r w:rsidRPr="002C32BA">
              <w:rPr>
                <w:rFonts w:ascii="Times New Roman" w:hAnsi="Times New Roman"/>
                <w:sz w:val="20"/>
                <w:szCs w:val="20"/>
                <w:lang w:val="ro-RO" w:eastAsia="ru-RU"/>
              </w:rPr>
              <w:t>margin</w:t>
            </w:r>
            <w:proofErr w:type="spellEnd"/>
            <w:r w:rsidRPr="002C32BA">
              <w:rPr>
                <w:rFonts w:ascii="Times New Roman" w:hAnsi="Times New Roman"/>
                <w:sz w:val="20"/>
                <w:szCs w:val="20"/>
                <w:lang w:val="ro-RO" w:eastAsia="ru-RU"/>
              </w:rPr>
              <w:t xml:space="preserve">); </w:t>
            </w:r>
          </w:p>
          <w:p w14:paraId="59143E1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4) în cazul eșecului </w:t>
            </w:r>
            <w:proofErr w:type="spellStart"/>
            <w:r w:rsidRPr="002C32BA">
              <w:rPr>
                <w:rFonts w:ascii="Times New Roman" w:hAnsi="Times New Roman"/>
                <w:sz w:val="20"/>
                <w:szCs w:val="20"/>
                <w:lang w:val="ro-RO" w:eastAsia="ru-RU"/>
              </w:rPr>
              <w:t>contrapărții</w:t>
            </w:r>
            <w:proofErr w:type="spellEnd"/>
            <w:r w:rsidRPr="002C32BA">
              <w:rPr>
                <w:rFonts w:ascii="Times New Roman" w:hAnsi="Times New Roman"/>
                <w:sz w:val="20"/>
                <w:szCs w:val="20"/>
                <w:lang w:val="ro-RO" w:eastAsia="ru-RU"/>
              </w:rPr>
              <w:t xml:space="preserve"> de a ajusta marja (re-</w:t>
            </w:r>
            <w:proofErr w:type="spellStart"/>
            <w:r w:rsidRPr="002C32BA">
              <w:rPr>
                <w:rFonts w:ascii="Times New Roman" w:hAnsi="Times New Roman"/>
                <w:sz w:val="20"/>
                <w:szCs w:val="20"/>
                <w:lang w:val="ro-RO" w:eastAsia="ru-RU"/>
              </w:rPr>
              <w:t>margin</w:t>
            </w:r>
            <w:proofErr w:type="spellEnd"/>
            <w:r w:rsidRPr="002C32BA">
              <w:rPr>
                <w:rFonts w:ascii="Times New Roman" w:hAnsi="Times New Roman"/>
                <w:sz w:val="20"/>
                <w:szCs w:val="20"/>
                <w:lang w:val="ro-RO" w:eastAsia="ru-RU"/>
              </w:rPr>
              <w:t xml:space="preserve">), perioada dintre ultima marcare la piață, înainte de eșec de a ajusta marja, și momentul realizării garanției reale nu depășește patru zile lucrătoare; </w:t>
            </w:r>
          </w:p>
          <w:p w14:paraId="789E934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5) tranzacția este decontată în cadrul unui sistem de decontare adecvat pentru tipul de tranzacție respectiv; </w:t>
            </w:r>
          </w:p>
          <w:p w14:paraId="76840677"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6) documentația care acoperă acordul sau tranzacția este documentația standard utilizată pe piață pentru tranzacții de răscumpărare sau pentru operațiuni de dare sau luare de valori mobiliare cu împrumut, pentru valori mobiliare respective;</w:t>
            </w:r>
          </w:p>
          <w:p w14:paraId="41F90C20" w14:textId="41FA69C6" w:rsidR="00D62F3C" w:rsidRPr="002C32BA" w:rsidRDefault="009C4164" w:rsidP="00D62F3C">
            <w:pPr>
              <w:pStyle w:val="CM4"/>
              <w:tabs>
                <w:tab w:val="left" w:pos="150"/>
              </w:tabs>
              <w:ind w:left="-36"/>
              <w:rPr>
                <w:rFonts w:ascii="Times New Roman" w:hAnsi="Times New Roman"/>
                <w:sz w:val="20"/>
                <w:szCs w:val="20"/>
                <w:lang w:val="ro-RO" w:eastAsia="ru-RU"/>
              </w:rPr>
            </w:pPr>
            <w:r w:rsidRPr="005C3300">
              <w:rPr>
                <w:rFonts w:ascii="Times New Roman" w:hAnsi="Times New Roman"/>
                <w:color w:val="000000" w:themeColor="text1"/>
                <w:sz w:val="20"/>
                <w:szCs w:val="20"/>
                <w:lang w:val="ro-RO" w:eastAsia="ro-MD"/>
              </w:rPr>
              <w:t xml:space="preserve">7) tranzacția este guvernată de documentația care prevede rezoluțiunea imediată a tranzacției, în cazul în care </w:t>
            </w:r>
            <w:proofErr w:type="spellStart"/>
            <w:r w:rsidRPr="005C3300">
              <w:rPr>
                <w:rFonts w:ascii="Times New Roman" w:hAnsi="Times New Roman"/>
                <w:color w:val="000000" w:themeColor="text1"/>
                <w:sz w:val="20"/>
                <w:szCs w:val="20"/>
                <w:lang w:val="ro-RO" w:eastAsia="ro-MD"/>
              </w:rPr>
              <w:t>contrapartea</w:t>
            </w:r>
            <w:proofErr w:type="spellEnd"/>
            <w:r w:rsidRPr="005C3300">
              <w:rPr>
                <w:rFonts w:ascii="Times New Roman" w:hAnsi="Times New Roman"/>
                <w:color w:val="000000" w:themeColor="text1"/>
                <w:sz w:val="20"/>
                <w:szCs w:val="20"/>
                <w:lang w:val="ro-RO" w:eastAsia="ro-MD"/>
              </w:rPr>
              <w:t xml:space="preserve"> nu respectă obligația de a livra mijloace bănești sau valori mobiliare ori de a da curs apelului în marjă, sau nu îndeplinește alte obligații</w:t>
            </w:r>
            <w:r>
              <w:rPr>
                <w:rFonts w:ascii="Times New Roman" w:hAnsi="Times New Roman"/>
                <w:color w:val="000000" w:themeColor="text1"/>
                <w:sz w:val="20"/>
                <w:szCs w:val="20"/>
                <w:lang w:val="ro-RO" w:eastAsia="ro-MD"/>
              </w:rPr>
              <w:t>;</w:t>
            </w:r>
          </w:p>
          <w:p w14:paraId="610D1A83" w14:textId="77777777" w:rsidR="00D62F3C"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8) </w:t>
            </w:r>
            <w:proofErr w:type="spellStart"/>
            <w:r w:rsidRPr="002C32BA">
              <w:rPr>
                <w:rFonts w:ascii="Times New Roman" w:hAnsi="Times New Roman"/>
                <w:sz w:val="20"/>
                <w:szCs w:val="20"/>
                <w:lang w:val="ro-RO" w:eastAsia="ru-RU"/>
              </w:rPr>
              <w:t>contrapartea</w:t>
            </w:r>
            <w:proofErr w:type="spellEnd"/>
            <w:r w:rsidRPr="002C32BA">
              <w:rPr>
                <w:rFonts w:ascii="Times New Roman" w:hAnsi="Times New Roman"/>
                <w:sz w:val="20"/>
                <w:szCs w:val="20"/>
                <w:lang w:val="ro-RO" w:eastAsia="ru-RU"/>
              </w:rPr>
              <w:t xml:space="preserve"> este considerată un participant principal pe piață.</w:t>
            </w:r>
          </w:p>
          <w:p w14:paraId="0A52FC13" w14:textId="4358D561" w:rsidR="00DC2F3F" w:rsidRPr="00DC2F3F" w:rsidRDefault="00DC2F3F" w:rsidP="009C4164">
            <w:pPr>
              <w:spacing w:after="0"/>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C9D0D37"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010C62F" w14:textId="657BFFF5"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3E8FAC53"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EBCAF0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A66E2E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(3) Participanții principali pe piață menționați la alineatul (2) litera (h) includ următoarele entități:</w:t>
            </w:r>
          </w:p>
          <w:p w14:paraId="181BD1C0" w14:textId="77777777" w:rsidR="00D62F3C"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entitățile menționate la articolul 193 alineatul (1) litera (b), dacă expunerilor față de acestea li se atribuie o pondere de risc de 0 % în temeiul capitolului 2;</w:t>
            </w:r>
          </w:p>
          <w:p w14:paraId="79586B9A" w14:textId="77777777" w:rsidR="009C4164" w:rsidRPr="009C4164" w:rsidRDefault="009C4164" w:rsidP="009C4164">
            <w:pPr>
              <w:rPr>
                <w:lang w:val="ro-RO" w:eastAsia="ru-RU"/>
              </w:rPr>
            </w:pPr>
          </w:p>
          <w:p w14:paraId="7E4A62B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instituții;</w:t>
            </w:r>
          </w:p>
          <w:p w14:paraId="06B976D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(ba) firme de investiții;</w:t>
            </w:r>
          </w:p>
          <w:p w14:paraId="141031A1" w14:textId="77777777" w:rsidR="00D62F3C"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(c) alte întreprinderi financiare în sensul articolului 13 punctul 25 literele (b) și (d) din Directiva 2009/138/CE, dacă expunerilor față de acestea li se atribuie o pondere de risc de 20 % conform abordării standardizate, sau întreprinderi care, în cazul instituțiilor care calculează cuantumurile ponderate la risc ale expunerilor și cuantumurile pierderilor așteptate conform abordării IRB, nu au o evaluare a creditului efectuată de o ECAI recunoscută și sunt evaluate intern de către instituție.</w:t>
            </w:r>
          </w:p>
          <w:p w14:paraId="2B8D9449" w14:textId="77777777" w:rsidR="009C4164" w:rsidRPr="009C4164" w:rsidRDefault="009C4164" w:rsidP="009C4164">
            <w:pPr>
              <w:rPr>
                <w:lang w:val="ro-RO" w:eastAsia="ru-RU"/>
              </w:rPr>
            </w:pPr>
          </w:p>
          <w:p w14:paraId="4C4CB11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 OPC reglementate, supuse cerințelor privind capitalul sau efectul de levier;</w:t>
            </w:r>
          </w:p>
          <w:p w14:paraId="3531F99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(e) fonduri de pensii reglementate;</w:t>
            </w:r>
          </w:p>
          <w:p w14:paraId="5941384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(f) organisme de compensare recunoscute.</w:t>
            </w:r>
          </w:p>
        </w:tc>
        <w:tc>
          <w:tcPr>
            <w:tcW w:w="1636" w:type="pct"/>
            <w:shd w:val="clear" w:color="auto" w:fill="auto"/>
          </w:tcPr>
          <w:p w14:paraId="0DA7232C" w14:textId="77777777" w:rsidR="009C4164" w:rsidRPr="005C3300" w:rsidRDefault="00D62F3C" w:rsidP="009C4164">
            <w:pPr>
              <w:spacing w:after="0" w:line="240" w:lineRule="auto"/>
              <w:jc w:val="both"/>
              <w:rPr>
                <w:rFonts w:ascii="Times New Roman" w:eastAsia="Times New Roman" w:hAnsi="Times New Roman" w:cs="Times New Roman"/>
                <w:color w:val="000000" w:themeColor="text1"/>
                <w:sz w:val="20"/>
                <w:szCs w:val="20"/>
                <w:lang w:val="ro-RO" w:eastAsia="ro-MD"/>
              </w:rPr>
            </w:pPr>
            <w:r w:rsidRPr="00DC2F3F">
              <w:rPr>
                <w:rFonts w:ascii="Times New Roman" w:hAnsi="Times New Roman"/>
                <w:b/>
                <w:bCs/>
                <w:sz w:val="20"/>
                <w:szCs w:val="20"/>
                <w:lang w:val="ro-RO" w:eastAsia="ru-RU"/>
              </w:rPr>
              <w:t>105.</w:t>
            </w:r>
            <w:r w:rsidRPr="002C32BA">
              <w:rPr>
                <w:rFonts w:ascii="Times New Roman" w:hAnsi="Times New Roman"/>
                <w:sz w:val="20"/>
                <w:szCs w:val="20"/>
                <w:lang w:val="ro-RO" w:eastAsia="ru-RU"/>
              </w:rPr>
              <w:t xml:space="preserve"> </w:t>
            </w:r>
            <w:r w:rsidR="009C4164" w:rsidRPr="005C3300">
              <w:rPr>
                <w:rFonts w:ascii="Times New Roman" w:eastAsia="Times New Roman" w:hAnsi="Times New Roman" w:cs="Times New Roman"/>
                <w:color w:val="000000" w:themeColor="text1"/>
                <w:sz w:val="20"/>
                <w:szCs w:val="20"/>
                <w:lang w:val="ro-RO" w:eastAsia="ro-MD"/>
              </w:rPr>
              <w:t>Participanții principali pe piață menționați la punctul 104 subpunctul 8) cuprind următoarele entități:</w:t>
            </w:r>
          </w:p>
          <w:p w14:paraId="5FFD1484" w14:textId="77777777" w:rsidR="009C4164" w:rsidRPr="005C3300" w:rsidRDefault="009C4164" w:rsidP="009C4164">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1) entitățile menționate la punctului 25 subpunctele 1) și 2), dacă expunerilor față de acestea li se atribuie o pondere de risc de 0% în temeiul Regulamentului nr.111/2018;</w:t>
            </w:r>
          </w:p>
          <w:p w14:paraId="5E898CC4" w14:textId="77777777" w:rsidR="009C4164" w:rsidRDefault="009C4164" w:rsidP="009C4164">
            <w:pPr>
              <w:spacing w:after="0" w:line="240" w:lineRule="auto"/>
              <w:jc w:val="both"/>
              <w:rPr>
                <w:rFonts w:ascii="Times New Roman" w:eastAsia="Times New Roman" w:hAnsi="Times New Roman" w:cs="Times New Roman"/>
                <w:color w:val="000000" w:themeColor="text1"/>
                <w:sz w:val="20"/>
                <w:szCs w:val="20"/>
                <w:lang w:val="ro-RO" w:eastAsia="ro-MD"/>
              </w:rPr>
            </w:pPr>
          </w:p>
          <w:p w14:paraId="0B08FB60" w14:textId="4741A1B0" w:rsidR="009C4164" w:rsidRPr="005C3300" w:rsidRDefault="009C4164" w:rsidP="009C4164">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2) bănci;</w:t>
            </w:r>
          </w:p>
          <w:p w14:paraId="72A0492B" w14:textId="3D933448" w:rsidR="009C4164" w:rsidRDefault="009C4164" w:rsidP="009C4164">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2</w:t>
            </w:r>
            <w:r w:rsidRPr="005C3300">
              <w:rPr>
                <w:rFonts w:ascii="Times New Roman" w:eastAsia="Times New Roman" w:hAnsi="Times New Roman" w:cs="Times New Roman"/>
                <w:color w:val="000000" w:themeColor="text1"/>
                <w:sz w:val="20"/>
                <w:szCs w:val="20"/>
                <w:vertAlign w:val="superscript"/>
                <w:lang w:val="ro-RO" w:eastAsia="ro-MD"/>
              </w:rPr>
              <w:t>1</w:t>
            </w:r>
            <w:r w:rsidRPr="005C3300">
              <w:rPr>
                <w:rFonts w:ascii="Times New Roman" w:eastAsia="Times New Roman" w:hAnsi="Times New Roman" w:cs="Times New Roman"/>
                <w:color w:val="000000" w:themeColor="text1"/>
                <w:sz w:val="20"/>
                <w:szCs w:val="20"/>
                <w:lang w:val="ro-RO" w:eastAsia="ro-MD"/>
              </w:rPr>
              <w:t>) societăți de investiții;</w:t>
            </w:r>
          </w:p>
          <w:p w14:paraId="28591F95" w14:textId="77777777" w:rsidR="009C4164" w:rsidRPr="005C3300" w:rsidRDefault="009C4164" w:rsidP="009C4164">
            <w:pPr>
              <w:spacing w:after="0" w:line="240" w:lineRule="auto"/>
              <w:jc w:val="both"/>
              <w:rPr>
                <w:rFonts w:ascii="Times New Roman" w:eastAsia="Times New Roman" w:hAnsi="Times New Roman" w:cs="Times New Roman"/>
                <w:color w:val="000000" w:themeColor="text1"/>
                <w:sz w:val="20"/>
                <w:szCs w:val="20"/>
                <w:lang w:val="ro-RO" w:eastAsia="ro-MD"/>
              </w:rPr>
            </w:pPr>
          </w:p>
          <w:p w14:paraId="0A23F8C6" w14:textId="01AB08AD" w:rsidR="009C4164" w:rsidRPr="005C3300" w:rsidRDefault="009C4164" w:rsidP="009C4164">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2</w:t>
            </w:r>
            <w:r w:rsidRPr="005C3300">
              <w:rPr>
                <w:rFonts w:ascii="Times New Roman" w:eastAsia="Times New Roman" w:hAnsi="Times New Roman" w:cs="Times New Roman"/>
                <w:color w:val="000000" w:themeColor="text1"/>
                <w:sz w:val="20"/>
                <w:szCs w:val="20"/>
                <w:vertAlign w:val="superscript"/>
                <w:lang w:val="ro-RO" w:eastAsia="ro-MD"/>
              </w:rPr>
              <w:t>2</w:t>
            </w:r>
            <w:r w:rsidRPr="005C3300">
              <w:rPr>
                <w:rFonts w:ascii="Times New Roman" w:eastAsia="Times New Roman" w:hAnsi="Times New Roman" w:cs="Times New Roman"/>
                <w:color w:val="000000" w:themeColor="text1"/>
                <w:sz w:val="20"/>
                <w:szCs w:val="20"/>
                <w:lang w:val="ro-RO" w:eastAsia="ro-MD"/>
              </w:rPr>
              <w:t>)</w:t>
            </w:r>
            <w:r>
              <w:rPr>
                <w:rFonts w:ascii="Times New Roman" w:eastAsia="Times New Roman" w:hAnsi="Times New Roman" w:cs="Times New Roman"/>
                <w:color w:val="000000" w:themeColor="text1"/>
                <w:sz w:val="20"/>
                <w:szCs w:val="20"/>
                <w:lang w:val="ro-RO" w:eastAsia="ro-MD"/>
              </w:rPr>
              <w:t xml:space="preserve"> </w:t>
            </w:r>
            <w:r w:rsidRPr="005C3300">
              <w:rPr>
                <w:rFonts w:ascii="Times New Roman" w:eastAsia="Times New Roman" w:hAnsi="Times New Roman" w:cs="Times New Roman"/>
                <w:color w:val="000000" w:themeColor="text1"/>
                <w:sz w:val="20"/>
                <w:szCs w:val="20"/>
                <w:lang w:val="ro-RO" w:eastAsia="ro-MD"/>
              </w:rPr>
              <w:t>alte întreprinderi financiare care reprezintă o întreprindere de asigurare sau de reasigurare, un holding de asigurare sau un holding financiar mixt, dacă expunerilor față de acestea li se atribuie o pondere de risc de 20 % conform abordării standardizate, sau întreprinderi care, în cazul băncilor care calculează valorile ponderate la risc ale expunerilor și cuantumurile pierderilor așteptate conform abordării IRB, nu au o evaluare a creditului efectuată de o ECAI recunoscută și sunt evaluate intern de către bancă;</w:t>
            </w:r>
          </w:p>
          <w:p w14:paraId="210B8B0A" w14:textId="3F1E54D2" w:rsidR="009C4164" w:rsidRPr="005C3300" w:rsidRDefault="009C4164" w:rsidP="009C4164">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3) OPC-urile reglementate care fac obiectul cerințelor de capital sau de îndatorare;</w:t>
            </w:r>
            <w:r w:rsidRPr="009C4164">
              <w:rPr>
                <w:rFonts w:ascii="Times New Roman" w:eastAsia="Times New Roman" w:hAnsi="Times New Roman" w:cs="Times New Roman"/>
                <w:color w:val="000000" w:themeColor="text1"/>
                <w:sz w:val="20"/>
                <w:szCs w:val="20"/>
                <w:highlight w:val="lightGray"/>
                <w:lang w:val="ro-RO" w:eastAsia="ro-MD"/>
              </w:rPr>
              <w:t xml:space="preserve"> </w:t>
            </w:r>
          </w:p>
          <w:p w14:paraId="52E1C092" w14:textId="472E7736" w:rsidR="009C4164" w:rsidRPr="005C3300" w:rsidRDefault="009C4164" w:rsidP="009C4164">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4) fonduri de pensii reglementate;</w:t>
            </w:r>
          </w:p>
          <w:p w14:paraId="7A155ABB" w14:textId="77777777" w:rsidR="00D62F3C" w:rsidRDefault="009C4164" w:rsidP="009C4164">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color w:val="000000" w:themeColor="text1"/>
                <w:sz w:val="20"/>
                <w:szCs w:val="20"/>
                <w:lang w:val="ro-RO" w:eastAsia="ro-MD"/>
              </w:rPr>
              <w:t>5) organizații de compensare recunoscute.</w:t>
            </w:r>
          </w:p>
          <w:p w14:paraId="66F0664C" w14:textId="7978380A" w:rsidR="009C4164" w:rsidRPr="009C4164" w:rsidRDefault="009C4164" w:rsidP="009C4164">
            <w:pPr>
              <w:spacing w:after="0"/>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F914F7F" w14:textId="1B7DD6E0" w:rsidR="00D62F3C" w:rsidRPr="002C32BA" w:rsidRDefault="00D549D8"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00D62F3C" w:rsidRPr="002C32BA">
              <w:rPr>
                <w:rFonts w:ascii="Times New Roman" w:hAnsi="Times New Roman" w:cs="Times New Roman"/>
                <w:sz w:val="20"/>
                <w:szCs w:val="20"/>
                <w:lang w:val="ro-RO"/>
              </w:rPr>
              <w:t>ompatibil</w:t>
            </w:r>
          </w:p>
        </w:tc>
        <w:tc>
          <w:tcPr>
            <w:tcW w:w="885" w:type="pct"/>
          </w:tcPr>
          <w:p w14:paraId="4949C94F" w14:textId="06EAA0C9"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1D894BB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7932C0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228</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Calculul cuantumurilor ponderate la risc ale expunerilor și al cuantumurilor pierderilor așteptate în cadrul metodei extinse a garanțiilor financiare</w:t>
            </w:r>
          </w:p>
          <w:p w14:paraId="040DFBBE" w14:textId="77777777" w:rsidR="00D62F3C" w:rsidRPr="002C32BA" w:rsidRDefault="00D62F3C" w:rsidP="00D62F3C">
            <w:pPr>
              <w:rPr>
                <w:rFonts w:ascii="Times New Roman" w:hAnsi="Times New Roman" w:cs="Times New Roman"/>
                <w:sz w:val="20"/>
                <w:szCs w:val="20"/>
                <w:lang w:val="ro-RO"/>
              </w:rPr>
            </w:pPr>
          </w:p>
          <w:p w14:paraId="277F55A8" w14:textId="420DDF06" w:rsidR="00D62F3C" w:rsidRPr="002C32BA" w:rsidRDefault="00D62F3C" w:rsidP="00E66CA4">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În cadrul abordării standardizate, instituțiile trebuie să utilizeze valoarea E* calculată în conformitate cu articolul 223 alineatul (5) ca valoare a expunerii pentru scopul articolului 113. În cazul elementelor </w:t>
            </w:r>
            <w:proofErr w:type="spellStart"/>
            <w:r w:rsidRPr="002C32BA">
              <w:rPr>
                <w:rFonts w:ascii="Times New Roman" w:hAnsi="Times New Roman"/>
                <w:iCs/>
                <w:sz w:val="20"/>
                <w:szCs w:val="20"/>
                <w:lang w:val="ro-RO" w:eastAsia="ru-RU"/>
              </w:rPr>
              <w:t>extrabilanțiere</w:t>
            </w:r>
            <w:proofErr w:type="spellEnd"/>
            <w:r w:rsidRPr="002C32BA">
              <w:rPr>
                <w:rFonts w:ascii="Times New Roman" w:hAnsi="Times New Roman"/>
                <w:iCs/>
                <w:sz w:val="20"/>
                <w:szCs w:val="20"/>
                <w:lang w:val="ro-RO" w:eastAsia="ru-RU"/>
              </w:rPr>
              <w:t xml:space="preserve"> menționate în anexa I, instituțiile trebuie să utilizeze E* ca valoare la care se aplică procentele indicate la articolul 111 alineatul (1) pentru a obține valoarea expunerii.</w:t>
            </w:r>
          </w:p>
        </w:tc>
        <w:tc>
          <w:tcPr>
            <w:tcW w:w="1636" w:type="pct"/>
            <w:shd w:val="clear" w:color="auto" w:fill="auto"/>
          </w:tcPr>
          <w:p w14:paraId="43E9964A" w14:textId="23A5E1E6" w:rsidR="00D549D8" w:rsidRPr="00D549D8" w:rsidRDefault="00D62F3C" w:rsidP="00D549D8">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Secțiunea a 9-a. </w:t>
            </w:r>
            <w:r w:rsidR="00D549D8" w:rsidRPr="00D549D8">
              <w:rPr>
                <w:rFonts w:ascii="Times New Roman" w:hAnsi="Times New Roman"/>
                <w:sz w:val="20"/>
                <w:szCs w:val="20"/>
                <w:lang w:val="ro-RO" w:eastAsia="ru-RU"/>
              </w:rPr>
              <w:t>Calculul valorilor ponderate la risc ale expunerilor în cadrul</w:t>
            </w:r>
            <w:r w:rsidR="00D549D8">
              <w:rPr>
                <w:rFonts w:ascii="Times New Roman" w:hAnsi="Times New Roman"/>
                <w:sz w:val="20"/>
                <w:szCs w:val="20"/>
                <w:lang w:val="ro-RO" w:eastAsia="ru-RU"/>
              </w:rPr>
              <w:t xml:space="preserve"> </w:t>
            </w:r>
            <w:r w:rsidR="00D549D8" w:rsidRPr="00D549D8">
              <w:rPr>
                <w:rFonts w:ascii="Times New Roman" w:hAnsi="Times New Roman"/>
                <w:sz w:val="20"/>
                <w:szCs w:val="20"/>
                <w:lang w:val="ro-RO" w:eastAsia="ru-RU"/>
              </w:rPr>
              <w:t>metodei extinse a garanțiilor financiare pentru expunerile tratate conform abordării standardizate</w:t>
            </w:r>
          </w:p>
          <w:p w14:paraId="0465954A" w14:textId="5079FABB" w:rsidR="00D62F3C" w:rsidRPr="002C32BA" w:rsidRDefault="00D549D8" w:rsidP="00D549D8">
            <w:pPr>
              <w:pStyle w:val="CM4"/>
              <w:tabs>
                <w:tab w:val="left" w:pos="150"/>
              </w:tabs>
              <w:ind w:left="-36"/>
              <w:rPr>
                <w:rFonts w:ascii="Times New Roman" w:hAnsi="Times New Roman"/>
                <w:sz w:val="20"/>
                <w:szCs w:val="20"/>
                <w:lang w:val="ro-RO" w:eastAsia="ru-RU"/>
              </w:rPr>
            </w:pPr>
            <w:r w:rsidRPr="00D549D8">
              <w:rPr>
                <w:rFonts w:ascii="Times New Roman" w:hAnsi="Times New Roman"/>
                <w:b/>
                <w:bCs/>
                <w:sz w:val="20"/>
                <w:szCs w:val="20"/>
                <w:lang w:val="ro-RO" w:eastAsia="ru-RU"/>
              </w:rPr>
              <w:t>106</w:t>
            </w:r>
            <w:r w:rsidRPr="00D549D8">
              <w:rPr>
                <w:rFonts w:ascii="Times New Roman" w:hAnsi="Times New Roman"/>
                <w:sz w:val="20"/>
                <w:szCs w:val="20"/>
                <w:lang w:val="ro-RO" w:eastAsia="ru-RU"/>
              </w:rPr>
              <w:t>. În cadrul abordării standardizate, băncile trebuie să utilizeze valoarea ajustată integral a expunerii (E*)</w:t>
            </w:r>
            <w:r>
              <w:rPr>
                <w:rFonts w:ascii="Times New Roman" w:hAnsi="Times New Roman"/>
                <w:sz w:val="20"/>
                <w:szCs w:val="20"/>
                <w:lang w:val="ro-RO" w:eastAsia="ru-RU"/>
              </w:rPr>
              <w:t xml:space="preserve"> </w:t>
            </w:r>
            <w:r w:rsidRPr="00D549D8">
              <w:rPr>
                <w:rFonts w:ascii="Times New Roman" w:hAnsi="Times New Roman"/>
                <w:sz w:val="20"/>
                <w:szCs w:val="20"/>
                <w:lang w:val="ro-RO" w:eastAsia="ru-RU"/>
              </w:rPr>
              <w:t>calculată în conformitate cu punctul 92 ca valoare a expunerii pentru scopul Regulamentului nr.111/2018</w:t>
            </w:r>
            <w:r w:rsidR="00D62F3C" w:rsidRPr="002C32BA">
              <w:rPr>
                <w:rFonts w:ascii="Times New Roman" w:hAnsi="Times New Roman"/>
                <w:sz w:val="20"/>
                <w:szCs w:val="20"/>
                <w:lang w:val="ro-RO" w:eastAsia="ru-RU"/>
              </w:rPr>
              <w:t>.</w:t>
            </w:r>
          </w:p>
          <w:p w14:paraId="34539A20" w14:textId="77777777" w:rsidR="00D62F3C" w:rsidRDefault="00D62F3C" w:rsidP="00D62F3C">
            <w:pPr>
              <w:pStyle w:val="CM4"/>
              <w:tabs>
                <w:tab w:val="left" w:pos="150"/>
              </w:tabs>
              <w:ind w:left="-36"/>
              <w:rPr>
                <w:rFonts w:ascii="Times New Roman" w:hAnsi="Times New Roman"/>
                <w:sz w:val="20"/>
                <w:szCs w:val="20"/>
                <w:lang w:val="ro-RO" w:eastAsia="ru-RU"/>
              </w:rPr>
            </w:pPr>
            <w:r w:rsidRPr="00D549D8">
              <w:rPr>
                <w:rFonts w:ascii="Times New Roman" w:hAnsi="Times New Roman"/>
                <w:b/>
                <w:bCs/>
                <w:sz w:val="20"/>
                <w:szCs w:val="20"/>
                <w:lang w:val="ro-RO" w:eastAsia="ru-RU"/>
              </w:rPr>
              <w:t>107.</w:t>
            </w:r>
            <w:r w:rsidRPr="002C32BA">
              <w:rPr>
                <w:rFonts w:ascii="Times New Roman" w:hAnsi="Times New Roman"/>
                <w:sz w:val="20"/>
                <w:szCs w:val="20"/>
                <w:lang w:val="ro-RO" w:eastAsia="ru-RU"/>
              </w:rPr>
              <w:t xml:space="preserve"> În cazul elementelor </w:t>
            </w:r>
            <w:proofErr w:type="spellStart"/>
            <w:r w:rsidRPr="002C32BA">
              <w:rPr>
                <w:rFonts w:ascii="Times New Roman" w:hAnsi="Times New Roman"/>
                <w:sz w:val="20"/>
                <w:szCs w:val="20"/>
                <w:lang w:val="ro-RO" w:eastAsia="ru-RU"/>
              </w:rPr>
              <w:t>extrabilanțiere</w:t>
            </w:r>
            <w:proofErr w:type="spellEnd"/>
            <w:r w:rsidRPr="002C32BA">
              <w:rPr>
                <w:rFonts w:ascii="Times New Roman" w:hAnsi="Times New Roman"/>
                <w:sz w:val="20"/>
                <w:szCs w:val="20"/>
                <w:lang w:val="ro-RO" w:eastAsia="ru-RU"/>
              </w:rPr>
              <w:t xml:space="preserve"> băncile trebuie să utilizeze valoarea ajustată integral a expunerii (E*) ca valoare la care trebuie să fie aplicate procentele indicate în actul normativ al Băncii Naționale a Moldovei aferent tratamentului riscului de credit pentru bănci potrivit abordării standardizate pentru a obține valoarea expunerii.</w:t>
            </w:r>
          </w:p>
          <w:p w14:paraId="481CE36A" w14:textId="1D7BC5D0" w:rsidR="00D549D8" w:rsidRPr="00D549D8" w:rsidRDefault="00D549D8" w:rsidP="00D549D8">
            <w:pPr>
              <w:spacing w:after="0"/>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174D47CE"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0AC86BB4" w14:textId="25B5C493"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45D87EE7"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69B0F4F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DFB9184" w14:textId="52E5CF49" w:rsidR="00D62F3C"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Articolul 229</w:t>
            </w:r>
            <w:r w:rsidRPr="002C32BA">
              <w:rPr>
                <w:rFonts w:ascii="Times New Roman" w:hAnsi="Times New Roman"/>
                <w:iCs/>
                <w:sz w:val="20"/>
                <w:szCs w:val="20"/>
                <w:lang w:val="ro-RO" w:eastAsia="ru-RU"/>
              </w:rPr>
              <w:t xml:space="preserve"> </w:t>
            </w:r>
            <w:r w:rsidR="00043E2B" w:rsidRPr="00043E2B">
              <w:rPr>
                <w:rFonts w:ascii="Times New Roman" w:hAnsi="Times New Roman"/>
                <w:b/>
                <w:iCs/>
                <w:sz w:val="20"/>
                <w:szCs w:val="20"/>
                <w:lang w:val="ro-RO" w:eastAsia="ru-RU"/>
              </w:rPr>
              <w:t>Principii de evaluare pentru garanțiile reale eligibile, altele decât garanțiile financiare</w:t>
            </w:r>
          </w:p>
          <w:p w14:paraId="5B72CC8A" w14:textId="586C9386" w:rsidR="00043E2B" w:rsidRPr="00043E2B" w:rsidRDefault="00043E2B" w:rsidP="00043E2B">
            <w:pPr>
              <w:rPr>
                <w:lang w:val="ro-RO" w:eastAsia="ru-RU"/>
              </w:rPr>
            </w:pPr>
            <w:r>
              <w:rPr>
                <w:rFonts w:ascii="Times New Roman" w:eastAsia="Times New Roman" w:hAnsi="Times New Roman" w:cs="Times New Roman"/>
                <w:i/>
                <w:iCs/>
                <w:sz w:val="20"/>
                <w:szCs w:val="20"/>
                <w:lang w:val="ro-RO" w:eastAsia="ru-RU"/>
              </w:rPr>
              <w:t>M17</w:t>
            </w:r>
          </w:p>
          <w:p w14:paraId="4FB65F24" w14:textId="77777777" w:rsidR="00043E2B" w:rsidRPr="00043E2B" w:rsidRDefault="00043E2B" w:rsidP="00043E2B">
            <w:pPr>
              <w:pStyle w:val="CM4"/>
              <w:tabs>
                <w:tab w:val="left" w:pos="150"/>
              </w:tabs>
              <w:ind w:left="-43"/>
              <w:jc w:val="both"/>
              <w:rPr>
                <w:rFonts w:ascii="Times New Roman" w:hAnsi="Times New Roman"/>
                <w:iCs/>
                <w:sz w:val="20"/>
                <w:szCs w:val="20"/>
                <w:lang w:val="ro-RO" w:eastAsia="ru-RU"/>
              </w:rPr>
            </w:pPr>
            <w:r w:rsidRPr="00043E2B">
              <w:rPr>
                <w:rFonts w:ascii="Times New Roman" w:hAnsi="Times New Roman"/>
                <w:iCs/>
                <w:sz w:val="20"/>
                <w:szCs w:val="20"/>
                <w:lang w:val="ro-RO" w:eastAsia="ru-RU"/>
              </w:rPr>
              <w:t>(1)   Evaluarea bunurilor imobile trebuie să îndeplinească toate cerințele următoare:</w:t>
            </w:r>
          </w:p>
          <w:p w14:paraId="3FFC55B1" w14:textId="1B0A8232" w:rsidR="00043E2B" w:rsidRPr="00043E2B" w:rsidRDefault="00043E2B" w:rsidP="00043E2B">
            <w:pPr>
              <w:pStyle w:val="CM4"/>
              <w:tabs>
                <w:tab w:val="left" w:pos="150"/>
              </w:tabs>
              <w:ind w:left="-43"/>
              <w:jc w:val="both"/>
              <w:rPr>
                <w:rFonts w:ascii="Times New Roman" w:hAnsi="Times New Roman"/>
                <w:iCs/>
                <w:sz w:val="20"/>
                <w:szCs w:val="20"/>
                <w:lang w:val="ro-RO" w:eastAsia="ru-RU"/>
              </w:rPr>
            </w:pPr>
            <w:r w:rsidRPr="00043E2B">
              <w:rPr>
                <w:rFonts w:ascii="Times New Roman" w:hAnsi="Times New Roman"/>
                <w:iCs/>
                <w:sz w:val="20"/>
                <w:szCs w:val="20"/>
                <w:lang w:val="ro-RO" w:eastAsia="ru-RU"/>
              </w:rPr>
              <w:t>(a) valoarea este evaluată independent de procesul desfășurat de instituție pentru realizarea achiziției ipotecare, de procesarea creditului și de procesul de luare a deciziei în ceea ce privește creditul, de către un evaluator independent care deține calificările, capacitatea și experiența necesare pentru a efectua o evaluare;</w:t>
            </w:r>
          </w:p>
          <w:p w14:paraId="15FE60E8" w14:textId="08E10683" w:rsidR="00043E2B" w:rsidRPr="00043E2B" w:rsidRDefault="00043E2B" w:rsidP="00043E2B">
            <w:pPr>
              <w:pStyle w:val="CM4"/>
              <w:tabs>
                <w:tab w:val="left" w:pos="150"/>
              </w:tabs>
              <w:ind w:left="-43"/>
              <w:jc w:val="both"/>
              <w:rPr>
                <w:rFonts w:ascii="Times New Roman" w:hAnsi="Times New Roman"/>
                <w:iCs/>
                <w:sz w:val="20"/>
                <w:szCs w:val="20"/>
                <w:lang w:val="ro-RO" w:eastAsia="ru-RU"/>
              </w:rPr>
            </w:pPr>
            <w:r w:rsidRPr="00043E2B">
              <w:rPr>
                <w:rFonts w:ascii="Times New Roman" w:hAnsi="Times New Roman"/>
                <w:iCs/>
                <w:sz w:val="20"/>
                <w:szCs w:val="20"/>
                <w:lang w:val="ro-RO" w:eastAsia="ru-RU"/>
              </w:rPr>
              <w:t>(b) valoarea este evaluată pe baza unor criterii de evaluare prudente, care îndeplinesc toate cerințele următoare:</w:t>
            </w:r>
          </w:p>
          <w:p w14:paraId="5ACADEFD" w14:textId="6BA08A28" w:rsidR="00043E2B" w:rsidRPr="00043E2B" w:rsidRDefault="00043E2B" w:rsidP="00043E2B">
            <w:pPr>
              <w:pStyle w:val="CM4"/>
              <w:tabs>
                <w:tab w:val="left" w:pos="150"/>
              </w:tabs>
              <w:ind w:left="-43"/>
              <w:jc w:val="both"/>
              <w:rPr>
                <w:rFonts w:ascii="Times New Roman" w:hAnsi="Times New Roman"/>
                <w:iCs/>
                <w:sz w:val="20"/>
                <w:szCs w:val="20"/>
                <w:lang w:val="ro-RO" w:eastAsia="ru-RU"/>
              </w:rPr>
            </w:pPr>
            <w:r w:rsidRPr="00043E2B">
              <w:rPr>
                <w:rFonts w:ascii="Times New Roman" w:hAnsi="Times New Roman"/>
                <w:iCs/>
                <w:sz w:val="20"/>
                <w:szCs w:val="20"/>
                <w:lang w:val="ro-RO" w:eastAsia="ru-RU"/>
              </w:rPr>
              <w:t>(i) valoarea nu ține seama de așteptările de creștere a prețului;</w:t>
            </w:r>
          </w:p>
          <w:p w14:paraId="5093D37B" w14:textId="1024B781" w:rsidR="00043E2B" w:rsidRDefault="00043E2B" w:rsidP="00043E2B">
            <w:pPr>
              <w:pStyle w:val="CM4"/>
              <w:tabs>
                <w:tab w:val="left" w:pos="150"/>
              </w:tabs>
              <w:ind w:left="-43"/>
              <w:jc w:val="both"/>
              <w:rPr>
                <w:rFonts w:ascii="Times New Roman" w:hAnsi="Times New Roman"/>
                <w:iCs/>
                <w:sz w:val="20"/>
                <w:szCs w:val="20"/>
                <w:lang w:val="ro-RO" w:eastAsia="ru-RU"/>
              </w:rPr>
            </w:pPr>
            <w:r w:rsidRPr="00043E2B">
              <w:rPr>
                <w:rFonts w:ascii="Times New Roman" w:hAnsi="Times New Roman"/>
                <w:iCs/>
                <w:sz w:val="20"/>
                <w:szCs w:val="20"/>
                <w:lang w:val="ro-RO" w:eastAsia="ru-RU"/>
              </w:rPr>
              <w:t>(ii) valoarea este ajustată pentru a ține seama de potențialul ca valoarea de piață curentă să fie cu mult peste valoarea care ar fi sustenabilă pe durata împrumutului;</w:t>
            </w:r>
          </w:p>
          <w:p w14:paraId="6060E141" w14:textId="77777777" w:rsidR="00043E2B" w:rsidRDefault="00043E2B" w:rsidP="00043E2B">
            <w:pPr>
              <w:rPr>
                <w:lang w:val="ro-RO" w:eastAsia="ru-RU"/>
              </w:rPr>
            </w:pPr>
          </w:p>
          <w:p w14:paraId="754917BB" w14:textId="77777777" w:rsidR="00043E2B" w:rsidRPr="00043E2B" w:rsidRDefault="00043E2B" w:rsidP="00043E2B">
            <w:pPr>
              <w:rPr>
                <w:lang w:val="ro-RO" w:eastAsia="ru-RU"/>
              </w:rPr>
            </w:pPr>
          </w:p>
          <w:p w14:paraId="3F70B055" w14:textId="3F7F4271" w:rsidR="00043E2B" w:rsidRDefault="00043E2B" w:rsidP="00043E2B">
            <w:pPr>
              <w:pStyle w:val="CM4"/>
              <w:tabs>
                <w:tab w:val="left" w:pos="150"/>
              </w:tabs>
              <w:ind w:left="-43"/>
              <w:jc w:val="both"/>
              <w:rPr>
                <w:rFonts w:ascii="Times New Roman" w:hAnsi="Times New Roman"/>
                <w:iCs/>
                <w:sz w:val="20"/>
                <w:szCs w:val="20"/>
                <w:lang w:val="ro-RO" w:eastAsia="ru-RU"/>
              </w:rPr>
            </w:pPr>
            <w:r w:rsidRPr="00043E2B">
              <w:rPr>
                <w:rFonts w:ascii="Times New Roman" w:hAnsi="Times New Roman"/>
                <w:iCs/>
                <w:sz w:val="20"/>
                <w:szCs w:val="20"/>
                <w:lang w:val="ro-RO" w:eastAsia="ru-RU"/>
              </w:rPr>
              <w:t>(c) valoarea este documentată într-un mod transparent și clar;</w:t>
            </w:r>
          </w:p>
          <w:p w14:paraId="37A1FA71" w14:textId="3BC38B4F" w:rsidR="00043E2B" w:rsidRPr="00043E2B" w:rsidRDefault="00043E2B" w:rsidP="00043E2B">
            <w:pPr>
              <w:pStyle w:val="CM4"/>
              <w:tabs>
                <w:tab w:val="left" w:pos="150"/>
              </w:tabs>
              <w:ind w:left="-43"/>
              <w:jc w:val="both"/>
              <w:rPr>
                <w:rFonts w:ascii="Times New Roman" w:hAnsi="Times New Roman"/>
                <w:iCs/>
                <w:sz w:val="20"/>
                <w:szCs w:val="20"/>
                <w:lang w:val="ro-RO" w:eastAsia="ru-RU"/>
              </w:rPr>
            </w:pPr>
            <w:r w:rsidRPr="00043E2B">
              <w:rPr>
                <w:rFonts w:ascii="Times New Roman" w:hAnsi="Times New Roman"/>
                <w:iCs/>
                <w:sz w:val="20"/>
                <w:szCs w:val="20"/>
                <w:lang w:val="ro-RO" w:eastAsia="ru-RU"/>
              </w:rPr>
              <w:t>(d) valoarea nu este mai mare decât o valoare de piață a bunului imobil, în cazul în care poate fi determinată o astfel de valoare de piață;</w:t>
            </w:r>
          </w:p>
          <w:p w14:paraId="089C92B8" w14:textId="57C4269F" w:rsidR="00D62F3C" w:rsidRPr="002C32BA" w:rsidRDefault="00043E2B" w:rsidP="00043E2B">
            <w:pPr>
              <w:pStyle w:val="CM4"/>
              <w:tabs>
                <w:tab w:val="left" w:pos="150"/>
              </w:tabs>
              <w:ind w:left="-43"/>
              <w:jc w:val="both"/>
              <w:rPr>
                <w:rFonts w:ascii="Times New Roman" w:hAnsi="Times New Roman"/>
                <w:iCs/>
                <w:sz w:val="20"/>
                <w:szCs w:val="20"/>
                <w:lang w:val="ro-RO" w:eastAsia="ru-RU"/>
              </w:rPr>
            </w:pPr>
            <w:r w:rsidRPr="00043E2B">
              <w:rPr>
                <w:rFonts w:ascii="Times New Roman" w:hAnsi="Times New Roman"/>
                <w:iCs/>
                <w:sz w:val="20"/>
                <w:szCs w:val="20"/>
                <w:lang w:val="ro-RO" w:eastAsia="ru-RU"/>
              </w:rPr>
              <w:t xml:space="preserve">(e) în cazul reevaluării bunului imobil, valoarea acestuia nu poate să depășească valoarea medie determinată pentru bunul respectiv, sau pentru un bun imobil comparabil în ultimii șase ani în cazul bunurilor imobile locative ori opt ani în cazul bunurilor imobile comerciale, sau valoarea în momentul inițierii, </w:t>
            </w:r>
            <w:proofErr w:type="spellStart"/>
            <w:r w:rsidRPr="00043E2B">
              <w:rPr>
                <w:rFonts w:ascii="Times New Roman" w:hAnsi="Times New Roman"/>
                <w:iCs/>
                <w:sz w:val="20"/>
                <w:szCs w:val="20"/>
                <w:lang w:val="ro-RO" w:eastAsia="ru-RU"/>
              </w:rPr>
              <w:t>optându-se</w:t>
            </w:r>
            <w:proofErr w:type="spellEnd"/>
            <w:r w:rsidRPr="00043E2B">
              <w:rPr>
                <w:rFonts w:ascii="Times New Roman" w:hAnsi="Times New Roman"/>
                <w:iCs/>
                <w:sz w:val="20"/>
                <w:szCs w:val="20"/>
                <w:lang w:val="ro-RO" w:eastAsia="ru-RU"/>
              </w:rPr>
              <w:t xml:space="preserve"> pentru valoarea mai mare dintre cele două.</w:t>
            </w:r>
          </w:p>
        </w:tc>
        <w:tc>
          <w:tcPr>
            <w:tcW w:w="1636" w:type="pct"/>
            <w:shd w:val="clear" w:color="auto" w:fill="auto"/>
          </w:tcPr>
          <w:p w14:paraId="62051884" w14:textId="77777777" w:rsidR="00043E2B" w:rsidRPr="00043E2B" w:rsidRDefault="00043E2B" w:rsidP="00043E2B">
            <w:pPr>
              <w:pStyle w:val="title-article-norm"/>
              <w:shd w:val="clear" w:color="auto" w:fill="FFFFFF"/>
              <w:spacing w:before="0" w:after="0" w:line="312" w:lineRule="atLeast"/>
              <w:jc w:val="both"/>
              <w:rPr>
                <w:rFonts w:eastAsia="Arial Unicode MS"/>
                <w:i w:val="0"/>
                <w:iCs w:val="0"/>
                <w:color w:val="000000" w:themeColor="text1"/>
                <w:sz w:val="20"/>
                <w:szCs w:val="20"/>
              </w:rPr>
            </w:pPr>
            <w:r w:rsidRPr="00043E2B">
              <w:rPr>
                <w:b/>
                <w:bCs/>
                <w:i w:val="0"/>
                <w:iCs w:val="0"/>
                <w:color w:val="000000" w:themeColor="text1"/>
                <w:sz w:val="20"/>
                <w:szCs w:val="20"/>
                <w:lang w:val="ro-RO"/>
              </w:rPr>
              <w:t>107</w:t>
            </w:r>
            <w:r w:rsidRPr="00043E2B">
              <w:rPr>
                <w:b/>
                <w:bCs/>
                <w:i w:val="0"/>
                <w:iCs w:val="0"/>
                <w:color w:val="000000" w:themeColor="text1"/>
                <w:sz w:val="20"/>
                <w:szCs w:val="20"/>
                <w:vertAlign w:val="superscript"/>
                <w:lang w:val="ro-RO"/>
              </w:rPr>
              <w:t>1</w:t>
            </w:r>
            <w:r w:rsidRPr="00043E2B">
              <w:rPr>
                <w:b/>
                <w:bCs/>
                <w:i w:val="0"/>
                <w:iCs w:val="0"/>
                <w:color w:val="000000" w:themeColor="text1"/>
                <w:sz w:val="20"/>
                <w:szCs w:val="20"/>
                <w:lang w:val="ro-RO"/>
              </w:rPr>
              <w:t xml:space="preserve">. </w:t>
            </w:r>
            <w:proofErr w:type="spellStart"/>
            <w:r w:rsidRPr="00043E2B">
              <w:rPr>
                <w:rFonts w:eastAsia="Arial Unicode MS"/>
                <w:i w:val="0"/>
                <w:iCs w:val="0"/>
                <w:color w:val="000000" w:themeColor="text1"/>
                <w:sz w:val="20"/>
                <w:szCs w:val="20"/>
              </w:rPr>
              <w:t>Evaluarea</w:t>
            </w:r>
            <w:proofErr w:type="spellEnd"/>
            <w:r w:rsidRPr="00043E2B">
              <w:rPr>
                <w:rFonts w:eastAsia="Arial Unicode MS"/>
                <w:i w:val="0"/>
                <w:iCs w:val="0"/>
                <w:color w:val="000000" w:themeColor="text1"/>
                <w:sz w:val="20"/>
                <w:szCs w:val="20"/>
              </w:rPr>
              <w:t xml:space="preserve"> </w:t>
            </w:r>
            <w:proofErr w:type="spellStart"/>
            <w:r w:rsidRPr="00043E2B">
              <w:rPr>
                <w:rFonts w:eastAsia="Arial Unicode MS"/>
                <w:i w:val="0"/>
                <w:iCs w:val="0"/>
                <w:color w:val="000000" w:themeColor="text1"/>
                <w:sz w:val="20"/>
                <w:szCs w:val="20"/>
              </w:rPr>
              <w:t>bunurilor</w:t>
            </w:r>
            <w:proofErr w:type="spellEnd"/>
            <w:r w:rsidRPr="00043E2B">
              <w:rPr>
                <w:rFonts w:eastAsia="Arial Unicode MS"/>
                <w:i w:val="0"/>
                <w:iCs w:val="0"/>
                <w:color w:val="000000" w:themeColor="text1"/>
                <w:sz w:val="20"/>
                <w:szCs w:val="20"/>
              </w:rPr>
              <w:t xml:space="preserve"> </w:t>
            </w:r>
            <w:proofErr w:type="spellStart"/>
            <w:r w:rsidRPr="00043E2B">
              <w:rPr>
                <w:rFonts w:eastAsia="Arial Unicode MS"/>
                <w:i w:val="0"/>
                <w:iCs w:val="0"/>
                <w:color w:val="000000" w:themeColor="text1"/>
                <w:sz w:val="20"/>
                <w:szCs w:val="20"/>
              </w:rPr>
              <w:t>imobile</w:t>
            </w:r>
            <w:proofErr w:type="spellEnd"/>
            <w:r w:rsidRPr="00043E2B">
              <w:rPr>
                <w:rFonts w:eastAsia="Arial Unicode MS"/>
                <w:i w:val="0"/>
                <w:iCs w:val="0"/>
                <w:color w:val="000000" w:themeColor="text1"/>
                <w:sz w:val="20"/>
                <w:szCs w:val="20"/>
              </w:rPr>
              <w:t xml:space="preserve"> </w:t>
            </w:r>
            <w:proofErr w:type="spellStart"/>
            <w:r w:rsidRPr="00043E2B">
              <w:rPr>
                <w:rFonts w:eastAsia="Arial Unicode MS"/>
                <w:i w:val="0"/>
                <w:iCs w:val="0"/>
                <w:color w:val="000000" w:themeColor="text1"/>
                <w:sz w:val="20"/>
                <w:szCs w:val="20"/>
              </w:rPr>
              <w:t>trebuie</w:t>
            </w:r>
            <w:proofErr w:type="spellEnd"/>
            <w:r w:rsidRPr="00043E2B">
              <w:rPr>
                <w:rFonts w:eastAsia="Arial Unicode MS"/>
                <w:i w:val="0"/>
                <w:iCs w:val="0"/>
                <w:color w:val="000000" w:themeColor="text1"/>
                <w:sz w:val="20"/>
                <w:szCs w:val="20"/>
              </w:rPr>
              <w:t xml:space="preserve"> </w:t>
            </w:r>
            <w:proofErr w:type="spellStart"/>
            <w:r w:rsidRPr="00043E2B">
              <w:rPr>
                <w:rFonts w:eastAsia="Arial Unicode MS"/>
                <w:i w:val="0"/>
                <w:iCs w:val="0"/>
                <w:color w:val="000000" w:themeColor="text1"/>
                <w:sz w:val="20"/>
                <w:szCs w:val="20"/>
              </w:rPr>
              <w:t>să</w:t>
            </w:r>
            <w:proofErr w:type="spellEnd"/>
            <w:r w:rsidRPr="00043E2B">
              <w:rPr>
                <w:rFonts w:eastAsia="Arial Unicode MS"/>
                <w:i w:val="0"/>
                <w:iCs w:val="0"/>
                <w:color w:val="000000" w:themeColor="text1"/>
                <w:sz w:val="20"/>
                <w:szCs w:val="20"/>
              </w:rPr>
              <w:t xml:space="preserve"> </w:t>
            </w:r>
            <w:proofErr w:type="spellStart"/>
            <w:r w:rsidRPr="00043E2B">
              <w:rPr>
                <w:rFonts w:eastAsia="Arial Unicode MS"/>
                <w:i w:val="0"/>
                <w:iCs w:val="0"/>
                <w:color w:val="000000" w:themeColor="text1"/>
                <w:sz w:val="20"/>
                <w:szCs w:val="20"/>
              </w:rPr>
              <w:t>îndeplinească</w:t>
            </w:r>
            <w:proofErr w:type="spellEnd"/>
            <w:r w:rsidRPr="00043E2B">
              <w:rPr>
                <w:rFonts w:eastAsia="Arial Unicode MS"/>
                <w:i w:val="0"/>
                <w:iCs w:val="0"/>
                <w:color w:val="000000" w:themeColor="text1"/>
                <w:sz w:val="20"/>
                <w:szCs w:val="20"/>
              </w:rPr>
              <w:t xml:space="preserve"> </w:t>
            </w:r>
            <w:proofErr w:type="spellStart"/>
            <w:r w:rsidRPr="00043E2B">
              <w:rPr>
                <w:rFonts w:eastAsia="Arial Unicode MS"/>
                <w:i w:val="0"/>
                <w:iCs w:val="0"/>
                <w:color w:val="000000" w:themeColor="text1"/>
                <w:sz w:val="20"/>
                <w:szCs w:val="20"/>
              </w:rPr>
              <w:t>cumulativ</w:t>
            </w:r>
            <w:proofErr w:type="spellEnd"/>
            <w:r w:rsidRPr="00043E2B">
              <w:rPr>
                <w:rFonts w:eastAsia="Arial Unicode MS"/>
                <w:i w:val="0"/>
                <w:iCs w:val="0"/>
                <w:color w:val="000000" w:themeColor="text1"/>
                <w:sz w:val="20"/>
                <w:szCs w:val="20"/>
              </w:rPr>
              <w:t xml:space="preserve"> </w:t>
            </w:r>
            <w:proofErr w:type="spellStart"/>
            <w:r w:rsidRPr="00043E2B">
              <w:rPr>
                <w:rFonts w:eastAsia="Arial Unicode MS"/>
                <w:i w:val="0"/>
                <w:iCs w:val="0"/>
                <w:color w:val="000000" w:themeColor="text1"/>
                <w:sz w:val="20"/>
                <w:szCs w:val="20"/>
              </w:rPr>
              <w:t>următoarele</w:t>
            </w:r>
            <w:proofErr w:type="spellEnd"/>
            <w:r w:rsidRPr="00043E2B">
              <w:rPr>
                <w:rFonts w:eastAsia="Arial Unicode MS"/>
                <w:i w:val="0"/>
                <w:iCs w:val="0"/>
                <w:color w:val="000000" w:themeColor="text1"/>
                <w:sz w:val="20"/>
                <w:szCs w:val="20"/>
              </w:rPr>
              <w:t xml:space="preserve"> </w:t>
            </w:r>
            <w:proofErr w:type="spellStart"/>
            <w:r w:rsidRPr="00043E2B">
              <w:rPr>
                <w:rFonts w:eastAsia="Arial Unicode MS"/>
                <w:i w:val="0"/>
                <w:iCs w:val="0"/>
                <w:color w:val="000000" w:themeColor="text1"/>
                <w:sz w:val="20"/>
                <w:szCs w:val="20"/>
              </w:rPr>
              <w:t>cerințe</w:t>
            </w:r>
            <w:proofErr w:type="spellEnd"/>
            <w:r w:rsidRPr="00043E2B">
              <w:rPr>
                <w:rFonts w:eastAsia="Arial Unicode MS"/>
                <w:i w:val="0"/>
                <w:iCs w:val="0"/>
                <w:color w:val="000000" w:themeColor="text1"/>
                <w:sz w:val="20"/>
                <w:szCs w:val="20"/>
              </w:rPr>
              <w:t>:</w:t>
            </w:r>
          </w:p>
          <w:p w14:paraId="788A7836" w14:textId="291E59F0" w:rsidR="00043E2B" w:rsidRPr="005C3300" w:rsidRDefault="00043E2B" w:rsidP="00043E2B">
            <w:pPr>
              <w:shd w:val="clear" w:color="auto" w:fill="FFFFFF"/>
              <w:spacing w:after="0"/>
              <w:jc w:val="both"/>
              <w:rPr>
                <w:rFonts w:ascii="Times New Roman" w:eastAsia="Arial Unicode MS" w:hAnsi="Times New Roman" w:cs="Times New Roman"/>
                <w:color w:val="000000" w:themeColor="text1"/>
                <w:sz w:val="20"/>
                <w:szCs w:val="20"/>
              </w:rPr>
            </w:pPr>
            <w:r w:rsidRPr="005C3300">
              <w:rPr>
                <w:rFonts w:ascii="Times New Roman" w:eastAsia="Arial Unicode MS" w:hAnsi="Times New Roman" w:cs="Times New Roman"/>
                <w:color w:val="000000" w:themeColor="text1"/>
                <w:sz w:val="20"/>
                <w:szCs w:val="20"/>
              </w:rPr>
              <w:t>1)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evaluată</w:t>
            </w:r>
            <w:proofErr w:type="spellEnd"/>
            <w:r w:rsidRPr="005C3300">
              <w:rPr>
                <w:rFonts w:ascii="Times New Roman" w:eastAsia="Arial Unicode MS" w:hAnsi="Times New Roman" w:cs="Times New Roman"/>
                <w:color w:val="000000" w:themeColor="text1"/>
                <w:sz w:val="20"/>
                <w:szCs w:val="20"/>
              </w:rPr>
              <w:t xml:space="preserve"> independent de </w:t>
            </w:r>
            <w:proofErr w:type="spellStart"/>
            <w:r w:rsidRPr="005C3300">
              <w:rPr>
                <w:rFonts w:ascii="Times New Roman" w:eastAsia="Arial Unicode MS" w:hAnsi="Times New Roman" w:cs="Times New Roman"/>
                <w:color w:val="000000" w:themeColor="text1"/>
                <w:sz w:val="20"/>
                <w:szCs w:val="20"/>
              </w:rPr>
              <w:t>procesul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desfășurat</w:t>
            </w:r>
            <w:proofErr w:type="spellEnd"/>
            <w:r w:rsidRPr="005C3300">
              <w:rPr>
                <w:rFonts w:ascii="Times New Roman" w:eastAsia="Arial Unicode MS" w:hAnsi="Times New Roman" w:cs="Times New Roman"/>
                <w:color w:val="000000" w:themeColor="text1"/>
                <w:sz w:val="20"/>
                <w:szCs w:val="20"/>
              </w:rPr>
              <w:t xml:space="preserve"> de banc</w:t>
            </w:r>
            <w:r w:rsidRPr="005C3300">
              <w:rPr>
                <w:rFonts w:ascii="Times New Roman" w:eastAsia="Arial Unicode MS" w:hAnsi="Times New Roman" w:cs="Times New Roman"/>
                <w:color w:val="000000" w:themeColor="text1"/>
                <w:sz w:val="20"/>
                <w:szCs w:val="20"/>
                <w:lang w:val="ro-RO"/>
              </w:rPr>
              <w:t>ă</w:t>
            </w:r>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realizarea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achiziției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ipotecare</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procesarea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creditului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și</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procesul</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luare</w:t>
            </w:r>
            <w:proofErr w:type="spellEnd"/>
            <w:r w:rsidRPr="005C3300">
              <w:rPr>
                <w:rFonts w:ascii="Times New Roman" w:eastAsia="Arial Unicode MS" w:hAnsi="Times New Roman" w:cs="Times New Roman"/>
                <w:color w:val="000000" w:themeColor="text1"/>
                <w:sz w:val="20"/>
                <w:szCs w:val="20"/>
              </w:rPr>
              <w:t xml:space="preserve"> a </w:t>
            </w:r>
            <w:proofErr w:type="spellStart"/>
            <w:r w:rsidRPr="005C3300">
              <w:rPr>
                <w:rFonts w:ascii="Times New Roman" w:eastAsia="Arial Unicode MS" w:hAnsi="Times New Roman" w:cs="Times New Roman"/>
                <w:color w:val="000000" w:themeColor="text1"/>
                <w:sz w:val="20"/>
                <w:szCs w:val="20"/>
              </w:rPr>
              <w:t>deciziei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ceea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privește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creditul</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către</w:t>
            </w:r>
            <w:proofErr w:type="spellEnd"/>
            <w:r w:rsidRPr="005C3300">
              <w:rPr>
                <w:rFonts w:ascii="Times New Roman" w:eastAsia="Arial Unicode MS" w:hAnsi="Times New Roman" w:cs="Times New Roman"/>
                <w:color w:val="000000" w:themeColor="text1"/>
                <w:sz w:val="20"/>
                <w:szCs w:val="20"/>
              </w:rPr>
              <w:t xml:space="preserve"> un evaluator independent </w:t>
            </w:r>
            <w:r w:rsidR="00FD6C35">
              <w:rPr>
                <w:rFonts w:ascii="Times New Roman" w:eastAsia="Arial Unicode MS" w:hAnsi="Times New Roman" w:cs="Times New Roman"/>
                <w:color w:val="000000" w:themeColor="text1"/>
                <w:sz w:val="20"/>
                <w:szCs w:val="20"/>
              </w:rPr>
              <w:t>c</w:t>
            </w:r>
            <w:r w:rsidR="00FD6C35" w:rsidRPr="00FD6C35">
              <w:rPr>
                <w:rFonts w:ascii="Times New Roman" w:eastAsia="Arial Unicode MS" w:hAnsi="Times New Roman" w:cs="Times New Roman"/>
                <w:color w:val="000000" w:themeColor="text1"/>
                <w:sz w:val="20"/>
                <w:szCs w:val="20"/>
              </w:rPr>
              <w:t xml:space="preserve">onform </w:t>
            </w:r>
            <w:proofErr w:type="spellStart"/>
            <w:r w:rsidR="00FD6C35" w:rsidRPr="00FD6C35">
              <w:rPr>
                <w:rFonts w:ascii="Times New Roman" w:eastAsia="Arial Unicode MS" w:hAnsi="Times New Roman" w:cs="Times New Roman"/>
                <w:color w:val="000000" w:themeColor="text1"/>
                <w:sz w:val="20"/>
                <w:szCs w:val="20"/>
              </w:rPr>
              <w:t>Legii</w:t>
            </w:r>
            <w:proofErr w:type="spellEnd"/>
            <w:r w:rsidR="00FD6C35" w:rsidRPr="00FD6C35">
              <w:rPr>
                <w:rFonts w:ascii="Times New Roman" w:eastAsia="Arial Unicode MS" w:hAnsi="Times New Roman" w:cs="Times New Roman"/>
                <w:color w:val="000000" w:themeColor="text1"/>
                <w:sz w:val="20"/>
                <w:szCs w:val="20"/>
              </w:rPr>
              <w:t xml:space="preserve"> nr.989/2002</w:t>
            </w:r>
            <w:r w:rsidR="00534632">
              <w:rPr>
                <w:rFonts w:ascii="Times New Roman" w:eastAsia="Arial Unicode MS" w:hAnsi="Times New Roman" w:cs="Times New Roman"/>
                <w:color w:val="000000" w:themeColor="text1"/>
                <w:sz w:val="20"/>
                <w:szCs w:val="20"/>
              </w:rPr>
              <w:t xml:space="preserve"> </w:t>
            </w:r>
            <w:r w:rsidR="00FD6C35" w:rsidRPr="00FD6C35">
              <w:rPr>
                <w:rFonts w:ascii="Times New Roman" w:eastAsia="Arial Unicode MS" w:hAnsi="Times New Roman" w:cs="Times New Roman"/>
                <w:color w:val="000000" w:themeColor="text1"/>
                <w:sz w:val="20"/>
                <w:szCs w:val="20"/>
              </w:rPr>
              <w:t xml:space="preserve">cu </w:t>
            </w:r>
            <w:proofErr w:type="spellStart"/>
            <w:r w:rsidR="00FD6C35" w:rsidRPr="00FD6C35">
              <w:rPr>
                <w:rFonts w:ascii="Times New Roman" w:eastAsia="Arial Unicode MS" w:hAnsi="Times New Roman" w:cs="Times New Roman"/>
                <w:color w:val="000000" w:themeColor="text1"/>
                <w:sz w:val="20"/>
                <w:szCs w:val="20"/>
              </w:rPr>
              <w:t>privire</w:t>
            </w:r>
            <w:proofErr w:type="spellEnd"/>
            <w:r w:rsidR="00FD6C35" w:rsidRPr="00FD6C35">
              <w:rPr>
                <w:rFonts w:ascii="Times New Roman" w:eastAsia="Arial Unicode MS" w:hAnsi="Times New Roman" w:cs="Times New Roman"/>
                <w:color w:val="000000" w:themeColor="text1"/>
                <w:sz w:val="20"/>
                <w:szCs w:val="20"/>
              </w:rPr>
              <w:t xml:space="preserve"> la </w:t>
            </w:r>
            <w:proofErr w:type="spellStart"/>
            <w:r w:rsidR="00FD6C35" w:rsidRPr="00FD6C35">
              <w:rPr>
                <w:rFonts w:ascii="Times New Roman" w:eastAsia="Arial Unicode MS" w:hAnsi="Times New Roman" w:cs="Times New Roman"/>
                <w:color w:val="000000" w:themeColor="text1"/>
                <w:sz w:val="20"/>
                <w:szCs w:val="20"/>
              </w:rPr>
              <w:t>activitatea</w:t>
            </w:r>
            <w:proofErr w:type="spellEnd"/>
            <w:r w:rsidR="00FD6C35" w:rsidRPr="00FD6C35">
              <w:rPr>
                <w:rFonts w:ascii="Times New Roman" w:eastAsia="Arial Unicode MS" w:hAnsi="Times New Roman" w:cs="Times New Roman"/>
                <w:color w:val="000000" w:themeColor="text1"/>
                <w:sz w:val="20"/>
                <w:szCs w:val="20"/>
              </w:rPr>
              <w:t xml:space="preserve"> de </w:t>
            </w:r>
            <w:proofErr w:type="spellStart"/>
            <w:proofErr w:type="gramStart"/>
            <w:r w:rsidR="00FD6C35" w:rsidRPr="00FD6C35">
              <w:rPr>
                <w:rFonts w:ascii="Times New Roman" w:eastAsia="Arial Unicode MS" w:hAnsi="Times New Roman" w:cs="Times New Roman"/>
                <w:color w:val="000000" w:themeColor="text1"/>
                <w:sz w:val="20"/>
                <w:szCs w:val="20"/>
              </w:rPr>
              <w:t>evaluare</w:t>
            </w:r>
            <w:proofErr w:type="spellEnd"/>
            <w:r w:rsidRPr="005C3300">
              <w:rPr>
                <w:rFonts w:ascii="Times New Roman" w:eastAsia="Arial Unicode MS" w:hAnsi="Times New Roman" w:cs="Times New Roman"/>
                <w:color w:val="000000" w:themeColor="text1"/>
                <w:sz w:val="20"/>
                <w:szCs w:val="20"/>
              </w:rPr>
              <w:t>;</w:t>
            </w:r>
            <w:proofErr w:type="gramEnd"/>
          </w:p>
          <w:p w14:paraId="5BCCC1F4" w14:textId="77777777" w:rsidR="00043E2B" w:rsidRDefault="00043E2B" w:rsidP="00043E2B">
            <w:pPr>
              <w:shd w:val="clear" w:color="auto" w:fill="FFFFFF"/>
              <w:spacing w:after="0"/>
              <w:jc w:val="both"/>
              <w:rPr>
                <w:rFonts w:ascii="Times New Roman" w:eastAsia="Arial Unicode MS" w:hAnsi="Times New Roman" w:cs="Times New Roman"/>
                <w:color w:val="000000" w:themeColor="text1"/>
                <w:sz w:val="20"/>
                <w:szCs w:val="20"/>
              </w:rPr>
            </w:pPr>
          </w:p>
          <w:p w14:paraId="73329DE9" w14:textId="7BE358A6" w:rsidR="00043E2B" w:rsidRPr="005C3300" w:rsidRDefault="00043E2B" w:rsidP="00043E2B">
            <w:pPr>
              <w:shd w:val="clear" w:color="auto" w:fill="FFFFFF"/>
              <w:spacing w:after="0"/>
              <w:jc w:val="both"/>
              <w:rPr>
                <w:rFonts w:ascii="Times New Roman" w:eastAsia="Arial Unicode MS" w:hAnsi="Times New Roman" w:cs="Times New Roman"/>
                <w:color w:val="000000" w:themeColor="text1"/>
                <w:sz w:val="20"/>
                <w:szCs w:val="20"/>
              </w:rPr>
            </w:pPr>
            <w:r w:rsidRPr="005C3300">
              <w:rPr>
                <w:rFonts w:ascii="Times New Roman" w:eastAsia="Arial Unicode MS" w:hAnsi="Times New Roman" w:cs="Times New Roman"/>
                <w:color w:val="000000" w:themeColor="text1"/>
                <w:sz w:val="20"/>
                <w:szCs w:val="20"/>
              </w:rPr>
              <w:t>2)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evaluată</w:t>
            </w:r>
            <w:proofErr w:type="spellEnd"/>
            <w:r w:rsidRPr="005C3300">
              <w:rPr>
                <w:rFonts w:ascii="Times New Roman" w:eastAsia="Arial Unicode MS" w:hAnsi="Times New Roman" w:cs="Times New Roman"/>
                <w:color w:val="000000" w:themeColor="text1"/>
                <w:sz w:val="20"/>
                <w:szCs w:val="20"/>
              </w:rPr>
              <w:t xml:space="preserve"> pe </w:t>
            </w:r>
            <w:proofErr w:type="spellStart"/>
            <w:r w:rsidRPr="005C3300">
              <w:rPr>
                <w:rFonts w:ascii="Times New Roman" w:eastAsia="Arial Unicode MS" w:hAnsi="Times New Roman" w:cs="Times New Roman"/>
                <w:color w:val="000000" w:themeColor="text1"/>
                <w:sz w:val="20"/>
                <w:szCs w:val="20"/>
              </w:rPr>
              <w:t>baza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unor</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criterii</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evaluare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prudente</w:t>
            </w:r>
            <w:proofErr w:type="spellEnd"/>
            <w:r w:rsidRPr="005C3300">
              <w:rPr>
                <w:rFonts w:ascii="Times New Roman" w:eastAsia="Arial Unicode MS" w:hAnsi="Times New Roman" w:cs="Times New Roman"/>
                <w:color w:val="000000" w:themeColor="text1"/>
                <w:sz w:val="20"/>
                <w:szCs w:val="20"/>
              </w:rPr>
              <w:t xml:space="preserve">, care </w:t>
            </w:r>
            <w:proofErr w:type="spellStart"/>
            <w:r w:rsidRPr="005C3300">
              <w:rPr>
                <w:rFonts w:ascii="Times New Roman" w:eastAsia="Arial Unicode MS" w:hAnsi="Times New Roman" w:cs="Times New Roman"/>
                <w:color w:val="000000" w:themeColor="text1"/>
                <w:sz w:val="20"/>
                <w:szCs w:val="20"/>
              </w:rPr>
              <w:t>îndeplinesc</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cumulativ</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următoarele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cerințe</w:t>
            </w:r>
            <w:proofErr w:type="spellEnd"/>
            <w:r w:rsidRPr="005C3300">
              <w:rPr>
                <w:rFonts w:ascii="Times New Roman" w:eastAsia="Arial Unicode MS" w:hAnsi="Times New Roman" w:cs="Times New Roman"/>
                <w:color w:val="000000" w:themeColor="text1"/>
                <w:sz w:val="20"/>
                <w:szCs w:val="20"/>
              </w:rPr>
              <w:t>:</w:t>
            </w:r>
          </w:p>
          <w:p w14:paraId="77E0DBDE" w14:textId="77777777" w:rsidR="00043E2B" w:rsidRPr="005C3300" w:rsidRDefault="00043E2B" w:rsidP="00043E2B">
            <w:pPr>
              <w:shd w:val="clear" w:color="auto" w:fill="FFFFFF"/>
              <w:spacing w:after="0"/>
              <w:jc w:val="both"/>
              <w:rPr>
                <w:rFonts w:ascii="Times New Roman" w:eastAsia="Arial Unicode MS" w:hAnsi="Times New Roman" w:cs="Times New Roman"/>
                <w:color w:val="000000" w:themeColor="text1"/>
                <w:sz w:val="20"/>
                <w:szCs w:val="20"/>
              </w:rPr>
            </w:pPr>
            <w:r w:rsidRPr="005C3300">
              <w:rPr>
                <w:rFonts w:ascii="Times New Roman" w:eastAsia="Arial Unicode MS" w:hAnsi="Times New Roman" w:cs="Times New Roman"/>
                <w:color w:val="000000" w:themeColor="text1"/>
                <w:sz w:val="20"/>
                <w:szCs w:val="20"/>
              </w:rPr>
              <w:t>a)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nu </w:t>
            </w:r>
            <w:proofErr w:type="spellStart"/>
            <w:r w:rsidRPr="005C3300">
              <w:rPr>
                <w:rFonts w:ascii="Times New Roman" w:eastAsia="Arial Unicode MS" w:hAnsi="Times New Roman" w:cs="Times New Roman"/>
                <w:color w:val="000000" w:themeColor="text1"/>
                <w:sz w:val="20"/>
                <w:szCs w:val="20"/>
              </w:rPr>
              <w:t>ține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seama</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așteptările</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creștere</w:t>
            </w:r>
            <w:proofErr w:type="spellEnd"/>
            <w:r w:rsidRPr="005C3300">
              <w:rPr>
                <w:rFonts w:ascii="Times New Roman" w:eastAsia="Arial Unicode MS" w:hAnsi="Times New Roman" w:cs="Times New Roman"/>
                <w:color w:val="000000" w:themeColor="text1"/>
                <w:sz w:val="20"/>
                <w:szCs w:val="20"/>
              </w:rPr>
              <w:t xml:space="preserve"> a </w:t>
            </w:r>
            <w:proofErr w:type="spellStart"/>
            <w:proofErr w:type="gramStart"/>
            <w:r w:rsidRPr="005C3300">
              <w:rPr>
                <w:rFonts w:ascii="Times New Roman" w:eastAsia="Arial Unicode MS" w:hAnsi="Times New Roman" w:cs="Times New Roman"/>
                <w:color w:val="000000" w:themeColor="text1"/>
                <w:sz w:val="20"/>
                <w:szCs w:val="20"/>
              </w:rPr>
              <w:t>prețului</w:t>
            </w:r>
            <w:proofErr w:type="spellEnd"/>
            <w:r w:rsidRPr="005C3300">
              <w:rPr>
                <w:rFonts w:ascii="Times New Roman" w:eastAsia="Arial Unicode MS" w:hAnsi="Times New Roman" w:cs="Times New Roman"/>
                <w:color w:val="000000" w:themeColor="text1"/>
                <w:sz w:val="20"/>
                <w:szCs w:val="20"/>
              </w:rPr>
              <w:t>;</w:t>
            </w:r>
            <w:proofErr w:type="gramEnd"/>
          </w:p>
          <w:p w14:paraId="085FC6F8" w14:textId="314B8CE4" w:rsidR="00043E2B" w:rsidRPr="005C3300" w:rsidRDefault="00043E2B" w:rsidP="00043E2B">
            <w:pPr>
              <w:shd w:val="clear" w:color="auto" w:fill="FFFFFF"/>
              <w:spacing w:after="0"/>
              <w:jc w:val="both"/>
              <w:rPr>
                <w:rFonts w:ascii="Times New Roman" w:eastAsia="Arial Unicode MS" w:hAnsi="Times New Roman" w:cs="Times New Roman"/>
                <w:color w:val="000000" w:themeColor="text1"/>
                <w:sz w:val="20"/>
                <w:szCs w:val="20"/>
              </w:rPr>
            </w:pPr>
            <w:r w:rsidRPr="005C3300">
              <w:rPr>
                <w:rFonts w:ascii="Times New Roman" w:eastAsia="Arial Unicode MS" w:hAnsi="Times New Roman" w:cs="Times New Roman"/>
                <w:color w:val="000000" w:themeColor="text1"/>
                <w:sz w:val="20"/>
                <w:szCs w:val="20"/>
              </w:rPr>
              <w:t>b)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ajustată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a </w:t>
            </w:r>
            <w:proofErr w:type="spellStart"/>
            <w:r w:rsidRPr="005C3300">
              <w:rPr>
                <w:rFonts w:ascii="Times New Roman" w:eastAsia="Arial Unicode MS" w:hAnsi="Times New Roman" w:cs="Times New Roman"/>
                <w:color w:val="000000" w:themeColor="text1"/>
                <w:sz w:val="20"/>
                <w:szCs w:val="20"/>
              </w:rPr>
              <w:t>ține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seama</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potențialul</w:t>
            </w:r>
            <w:proofErr w:type="spellEnd"/>
            <w:r w:rsidRPr="005C3300">
              <w:rPr>
                <w:rFonts w:ascii="Times New Roman" w:eastAsia="Arial Unicode MS" w:hAnsi="Times New Roman" w:cs="Times New Roman"/>
                <w:color w:val="000000" w:themeColor="text1"/>
                <w:sz w:val="20"/>
                <w:szCs w:val="20"/>
              </w:rPr>
              <w:t xml:space="preserve"> ca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piață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curentă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să</w:t>
            </w:r>
            <w:proofErr w:type="spellEnd"/>
            <w:r w:rsidRPr="005C3300">
              <w:rPr>
                <w:rFonts w:ascii="Times New Roman" w:eastAsia="Arial Unicode MS" w:hAnsi="Times New Roman" w:cs="Times New Roman"/>
                <w:color w:val="000000" w:themeColor="text1"/>
                <w:sz w:val="20"/>
                <w:szCs w:val="20"/>
              </w:rPr>
              <w:t xml:space="preserve"> fie cu </w:t>
            </w:r>
            <w:proofErr w:type="spellStart"/>
            <w:r w:rsidRPr="005C3300">
              <w:rPr>
                <w:rFonts w:ascii="Times New Roman" w:eastAsia="Arial Unicode MS" w:hAnsi="Times New Roman" w:cs="Times New Roman"/>
                <w:color w:val="000000" w:themeColor="text1"/>
                <w:sz w:val="20"/>
                <w:szCs w:val="20"/>
              </w:rPr>
              <w:t>mult</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care </w:t>
            </w:r>
            <w:proofErr w:type="spellStart"/>
            <w:r w:rsidRPr="005C3300">
              <w:rPr>
                <w:rFonts w:ascii="Times New Roman" w:eastAsia="Arial Unicode MS" w:hAnsi="Times New Roman" w:cs="Times New Roman"/>
                <w:color w:val="000000" w:themeColor="text1"/>
                <w:sz w:val="20"/>
                <w:szCs w:val="20"/>
              </w:rPr>
              <w:t>ar</w:t>
            </w:r>
            <w:proofErr w:type="spellEnd"/>
            <w:r w:rsidRPr="005C3300">
              <w:rPr>
                <w:rFonts w:ascii="Times New Roman" w:eastAsia="Arial Unicode MS" w:hAnsi="Times New Roman" w:cs="Times New Roman"/>
                <w:color w:val="000000" w:themeColor="text1"/>
                <w:sz w:val="20"/>
                <w:szCs w:val="20"/>
              </w:rPr>
              <w:t xml:space="preserve"> fi </w:t>
            </w:r>
            <w:proofErr w:type="spellStart"/>
            <w:r w:rsidRPr="005C3300">
              <w:rPr>
                <w:rFonts w:ascii="Times New Roman" w:eastAsia="Arial Unicode MS" w:hAnsi="Times New Roman" w:cs="Times New Roman"/>
                <w:color w:val="000000" w:themeColor="text1"/>
                <w:sz w:val="20"/>
                <w:szCs w:val="20"/>
              </w:rPr>
              <w:t>sustenabilă</w:t>
            </w:r>
            <w:proofErr w:type="spellEnd"/>
            <w:r w:rsidRPr="005C3300">
              <w:rPr>
                <w:rFonts w:ascii="Times New Roman" w:eastAsia="Arial Unicode MS" w:hAnsi="Times New Roman" w:cs="Times New Roman"/>
                <w:color w:val="000000" w:themeColor="text1"/>
                <w:sz w:val="20"/>
                <w:szCs w:val="20"/>
              </w:rPr>
              <w:t xml:space="preserve"> pe </w:t>
            </w:r>
            <w:proofErr w:type="spellStart"/>
            <w:r w:rsidRPr="005C3300">
              <w:rPr>
                <w:rFonts w:ascii="Times New Roman" w:eastAsia="Arial Unicode MS" w:hAnsi="Times New Roman" w:cs="Times New Roman"/>
                <w:color w:val="000000" w:themeColor="text1"/>
                <w:sz w:val="20"/>
                <w:szCs w:val="20"/>
              </w:rPr>
              <w:t>durata</w:t>
            </w:r>
            <w:proofErr w:type="spellEnd"/>
            <w:r w:rsidRPr="005C3300">
              <w:rPr>
                <w:rFonts w:ascii="Times New Roman" w:eastAsia="Arial Unicode MS" w:hAnsi="Times New Roman" w:cs="Times New Roman"/>
                <w:color w:val="000000" w:themeColor="text1"/>
                <w:sz w:val="20"/>
                <w:szCs w:val="20"/>
              </w:rPr>
              <w:t xml:space="preserve"> </w:t>
            </w:r>
            <w:proofErr w:type="spellStart"/>
            <w:proofErr w:type="gramStart"/>
            <w:r w:rsidRPr="005C3300">
              <w:rPr>
                <w:rFonts w:ascii="Times New Roman" w:eastAsia="Arial Unicode MS" w:hAnsi="Times New Roman" w:cs="Times New Roman"/>
                <w:color w:val="000000" w:themeColor="text1"/>
                <w:sz w:val="20"/>
                <w:szCs w:val="20"/>
              </w:rPr>
              <w:t>creditului</w:t>
            </w:r>
            <w:proofErr w:type="spellEnd"/>
            <w:r w:rsidRPr="005C3300">
              <w:rPr>
                <w:rFonts w:ascii="Times New Roman" w:eastAsia="Arial Unicode MS" w:hAnsi="Times New Roman" w:cs="Times New Roman"/>
                <w:color w:val="000000" w:themeColor="text1"/>
                <w:sz w:val="20"/>
                <w:szCs w:val="20"/>
              </w:rPr>
              <w:t>;</w:t>
            </w:r>
            <w:proofErr w:type="gramEnd"/>
          </w:p>
          <w:p w14:paraId="5D60BA2F" w14:textId="74A3C6F4" w:rsidR="00043E2B" w:rsidRPr="005C3300" w:rsidRDefault="00043E2B" w:rsidP="00043E2B">
            <w:pPr>
              <w:shd w:val="clear" w:color="auto" w:fill="FFFFFF"/>
              <w:spacing w:after="0"/>
              <w:jc w:val="both"/>
              <w:rPr>
                <w:rFonts w:ascii="Times New Roman" w:eastAsia="Arial Unicode MS" w:hAnsi="Times New Roman" w:cs="Times New Roman"/>
                <w:color w:val="000000" w:themeColor="text1"/>
                <w:sz w:val="20"/>
                <w:szCs w:val="20"/>
              </w:rPr>
            </w:pPr>
            <w:r w:rsidRPr="005C3300">
              <w:rPr>
                <w:rFonts w:ascii="Times New Roman" w:eastAsia="Arial Unicode MS" w:hAnsi="Times New Roman" w:cs="Times New Roman"/>
                <w:color w:val="000000" w:themeColor="text1"/>
                <w:sz w:val="20"/>
                <w:szCs w:val="20"/>
              </w:rPr>
              <w:t>3)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documentată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într</w:t>
            </w:r>
            <w:proofErr w:type="spellEnd"/>
            <w:r w:rsidRPr="005C3300">
              <w:rPr>
                <w:rFonts w:ascii="Times New Roman" w:eastAsia="Arial Unicode MS" w:hAnsi="Times New Roman" w:cs="Times New Roman"/>
                <w:color w:val="000000" w:themeColor="text1"/>
                <w:sz w:val="20"/>
                <w:szCs w:val="20"/>
              </w:rPr>
              <w:t xml:space="preserve">-un mod transparent </w:t>
            </w:r>
            <w:proofErr w:type="spellStart"/>
            <w:r w:rsidRPr="005C3300">
              <w:rPr>
                <w:rFonts w:ascii="Times New Roman" w:eastAsia="Arial Unicode MS" w:hAnsi="Times New Roman" w:cs="Times New Roman"/>
                <w:color w:val="000000" w:themeColor="text1"/>
                <w:sz w:val="20"/>
                <w:szCs w:val="20"/>
              </w:rPr>
              <w:t>și</w:t>
            </w:r>
            <w:proofErr w:type="spellEnd"/>
            <w:r w:rsidRPr="005C3300">
              <w:rPr>
                <w:rFonts w:ascii="Times New Roman" w:eastAsia="Arial Unicode MS" w:hAnsi="Times New Roman" w:cs="Times New Roman"/>
                <w:color w:val="000000" w:themeColor="text1"/>
                <w:sz w:val="20"/>
                <w:szCs w:val="20"/>
              </w:rPr>
              <w:t xml:space="preserve"> </w:t>
            </w:r>
            <w:proofErr w:type="spellStart"/>
            <w:proofErr w:type="gramStart"/>
            <w:r w:rsidRPr="005C3300">
              <w:rPr>
                <w:rFonts w:ascii="Times New Roman" w:eastAsia="Arial Unicode MS" w:hAnsi="Times New Roman" w:cs="Times New Roman"/>
                <w:color w:val="000000" w:themeColor="text1"/>
                <w:sz w:val="20"/>
                <w:szCs w:val="20"/>
              </w:rPr>
              <w:t>clar</w:t>
            </w:r>
            <w:proofErr w:type="spellEnd"/>
            <w:r w:rsidRPr="005C3300">
              <w:rPr>
                <w:rFonts w:ascii="Times New Roman" w:eastAsia="Arial Unicode MS" w:hAnsi="Times New Roman" w:cs="Times New Roman"/>
                <w:color w:val="000000" w:themeColor="text1"/>
                <w:sz w:val="20"/>
                <w:szCs w:val="20"/>
              </w:rPr>
              <w:t>;</w:t>
            </w:r>
            <w:proofErr w:type="gramEnd"/>
            <w:r w:rsidRPr="005C3300">
              <w:rPr>
                <w:rFonts w:ascii="Times New Roman" w:eastAsia="Arial Unicode MS" w:hAnsi="Times New Roman" w:cs="Times New Roman"/>
                <w:color w:val="000000" w:themeColor="text1"/>
                <w:sz w:val="20"/>
                <w:szCs w:val="20"/>
              </w:rPr>
              <w:t xml:space="preserve"> </w:t>
            </w:r>
          </w:p>
          <w:p w14:paraId="62D38FB6" w14:textId="10205E84" w:rsidR="00043E2B" w:rsidRPr="005C3300" w:rsidRDefault="00043E2B" w:rsidP="00043E2B">
            <w:pPr>
              <w:shd w:val="clear" w:color="auto" w:fill="FFFFFF"/>
              <w:spacing w:after="0"/>
              <w:jc w:val="both"/>
              <w:rPr>
                <w:rFonts w:ascii="Times New Roman" w:eastAsia="Arial Unicode MS" w:hAnsi="Times New Roman" w:cs="Times New Roman"/>
                <w:color w:val="000000" w:themeColor="text1"/>
                <w:sz w:val="20"/>
                <w:szCs w:val="20"/>
              </w:rPr>
            </w:pPr>
            <w:r w:rsidRPr="005C3300">
              <w:rPr>
                <w:rFonts w:ascii="Times New Roman" w:eastAsia="Arial Unicode MS" w:hAnsi="Times New Roman" w:cs="Times New Roman"/>
                <w:color w:val="000000" w:themeColor="text1"/>
                <w:sz w:val="20"/>
                <w:szCs w:val="20"/>
              </w:rPr>
              <w:t>4)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nu </w:t>
            </w:r>
            <w:proofErr w:type="spellStart"/>
            <w:r w:rsidRPr="005C3300">
              <w:rPr>
                <w:rFonts w:ascii="Times New Roman" w:eastAsia="Arial Unicode MS" w:hAnsi="Times New Roman" w:cs="Times New Roman"/>
                <w:color w:val="000000" w:themeColor="text1"/>
                <w:sz w:val="20"/>
                <w:szCs w:val="20"/>
              </w:rPr>
              <w:t>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mai</w:t>
            </w:r>
            <w:proofErr w:type="spellEnd"/>
            <w:r w:rsidRPr="005C3300">
              <w:rPr>
                <w:rFonts w:ascii="Times New Roman" w:eastAsia="Arial Unicode MS" w:hAnsi="Times New Roman" w:cs="Times New Roman"/>
                <w:color w:val="000000" w:themeColor="text1"/>
                <w:sz w:val="20"/>
                <w:szCs w:val="20"/>
              </w:rPr>
              <w:t xml:space="preserve"> mare </w:t>
            </w:r>
            <w:proofErr w:type="spellStart"/>
            <w:r w:rsidRPr="005C3300">
              <w:rPr>
                <w:rFonts w:ascii="Times New Roman" w:eastAsia="Arial Unicode MS" w:hAnsi="Times New Roman" w:cs="Times New Roman"/>
                <w:color w:val="000000" w:themeColor="text1"/>
                <w:sz w:val="20"/>
                <w:szCs w:val="20"/>
              </w:rPr>
              <w:t>decât</w:t>
            </w:r>
            <w:proofErr w:type="spellEnd"/>
            <w:r w:rsidRPr="005C3300">
              <w:rPr>
                <w:rFonts w:ascii="Times New Roman" w:eastAsia="Arial Unicode MS" w:hAnsi="Times New Roman" w:cs="Times New Roman"/>
                <w:color w:val="000000" w:themeColor="text1"/>
                <w:sz w:val="20"/>
                <w:szCs w:val="20"/>
              </w:rPr>
              <w:t xml:space="preserve"> o </w:t>
            </w:r>
            <w:proofErr w:type="spellStart"/>
            <w:r w:rsidRPr="005C3300">
              <w:rPr>
                <w:rFonts w:ascii="Times New Roman" w:eastAsia="Arial Unicode MS" w:hAnsi="Times New Roman" w:cs="Times New Roman"/>
                <w:color w:val="000000" w:themeColor="text1"/>
                <w:sz w:val="20"/>
                <w:szCs w:val="20"/>
              </w:rPr>
              <w:t>valoare</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piață</w:t>
            </w:r>
            <w:proofErr w:type="spellEnd"/>
            <w:r w:rsidRPr="005C3300">
              <w:rPr>
                <w:rFonts w:ascii="Times New Roman" w:eastAsia="Arial Unicode MS" w:hAnsi="Times New Roman" w:cs="Times New Roman"/>
                <w:color w:val="000000" w:themeColor="text1"/>
                <w:sz w:val="20"/>
                <w:szCs w:val="20"/>
              </w:rPr>
              <w:t xml:space="preserve"> a </w:t>
            </w:r>
            <w:proofErr w:type="spellStart"/>
            <w:r w:rsidRPr="005C3300">
              <w:rPr>
                <w:rFonts w:ascii="Times New Roman" w:eastAsia="Arial Unicode MS" w:hAnsi="Times New Roman" w:cs="Times New Roman"/>
                <w:color w:val="000000" w:themeColor="text1"/>
                <w:sz w:val="20"/>
                <w:szCs w:val="20"/>
              </w:rPr>
              <w:t>bunului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cazul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care </w:t>
            </w:r>
            <w:proofErr w:type="spellStart"/>
            <w:r w:rsidRPr="005C3300">
              <w:rPr>
                <w:rFonts w:ascii="Times New Roman" w:eastAsia="Arial Unicode MS" w:hAnsi="Times New Roman" w:cs="Times New Roman"/>
                <w:color w:val="000000" w:themeColor="text1"/>
                <w:sz w:val="20"/>
                <w:szCs w:val="20"/>
              </w:rPr>
              <w:t>poate</w:t>
            </w:r>
            <w:proofErr w:type="spellEnd"/>
            <w:r w:rsidRPr="005C3300">
              <w:rPr>
                <w:rFonts w:ascii="Times New Roman" w:eastAsia="Arial Unicode MS" w:hAnsi="Times New Roman" w:cs="Times New Roman"/>
                <w:color w:val="000000" w:themeColor="text1"/>
                <w:sz w:val="20"/>
                <w:szCs w:val="20"/>
              </w:rPr>
              <w:t xml:space="preserve"> fi </w:t>
            </w:r>
            <w:proofErr w:type="spellStart"/>
            <w:r w:rsidRPr="005C3300">
              <w:rPr>
                <w:rFonts w:ascii="Times New Roman" w:eastAsia="Arial Unicode MS" w:hAnsi="Times New Roman" w:cs="Times New Roman"/>
                <w:color w:val="000000" w:themeColor="text1"/>
                <w:sz w:val="20"/>
                <w:szCs w:val="20"/>
              </w:rPr>
              <w:t>determinată</w:t>
            </w:r>
            <w:proofErr w:type="spellEnd"/>
            <w:r w:rsidRPr="005C3300">
              <w:rPr>
                <w:rFonts w:ascii="Times New Roman" w:eastAsia="Arial Unicode MS" w:hAnsi="Times New Roman" w:cs="Times New Roman"/>
                <w:color w:val="000000" w:themeColor="text1"/>
                <w:sz w:val="20"/>
                <w:szCs w:val="20"/>
              </w:rPr>
              <w:t xml:space="preserve"> o </w:t>
            </w:r>
            <w:proofErr w:type="spellStart"/>
            <w:r w:rsidRPr="005C3300">
              <w:rPr>
                <w:rFonts w:ascii="Times New Roman" w:eastAsia="Arial Unicode MS" w:hAnsi="Times New Roman" w:cs="Times New Roman"/>
                <w:color w:val="000000" w:themeColor="text1"/>
                <w:sz w:val="20"/>
                <w:szCs w:val="20"/>
              </w:rPr>
              <w:t>astfel</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valoare</w:t>
            </w:r>
            <w:proofErr w:type="spellEnd"/>
            <w:r w:rsidRPr="005C3300">
              <w:rPr>
                <w:rFonts w:ascii="Times New Roman" w:eastAsia="Arial Unicode MS" w:hAnsi="Times New Roman" w:cs="Times New Roman"/>
                <w:color w:val="000000" w:themeColor="text1"/>
                <w:sz w:val="20"/>
                <w:szCs w:val="20"/>
              </w:rPr>
              <w:t xml:space="preserve"> de </w:t>
            </w:r>
            <w:proofErr w:type="spellStart"/>
            <w:proofErr w:type="gramStart"/>
            <w:r w:rsidRPr="005C3300">
              <w:rPr>
                <w:rFonts w:ascii="Times New Roman" w:eastAsia="Arial Unicode MS" w:hAnsi="Times New Roman" w:cs="Times New Roman"/>
                <w:color w:val="000000" w:themeColor="text1"/>
                <w:sz w:val="20"/>
                <w:szCs w:val="20"/>
              </w:rPr>
              <w:t>piață</w:t>
            </w:r>
            <w:proofErr w:type="spellEnd"/>
            <w:r w:rsidRPr="005C3300">
              <w:rPr>
                <w:rFonts w:ascii="Times New Roman" w:eastAsia="Arial Unicode MS" w:hAnsi="Times New Roman" w:cs="Times New Roman"/>
                <w:color w:val="000000" w:themeColor="text1"/>
                <w:sz w:val="20"/>
                <w:szCs w:val="20"/>
              </w:rPr>
              <w:t>;</w:t>
            </w:r>
            <w:proofErr w:type="gramEnd"/>
          </w:p>
          <w:p w14:paraId="67BB3F6E" w14:textId="77777777" w:rsidR="00D62F3C" w:rsidRDefault="00043E2B" w:rsidP="00043E2B">
            <w:pPr>
              <w:rPr>
                <w:rFonts w:ascii="Times New Roman" w:eastAsia="Arial Unicode MS" w:hAnsi="Times New Roman" w:cs="Times New Roman"/>
                <w:color w:val="000000" w:themeColor="text1"/>
                <w:sz w:val="20"/>
                <w:szCs w:val="20"/>
              </w:rPr>
            </w:pPr>
            <w:r w:rsidRPr="005C3300">
              <w:rPr>
                <w:rFonts w:ascii="Times New Roman" w:eastAsia="Arial Unicode MS" w:hAnsi="Times New Roman" w:cs="Times New Roman"/>
                <w:color w:val="000000" w:themeColor="text1"/>
                <w:sz w:val="20"/>
                <w:szCs w:val="20"/>
              </w:rPr>
              <w:t>5)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cazul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reevaluării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acestuia</w:t>
            </w:r>
            <w:proofErr w:type="spellEnd"/>
            <w:r w:rsidRPr="005C3300">
              <w:rPr>
                <w:rFonts w:ascii="Times New Roman" w:eastAsia="Arial Unicode MS" w:hAnsi="Times New Roman" w:cs="Times New Roman"/>
                <w:color w:val="000000" w:themeColor="text1"/>
                <w:sz w:val="20"/>
                <w:szCs w:val="20"/>
              </w:rPr>
              <w:t xml:space="preserve"> nu </w:t>
            </w:r>
            <w:proofErr w:type="spellStart"/>
            <w:r w:rsidRPr="005C3300">
              <w:rPr>
                <w:rFonts w:ascii="Times New Roman" w:eastAsia="Arial Unicode MS" w:hAnsi="Times New Roman" w:cs="Times New Roman"/>
                <w:color w:val="000000" w:themeColor="text1"/>
                <w:sz w:val="20"/>
                <w:szCs w:val="20"/>
              </w:rPr>
              <w:t>poate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depășească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medie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determinată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respectiv</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sau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un bun </w:t>
            </w:r>
            <w:proofErr w:type="spellStart"/>
            <w:r w:rsidRPr="005C3300">
              <w:rPr>
                <w:rFonts w:ascii="Times New Roman" w:eastAsia="Arial Unicode MS" w:hAnsi="Times New Roman" w:cs="Times New Roman"/>
                <w:color w:val="000000" w:themeColor="text1"/>
                <w:sz w:val="20"/>
                <w:szCs w:val="20"/>
              </w:rPr>
              <w:t>imobil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comparabil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ultimii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șase</w:t>
            </w:r>
            <w:proofErr w:type="spellEnd"/>
            <w:r w:rsidRPr="005C3300">
              <w:rPr>
                <w:rFonts w:ascii="Times New Roman" w:eastAsia="Arial Unicode MS" w:hAnsi="Times New Roman" w:cs="Times New Roman"/>
                <w:color w:val="000000" w:themeColor="text1"/>
                <w:sz w:val="20"/>
                <w:szCs w:val="20"/>
              </w:rPr>
              <w:t xml:space="preserve"> ani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cazul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bunurilor</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imobile</w:t>
            </w:r>
            <w:proofErr w:type="spellEnd"/>
            <w:r w:rsidRPr="005C3300">
              <w:rPr>
                <w:rFonts w:ascii="Times New Roman" w:eastAsia="Arial Unicode MS" w:hAnsi="Times New Roman" w:cs="Times New Roman"/>
                <w:color w:val="000000" w:themeColor="text1"/>
                <w:sz w:val="20"/>
                <w:szCs w:val="20"/>
              </w:rPr>
              <w:t xml:space="preserve"> locative </w:t>
            </w:r>
            <w:proofErr w:type="spellStart"/>
            <w:r w:rsidRPr="005C3300">
              <w:rPr>
                <w:rFonts w:ascii="Times New Roman" w:eastAsia="Arial Unicode MS" w:hAnsi="Times New Roman" w:cs="Times New Roman"/>
                <w:color w:val="000000" w:themeColor="text1"/>
                <w:sz w:val="20"/>
                <w:szCs w:val="20"/>
              </w:rPr>
              <w:t>ori</w:t>
            </w:r>
            <w:proofErr w:type="spellEnd"/>
            <w:r w:rsidRPr="005C3300">
              <w:rPr>
                <w:rFonts w:ascii="Times New Roman" w:eastAsia="Arial Unicode MS" w:hAnsi="Times New Roman" w:cs="Times New Roman"/>
                <w:color w:val="000000" w:themeColor="text1"/>
                <w:sz w:val="20"/>
                <w:szCs w:val="20"/>
              </w:rPr>
              <w:t xml:space="preserve"> opt ani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cazul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bunurilor</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comerciale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sau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momentul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inițierii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optându</w:t>
            </w:r>
            <w:proofErr w:type="spellEnd"/>
            <w:r w:rsidRPr="005C3300">
              <w:rPr>
                <w:rFonts w:ascii="Times New Roman" w:eastAsia="Arial Unicode MS" w:hAnsi="Times New Roman" w:cs="Times New Roman"/>
                <w:color w:val="000000" w:themeColor="text1"/>
                <w:sz w:val="20"/>
                <w:szCs w:val="20"/>
              </w:rPr>
              <w:t xml:space="preserve">-se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mai</w:t>
            </w:r>
            <w:proofErr w:type="spellEnd"/>
            <w:r w:rsidRPr="005C3300">
              <w:rPr>
                <w:rFonts w:ascii="Times New Roman" w:eastAsia="Arial Unicode MS" w:hAnsi="Times New Roman" w:cs="Times New Roman"/>
                <w:color w:val="000000" w:themeColor="text1"/>
                <w:sz w:val="20"/>
                <w:szCs w:val="20"/>
              </w:rPr>
              <w:t xml:space="preserve"> mare </w:t>
            </w:r>
            <w:proofErr w:type="spellStart"/>
            <w:r w:rsidRPr="005C3300">
              <w:rPr>
                <w:rFonts w:ascii="Times New Roman" w:eastAsia="Arial Unicode MS" w:hAnsi="Times New Roman" w:cs="Times New Roman"/>
                <w:color w:val="000000" w:themeColor="text1"/>
                <w:sz w:val="20"/>
                <w:szCs w:val="20"/>
              </w:rPr>
              <w:t>dintre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cele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două</w:t>
            </w:r>
            <w:proofErr w:type="spellEnd"/>
            <w:r w:rsidRPr="005C3300">
              <w:rPr>
                <w:rFonts w:ascii="Times New Roman" w:eastAsia="Arial Unicode MS" w:hAnsi="Times New Roman" w:cs="Times New Roman"/>
                <w:color w:val="000000" w:themeColor="text1"/>
                <w:sz w:val="20"/>
                <w:szCs w:val="20"/>
              </w:rPr>
              <w:t>.</w:t>
            </w:r>
          </w:p>
          <w:p w14:paraId="79B5533D" w14:textId="60D08179" w:rsidR="00043E2B" w:rsidRPr="00043E2B" w:rsidRDefault="00043E2B" w:rsidP="00043E2B">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C47466B" w14:textId="61004B0C" w:rsidR="00D62F3C" w:rsidRPr="002C32BA" w:rsidRDefault="00914AB5" w:rsidP="00D62F3C">
            <w:pPr>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885" w:type="pct"/>
          </w:tcPr>
          <w:p w14:paraId="15654912" w14:textId="634BE74B" w:rsidR="00D62F3C" w:rsidRPr="002C32BA" w:rsidRDefault="00D62F3C" w:rsidP="00D62F3C">
            <w:pPr>
              <w:rPr>
                <w:rFonts w:ascii="Times New Roman" w:hAnsi="Times New Roman" w:cs="Times New Roman"/>
                <w:sz w:val="20"/>
                <w:szCs w:val="20"/>
                <w:lang w:val="ro-RO"/>
              </w:rPr>
            </w:pPr>
          </w:p>
        </w:tc>
      </w:tr>
      <w:tr w:rsidR="00914AB5" w:rsidRPr="00914AB5" w14:paraId="24AFB16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0AD21EA" w14:textId="77777777" w:rsidR="00914AB5" w:rsidRDefault="00914AB5" w:rsidP="00914AB5">
            <w:pPr>
              <w:pStyle w:val="CM4"/>
              <w:tabs>
                <w:tab w:val="left" w:pos="150"/>
              </w:tabs>
              <w:ind w:left="-43"/>
              <w:jc w:val="both"/>
              <w:rPr>
                <w:rFonts w:ascii="Times New Roman" w:hAnsi="Times New Roman"/>
                <w:sz w:val="20"/>
                <w:szCs w:val="20"/>
                <w:lang w:val="ro-RO" w:eastAsia="ru-RU"/>
              </w:rPr>
            </w:pPr>
            <w:r w:rsidRPr="00914AB5">
              <w:rPr>
                <w:rFonts w:ascii="Times New Roman" w:hAnsi="Times New Roman"/>
                <w:sz w:val="20"/>
                <w:szCs w:val="20"/>
                <w:lang w:val="ro-RO" w:eastAsia="ru-RU"/>
              </w:rPr>
              <w:t>În scopul calculării valorii medii, instituțiile iau în considerare media valorilor bunului imobil observate la intervale egale, iar perioada de referință include cel puțin trei puncte de date.</w:t>
            </w:r>
          </w:p>
          <w:p w14:paraId="78D76E5A" w14:textId="00C640B5" w:rsidR="00914AB5" w:rsidRPr="00914AB5" w:rsidRDefault="00914AB5" w:rsidP="00914AB5">
            <w:pPr>
              <w:pStyle w:val="CM4"/>
              <w:tabs>
                <w:tab w:val="left" w:pos="150"/>
              </w:tabs>
              <w:ind w:left="-43"/>
              <w:jc w:val="both"/>
              <w:rPr>
                <w:rFonts w:ascii="Times New Roman" w:hAnsi="Times New Roman"/>
                <w:sz w:val="20"/>
                <w:szCs w:val="20"/>
                <w:lang w:val="ro-RO" w:eastAsia="ru-RU"/>
              </w:rPr>
            </w:pPr>
            <w:r w:rsidRPr="00914AB5">
              <w:rPr>
                <w:rFonts w:ascii="Times New Roman" w:hAnsi="Times New Roman"/>
                <w:sz w:val="20"/>
                <w:szCs w:val="20"/>
                <w:lang w:val="ro-RO" w:eastAsia="ru-RU"/>
              </w:rPr>
              <w:t>În scopul calculării valorii medii, instituțiile pot utiliza rezultatele monitorizării valorilor bunului imobil în conformitate cu articolul 208 alineatul (3). Valoarea bunului imobil poate depăși valoarea medie respectivă sau valoarea în momentul inițierii, după caz, în cazul modificărilor aduse bunului care îi sporesc fără echivoc valoarea, cum ar fi îmbunătățirea performanței energetice sau îmbunătățirea rezilienței, a protecției și a adaptării la riscurile fizice ale clădirii sau ale unității locative. Valoarea bunului imobil nu poate fi reevaluată în sens crescător dacă instituțiile nu au suficiente date pentru a calcula valoarea medie, cu excepția cazului în care creșterea valorii se bazează pe modificări care sporesc fără echivoc valoarea bunului imobil.</w:t>
            </w:r>
          </w:p>
        </w:tc>
        <w:tc>
          <w:tcPr>
            <w:tcW w:w="1636" w:type="pct"/>
            <w:shd w:val="clear" w:color="auto" w:fill="auto"/>
          </w:tcPr>
          <w:p w14:paraId="4C77E4EA" w14:textId="77777777" w:rsidR="00914AB5" w:rsidRPr="00914AB5" w:rsidRDefault="00914AB5" w:rsidP="00914AB5">
            <w:pPr>
              <w:pStyle w:val="norm"/>
              <w:shd w:val="clear" w:color="auto" w:fill="FFFFFF"/>
              <w:spacing w:before="0" w:beforeAutospacing="0" w:after="0" w:afterAutospacing="0"/>
              <w:jc w:val="both"/>
              <w:rPr>
                <w:rFonts w:eastAsia="Arial Unicode MS"/>
                <w:color w:val="000000" w:themeColor="text1"/>
                <w:sz w:val="20"/>
                <w:szCs w:val="20"/>
              </w:rPr>
            </w:pPr>
            <w:r w:rsidRPr="00914AB5">
              <w:rPr>
                <w:b/>
                <w:bCs/>
                <w:color w:val="000000" w:themeColor="text1"/>
                <w:sz w:val="20"/>
                <w:szCs w:val="20"/>
                <w:lang w:val="ro-RO"/>
              </w:rPr>
              <w:t>107</w:t>
            </w:r>
            <w:r w:rsidRPr="00914AB5">
              <w:rPr>
                <w:b/>
                <w:bCs/>
                <w:color w:val="000000" w:themeColor="text1"/>
                <w:sz w:val="20"/>
                <w:szCs w:val="20"/>
                <w:vertAlign w:val="superscript"/>
                <w:lang w:val="ro-RO"/>
              </w:rPr>
              <w:t>2</w:t>
            </w:r>
            <w:r w:rsidRPr="00914AB5">
              <w:rPr>
                <w:b/>
                <w:bCs/>
                <w:color w:val="000000" w:themeColor="text1"/>
                <w:sz w:val="20"/>
                <w:szCs w:val="20"/>
                <w:lang w:val="ro-RO"/>
              </w:rPr>
              <w:t xml:space="preserve">. </w:t>
            </w:r>
            <w:r w:rsidRPr="00914AB5">
              <w:rPr>
                <w:sz w:val="20"/>
                <w:szCs w:val="20"/>
                <w:lang w:val="ro-RO" w:eastAsia="ru-RU"/>
              </w:rPr>
              <w:t>În scopul calculării valorii medii, băncile iau în considerare media valorilor bunului imobil observate la intervale egale, iar perioada de referință include cel puțin trei puncte de date</w:t>
            </w:r>
            <w:r w:rsidRPr="00914AB5">
              <w:rPr>
                <w:rFonts w:eastAsia="Arial Unicode MS"/>
                <w:color w:val="000000" w:themeColor="text1"/>
                <w:sz w:val="20"/>
                <w:szCs w:val="20"/>
              </w:rPr>
              <w:t>.</w:t>
            </w:r>
          </w:p>
          <w:p w14:paraId="2877EC76" w14:textId="77777777" w:rsidR="00914AB5" w:rsidRDefault="00914AB5" w:rsidP="00914AB5">
            <w:pPr>
              <w:pStyle w:val="title-article-norm"/>
              <w:shd w:val="clear" w:color="auto" w:fill="FFFFFF"/>
              <w:spacing w:before="0" w:after="0"/>
              <w:jc w:val="both"/>
              <w:rPr>
                <w:rFonts w:eastAsia="Arial Unicode MS"/>
                <w:i w:val="0"/>
                <w:iCs w:val="0"/>
                <w:color w:val="000000" w:themeColor="text1"/>
                <w:sz w:val="20"/>
                <w:szCs w:val="20"/>
              </w:rPr>
            </w:pP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scopul</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calculării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valorii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medii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băncile</w:t>
            </w:r>
            <w:proofErr w:type="spellEnd"/>
            <w:r w:rsidRPr="00914AB5">
              <w:rPr>
                <w:rFonts w:eastAsia="Arial Unicode MS"/>
                <w:i w:val="0"/>
                <w:iCs w:val="0"/>
                <w:color w:val="000000" w:themeColor="text1"/>
                <w:sz w:val="20"/>
                <w:szCs w:val="20"/>
              </w:rPr>
              <w:t xml:space="preserve"> pot </w:t>
            </w:r>
            <w:proofErr w:type="spellStart"/>
            <w:r w:rsidRPr="00914AB5">
              <w:rPr>
                <w:rFonts w:eastAsia="Arial Unicode MS"/>
                <w:i w:val="0"/>
                <w:iCs w:val="0"/>
                <w:color w:val="000000" w:themeColor="text1"/>
                <w:sz w:val="20"/>
                <w:szCs w:val="20"/>
              </w:rPr>
              <w:t>utiliza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rezultatele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monitorizării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valorilor</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bunului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efectuate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conformitate</w:t>
            </w:r>
            <w:proofErr w:type="spellEnd"/>
            <w:r w:rsidRPr="00914AB5">
              <w:rPr>
                <w:rFonts w:eastAsia="Arial Unicode MS"/>
                <w:i w:val="0"/>
                <w:iCs w:val="0"/>
                <w:color w:val="000000" w:themeColor="text1"/>
                <w:sz w:val="20"/>
                <w:szCs w:val="20"/>
              </w:rPr>
              <w:t xml:space="preserve"> cu </w:t>
            </w:r>
            <w:proofErr w:type="spellStart"/>
            <w:r w:rsidRPr="00914AB5">
              <w:rPr>
                <w:rFonts w:eastAsia="Arial Unicode MS"/>
                <w:i w:val="0"/>
                <w:iCs w:val="0"/>
                <w:color w:val="000000" w:themeColor="text1"/>
                <w:sz w:val="20"/>
                <w:szCs w:val="20"/>
              </w:rPr>
              <w:t>anexa</w:t>
            </w:r>
            <w:proofErr w:type="spellEnd"/>
            <w:r w:rsidRPr="00914AB5">
              <w:rPr>
                <w:rFonts w:eastAsia="Arial Unicode MS"/>
                <w:i w:val="0"/>
                <w:iCs w:val="0"/>
                <w:color w:val="000000" w:themeColor="text1"/>
                <w:sz w:val="20"/>
                <w:szCs w:val="20"/>
              </w:rPr>
              <w:t xml:space="preserve"> nr.2 la </w:t>
            </w:r>
            <w:proofErr w:type="spellStart"/>
            <w:r w:rsidRPr="00914AB5">
              <w:rPr>
                <w:rFonts w:eastAsia="Arial Unicode MS"/>
                <w:i w:val="0"/>
                <w:iCs w:val="0"/>
                <w:color w:val="000000" w:themeColor="text1"/>
                <w:sz w:val="20"/>
                <w:szCs w:val="20"/>
              </w:rPr>
              <w:t>Regulamentul</w:t>
            </w:r>
            <w:proofErr w:type="spellEnd"/>
            <w:r w:rsidRPr="00914AB5">
              <w:rPr>
                <w:rFonts w:eastAsia="Arial Unicode MS"/>
                <w:i w:val="0"/>
                <w:iCs w:val="0"/>
                <w:color w:val="000000" w:themeColor="text1"/>
                <w:sz w:val="20"/>
                <w:szCs w:val="20"/>
              </w:rPr>
              <w:t xml:space="preserve"> nr.111/2018. </w:t>
            </w:r>
            <w:proofErr w:type="spellStart"/>
            <w:r w:rsidRPr="00914AB5">
              <w:rPr>
                <w:rFonts w:eastAsia="Arial Unicode MS"/>
                <w:i w:val="0"/>
                <w:iCs w:val="0"/>
                <w:color w:val="000000" w:themeColor="text1"/>
                <w:sz w:val="20"/>
                <w:szCs w:val="20"/>
              </w:rPr>
              <w:t>Valoarea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bunului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poate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depăși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valoarea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medie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respectivă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sau</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valoarea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momentul</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inițierii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după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caz</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cazul</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modificărilor</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aduse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bunului</w:t>
            </w:r>
            <w:proofErr w:type="spellEnd"/>
            <w:r w:rsidRPr="00914AB5">
              <w:rPr>
                <w:rFonts w:eastAsia="Arial Unicode MS"/>
                <w:i w:val="0"/>
                <w:iCs w:val="0"/>
                <w:color w:val="000000" w:themeColor="text1"/>
                <w:sz w:val="20"/>
                <w:szCs w:val="20"/>
              </w:rPr>
              <w:t xml:space="preserve"> care </w:t>
            </w:r>
            <w:proofErr w:type="spellStart"/>
            <w:r w:rsidRPr="00914AB5">
              <w:rPr>
                <w:rFonts w:eastAsia="Arial Unicode MS"/>
                <w:i w:val="0"/>
                <w:iCs w:val="0"/>
                <w:color w:val="000000" w:themeColor="text1"/>
                <w:sz w:val="20"/>
                <w:szCs w:val="20"/>
              </w:rPr>
              <w:t>îi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sporesc</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fără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echivoc</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valoarea</w:t>
            </w:r>
            <w:proofErr w:type="spellEnd"/>
            <w:r w:rsidRPr="00914AB5">
              <w:rPr>
                <w:rFonts w:eastAsia="Arial Unicode MS"/>
                <w:i w:val="0"/>
                <w:iCs w:val="0"/>
                <w:color w:val="000000" w:themeColor="text1"/>
                <w:sz w:val="20"/>
                <w:szCs w:val="20"/>
              </w:rPr>
              <w:t xml:space="preserve">, cum </w:t>
            </w:r>
            <w:proofErr w:type="spellStart"/>
            <w:r w:rsidRPr="00914AB5">
              <w:rPr>
                <w:rFonts w:eastAsia="Arial Unicode MS"/>
                <w:i w:val="0"/>
                <w:iCs w:val="0"/>
                <w:color w:val="000000" w:themeColor="text1"/>
                <w:sz w:val="20"/>
                <w:szCs w:val="20"/>
              </w:rPr>
              <w:t>ar</w:t>
            </w:r>
            <w:proofErr w:type="spellEnd"/>
            <w:r w:rsidRPr="00914AB5">
              <w:rPr>
                <w:rFonts w:eastAsia="Arial Unicode MS"/>
                <w:i w:val="0"/>
                <w:iCs w:val="0"/>
                <w:color w:val="000000" w:themeColor="text1"/>
                <w:sz w:val="20"/>
                <w:szCs w:val="20"/>
              </w:rPr>
              <w:t xml:space="preserve"> fi </w:t>
            </w:r>
            <w:proofErr w:type="spellStart"/>
            <w:r w:rsidRPr="00914AB5">
              <w:rPr>
                <w:rFonts w:eastAsia="Arial Unicode MS"/>
                <w:i w:val="0"/>
                <w:iCs w:val="0"/>
                <w:color w:val="000000" w:themeColor="text1"/>
                <w:sz w:val="20"/>
                <w:szCs w:val="20"/>
              </w:rPr>
              <w:t>îmbunătățirea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performanței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energetice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sau</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îmbunătățirea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rezilienței</w:t>
            </w:r>
            <w:proofErr w:type="spellEnd"/>
            <w:r w:rsidRPr="00914AB5">
              <w:rPr>
                <w:rFonts w:eastAsia="Arial Unicode MS"/>
                <w:i w:val="0"/>
                <w:iCs w:val="0"/>
                <w:color w:val="000000" w:themeColor="text1"/>
                <w:sz w:val="20"/>
                <w:szCs w:val="20"/>
              </w:rPr>
              <w:t>, a </w:t>
            </w:r>
            <w:proofErr w:type="spellStart"/>
            <w:r w:rsidRPr="00914AB5">
              <w:rPr>
                <w:rFonts w:eastAsia="Arial Unicode MS"/>
                <w:i w:val="0"/>
                <w:iCs w:val="0"/>
                <w:color w:val="000000" w:themeColor="text1"/>
                <w:sz w:val="20"/>
                <w:szCs w:val="20"/>
              </w:rPr>
              <w:t>protecției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și</w:t>
            </w:r>
            <w:proofErr w:type="spellEnd"/>
            <w:r w:rsidRPr="00914AB5">
              <w:rPr>
                <w:rFonts w:eastAsia="Arial Unicode MS"/>
                <w:i w:val="0"/>
                <w:iCs w:val="0"/>
                <w:color w:val="000000" w:themeColor="text1"/>
                <w:sz w:val="20"/>
                <w:szCs w:val="20"/>
              </w:rPr>
              <w:t xml:space="preserve"> </w:t>
            </w:r>
            <w:proofErr w:type="gramStart"/>
            <w:r w:rsidRPr="00914AB5">
              <w:rPr>
                <w:rFonts w:eastAsia="Arial Unicode MS"/>
                <w:i w:val="0"/>
                <w:iCs w:val="0"/>
                <w:color w:val="000000" w:themeColor="text1"/>
                <w:sz w:val="20"/>
                <w:szCs w:val="20"/>
              </w:rPr>
              <w:t>a</w:t>
            </w:r>
            <w:proofErr w:type="gramEnd"/>
            <w:r w:rsidRPr="00914AB5">
              <w:rPr>
                <w:rFonts w:eastAsia="Arial Unicode MS"/>
                <w:i w:val="0"/>
                <w:iCs w:val="0"/>
                <w:color w:val="000000" w:themeColor="text1"/>
                <w:sz w:val="20"/>
                <w:szCs w:val="20"/>
              </w:rPr>
              <w:t> </w:t>
            </w:r>
            <w:proofErr w:type="spellStart"/>
            <w:r w:rsidRPr="00914AB5">
              <w:rPr>
                <w:rFonts w:eastAsia="Arial Unicode MS"/>
                <w:i w:val="0"/>
                <w:iCs w:val="0"/>
                <w:color w:val="000000" w:themeColor="text1"/>
                <w:sz w:val="20"/>
                <w:szCs w:val="20"/>
              </w:rPr>
              <w:t>adaptării</w:t>
            </w:r>
            <w:proofErr w:type="spellEnd"/>
            <w:r w:rsidRPr="00914AB5">
              <w:rPr>
                <w:rFonts w:eastAsia="Arial Unicode MS"/>
                <w:i w:val="0"/>
                <w:iCs w:val="0"/>
                <w:color w:val="000000" w:themeColor="text1"/>
                <w:sz w:val="20"/>
                <w:szCs w:val="20"/>
              </w:rPr>
              <w:t xml:space="preserve"> la </w:t>
            </w:r>
            <w:proofErr w:type="spellStart"/>
            <w:r w:rsidRPr="00914AB5">
              <w:rPr>
                <w:rFonts w:eastAsia="Arial Unicode MS"/>
                <w:i w:val="0"/>
                <w:iCs w:val="0"/>
                <w:color w:val="000000" w:themeColor="text1"/>
                <w:sz w:val="20"/>
                <w:szCs w:val="20"/>
              </w:rPr>
              <w:t>riscurile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fizice</w:t>
            </w:r>
            <w:proofErr w:type="spellEnd"/>
            <w:r w:rsidRPr="00914AB5">
              <w:rPr>
                <w:rFonts w:eastAsia="Arial Unicode MS"/>
                <w:i w:val="0"/>
                <w:iCs w:val="0"/>
                <w:color w:val="000000" w:themeColor="text1"/>
                <w:sz w:val="20"/>
                <w:szCs w:val="20"/>
              </w:rPr>
              <w:t xml:space="preserve"> ale </w:t>
            </w:r>
            <w:proofErr w:type="spellStart"/>
            <w:r w:rsidRPr="00914AB5">
              <w:rPr>
                <w:rFonts w:eastAsia="Arial Unicode MS"/>
                <w:i w:val="0"/>
                <w:iCs w:val="0"/>
                <w:color w:val="000000" w:themeColor="text1"/>
                <w:sz w:val="20"/>
                <w:szCs w:val="20"/>
              </w:rPr>
              <w:t>clădirii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sau</w:t>
            </w:r>
            <w:proofErr w:type="spellEnd"/>
            <w:r w:rsidRPr="00914AB5">
              <w:rPr>
                <w:rFonts w:eastAsia="Arial Unicode MS"/>
                <w:i w:val="0"/>
                <w:iCs w:val="0"/>
                <w:color w:val="000000" w:themeColor="text1"/>
                <w:sz w:val="20"/>
                <w:szCs w:val="20"/>
              </w:rPr>
              <w:t xml:space="preserve"> ale </w:t>
            </w:r>
            <w:proofErr w:type="spellStart"/>
            <w:r w:rsidRPr="00914AB5">
              <w:rPr>
                <w:rFonts w:eastAsia="Arial Unicode MS"/>
                <w:i w:val="0"/>
                <w:iCs w:val="0"/>
                <w:color w:val="000000" w:themeColor="text1"/>
                <w:sz w:val="20"/>
                <w:szCs w:val="20"/>
              </w:rPr>
              <w:t>unității</w:t>
            </w:r>
            <w:proofErr w:type="spellEnd"/>
            <w:r w:rsidRPr="00914AB5">
              <w:rPr>
                <w:rFonts w:eastAsia="Arial Unicode MS"/>
                <w:i w:val="0"/>
                <w:iCs w:val="0"/>
                <w:color w:val="000000" w:themeColor="text1"/>
                <w:sz w:val="20"/>
                <w:szCs w:val="20"/>
              </w:rPr>
              <w:t xml:space="preserve"> locative. </w:t>
            </w:r>
            <w:proofErr w:type="spellStart"/>
            <w:r w:rsidRPr="00914AB5">
              <w:rPr>
                <w:rFonts w:eastAsia="Arial Unicode MS"/>
                <w:i w:val="0"/>
                <w:iCs w:val="0"/>
                <w:color w:val="000000" w:themeColor="text1"/>
                <w:sz w:val="20"/>
                <w:szCs w:val="20"/>
              </w:rPr>
              <w:t>Valoarea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bunului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w:t>
            </w:r>
            <w:proofErr w:type="spellEnd"/>
            <w:r w:rsidRPr="00914AB5">
              <w:rPr>
                <w:rFonts w:eastAsia="Arial Unicode MS"/>
                <w:i w:val="0"/>
                <w:iCs w:val="0"/>
                <w:color w:val="000000" w:themeColor="text1"/>
                <w:sz w:val="20"/>
                <w:szCs w:val="20"/>
              </w:rPr>
              <w:t xml:space="preserve"> nu </w:t>
            </w:r>
            <w:proofErr w:type="spellStart"/>
            <w:r w:rsidRPr="00914AB5">
              <w:rPr>
                <w:rFonts w:eastAsia="Arial Unicode MS"/>
                <w:i w:val="0"/>
                <w:iCs w:val="0"/>
                <w:color w:val="000000" w:themeColor="text1"/>
                <w:sz w:val="20"/>
                <w:szCs w:val="20"/>
              </w:rPr>
              <w:t>poate</w:t>
            </w:r>
            <w:proofErr w:type="spellEnd"/>
            <w:r w:rsidRPr="00914AB5">
              <w:rPr>
                <w:rFonts w:eastAsia="Arial Unicode MS"/>
                <w:i w:val="0"/>
                <w:iCs w:val="0"/>
                <w:color w:val="000000" w:themeColor="text1"/>
                <w:sz w:val="20"/>
                <w:szCs w:val="20"/>
              </w:rPr>
              <w:t xml:space="preserve"> fi </w:t>
            </w:r>
            <w:proofErr w:type="spellStart"/>
            <w:r w:rsidRPr="00914AB5">
              <w:rPr>
                <w:rFonts w:eastAsia="Arial Unicode MS"/>
                <w:i w:val="0"/>
                <w:iCs w:val="0"/>
                <w:color w:val="000000" w:themeColor="text1"/>
                <w:sz w:val="20"/>
                <w:szCs w:val="20"/>
              </w:rPr>
              <w:t>reevaluată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sens</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crescător</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dacă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băncile</w:t>
            </w:r>
            <w:proofErr w:type="spellEnd"/>
            <w:r w:rsidRPr="00914AB5">
              <w:rPr>
                <w:rFonts w:eastAsia="Arial Unicode MS"/>
                <w:i w:val="0"/>
                <w:iCs w:val="0"/>
                <w:color w:val="000000" w:themeColor="text1"/>
                <w:sz w:val="20"/>
                <w:szCs w:val="20"/>
              </w:rPr>
              <w:t xml:space="preserve"> nu au </w:t>
            </w:r>
            <w:proofErr w:type="spellStart"/>
            <w:r w:rsidRPr="00914AB5">
              <w:rPr>
                <w:rFonts w:eastAsia="Arial Unicode MS"/>
                <w:i w:val="0"/>
                <w:iCs w:val="0"/>
                <w:color w:val="000000" w:themeColor="text1"/>
                <w:sz w:val="20"/>
                <w:szCs w:val="20"/>
              </w:rPr>
              <w:t>suficiente</w:t>
            </w:r>
            <w:proofErr w:type="spellEnd"/>
            <w:r w:rsidRPr="00914AB5">
              <w:rPr>
                <w:rFonts w:eastAsia="Arial Unicode MS"/>
                <w:i w:val="0"/>
                <w:iCs w:val="0"/>
                <w:color w:val="000000" w:themeColor="text1"/>
                <w:sz w:val="20"/>
                <w:szCs w:val="20"/>
              </w:rPr>
              <w:t xml:space="preserve"> date </w:t>
            </w:r>
            <w:proofErr w:type="spellStart"/>
            <w:r w:rsidRPr="00914AB5">
              <w:rPr>
                <w:rFonts w:eastAsia="Arial Unicode MS"/>
                <w:i w:val="0"/>
                <w:iCs w:val="0"/>
                <w:color w:val="000000" w:themeColor="text1"/>
                <w:sz w:val="20"/>
                <w:szCs w:val="20"/>
              </w:rPr>
              <w:t>pentru</w:t>
            </w:r>
            <w:proofErr w:type="spellEnd"/>
            <w:r w:rsidRPr="00914AB5">
              <w:rPr>
                <w:rFonts w:eastAsia="Arial Unicode MS"/>
                <w:i w:val="0"/>
                <w:iCs w:val="0"/>
                <w:color w:val="000000" w:themeColor="text1"/>
                <w:sz w:val="20"/>
                <w:szCs w:val="20"/>
              </w:rPr>
              <w:t xml:space="preserve"> a </w:t>
            </w:r>
            <w:proofErr w:type="spellStart"/>
            <w:r w:rsidRPr="00914AB5">
              <w:rPr>
                <w:rFonts w:eastAsia="Arial Unicode MS"/>
                <w:i w:val="0"/>
                <w:iCs w:val="0"/>
                <w:color w:val="000000" w:themeColor="text1"/>
                <w:sz w:val="20"/>
                <w:szCs w:val="20"/>
              </w:rPr>
              <w:t>calcula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valoarea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medie</w:t>
            </w:r>
            <w:proofErr w:type="spellEnd"/>
            <w:r w:rsidRPr="00914AB5">
              <w:rPr>
                <w:rFonts w:eastAsia="Arial Unicode MS"/>
                <w:i w:val="0"/>
                <w:iCs w:val="0"/>
                <w:color w:val="000000" w:themeColor="text1"/>
                <w:sz w:val="20"/>
                <w:szCs w:val="20"/>
              </w:rPr>
              <w:t xml:space="preserve">, cu </w:t>
            </w:r>
            <w:proofErr w:type="spellStart"/>
            <w:r w:rsidRPr="00914AB5">
              <w:rPr>
                <w:rFonts w:eastAsia="Arial Unicode MS"/>
                <w:i w:val="0"/>
                <w:iCs w:val="0"/>
                <w:color w:val="000000" w:themeColor="text1"/>
                <w:sz w:val="20"/>
                <w:szCs w:val="20"/>
              </w:rPr>
              <w:t>excepția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cazului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care </w:t>
            </w:r>
            <w:proofErr w:type="spellStart"/>
            <w:r w:rsidRPr="00914AB5">
              <w:rPr>
                <w:rFonts w:eastAsia="Arial Unicode MS"/>
                <w:i w:val="0"/>
                <w:iCs w:val="0"/>
                <w:color w:val="000000" w:themeColor="text1"/>
                <w:sz w:val="20"/>
                <w:szCs w:val="20"/>
              </w:rPr>
              <w:t>creșterea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valorii</w:t>
            </w:r>
            <w:proofErr w:type="spellEnd"/>
            <w:r w:rsidRPr="00914AB5">
              <w:rPr>
                <w:rFonts w:eastAsia="Arial Unicode MS"/>
                <w:i w:val="0"/>
                <w:iCs w:val="0"/>
                <w:color w:val="000000" w:themeColor="text1"/>
                <w:sz w:val="20"/>
                <w:szCs w:val="20"/>
              </w:rPr>
              <w:t xml:space="preserve"> se </w:t>
            </w:r>
            <w:proofErr w:type="spellStart"/>
            <w:r w:rsidRPr="00914AB5">
              <w:rPr>
                <w:rFonts w:eastAsia="Arial Unicode MS"/>
                <w:i w:val="0"/>
                <w:iCs w:val="0"/>
                <w:color w:val="000000" w:themeColor="text1"/>
                <w:sz w:val="20"/>
                <w:szCs w:val="20"/>
              </w:rPr>
              <w:t>bazează</w:t>
            </w:r>
            <w:proofErr w:type="spellEnd"/>
            <w:r w:rsidRPr="00914AB5">
              <w:rPr>
                <w:rFonts w:eastAsia="Arial Unicode MS"/>
                <w:i w:val="0"/>
                <w:iCs w:val="0"/>
                <w:color w:val="000000" w:themeColor="text1"/>
                <w:sz w:val="20"/>
                <w:szCs w:val="20"/>
              </w:rPr>
              <w:t xml:space="preserve"> pe </w:t>
            </w:r>
            <w:proofErr w:type="spellStart"/>
            <w:r w:rsidRPr="00914AB5">
              <w:rPr>
                <w:rFonts w:eastAsia="Arial Unicode MS"/>
                <w:i w:val="0"/>
                <w:iCs w:val="0"/>
                <w:color w:val="000000" w:themeColor="text1"/>
                <w:sz w:val="20"/>
                <w:szCs w:val="20"/>
              </w:rPr>
              <w:t>modificări</w:t>
            </w:r>
            <w:proofErr w:type="spellEnd"/>
            <w:r w:rsidRPr="00914AB5">
              <w:rPr>
                <w:rFonts w:eastAsia="Arial Unicode MS"/>
                <w:i w:val="0"/>
                <w:iCs w:val="0"/>
                <w:color w:val="000000" w:themeColor="text1"/>
                <w:sz w:val="20"/>
                <w:szCs w:val="20"/>
              </w:rPr>
              <w:t xml:space="preserve"> care </w:t>
            </w:r>
            <w:proofErr w:type="spellStart"/>
            <w:r w:rsidRPr="00914AB5">
              <w:rPr>
                <w:rFonts w:eastAsia="Arial Unicode MS"/>
                <w:i w:val="0"/>
                <w:iCs w:val="0"/>
                <w:color w:val="000000" w:themeColor="text1"/>
                <w:sz w:val="20"/>
                <w:szCs w:val="20"/>
              </w:rPr>
              <w:t>sporesc</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fără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echivoc</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valoarea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bunului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w:t>
            </w:r>
            <w:proofErr w:type="spellEnd"/>
            <w:r w:rsidRPr="00914AB5">
              <w:rPr>
                <w:rFonts w:eastAsia="Arial Unicode MS"/>
                <w:i w:val="0"/>
                <w:iCs w:val="0"/>
                <w:color w:val="000000" w:themeColor="text1"/>
                <w:sz w:val="20"/>
                <w:szCs w:val="20"/>
              </w:rPr>
              <w:t>.</w:t>
            </w:r>
          </w:p>
          <w:p w14:paraId="7BB171FF" w14:textId="1BB73F50" w:rsidR="00914AB5" w:rsidRPr="00914AB5" w:rsidRDefault="00914AB5" w:rsidP="00914AB5">
            <w:pPr>
              <w:pStyle w:val="title-article-norm"/>
              <w:shd w:val="clear" w:color="auto" w:fill="FFFFFF"/>
              <w:spacing w:before="0" w:after="0"/>
              <w:jc w:val="both"/>
              <w:rPr>
                <w:b/>
                <w:bCs/>
                <w:i w:val="0"/>
                <w:iCs w:val="0"/>
                <w:color w:val="000000" w:themeColor="text1"/>
                <w:sz w:val="20"/>
                <w:szCs w:val="20"/>
                <w:lang w:val="ro-RO"/>
              </w:rPr>
            </w:pPr>
            <w:proofErr w:type="spellStart"/>
            <w:r w:rsidRPr="00684853">
              <w:rPr>
                <w:color w:val="000000" w:themeColor="text1"/>
                <w:sz w:val="20"/>
                <w:szCs w:val="20"/>
              </w:rPr>
              <w:t>Proiectul</w:t>
            </w:r>
            <w:proofErr w:type="spellEnd"/>
            <w:r w:rsidRPr="00684853">
              <w:rPr>
                <w:color w:val="000000" w:themeColor="text1"/>
                <w:sz w:val="20"/>
                <w:szCs w:val="20"/>
              </w:rPr>
              <w:t xml:space="preserve"> HCE al BNM </w:t>
            </w:r>
            <w:proofErr w:type="spellStart"/>
            <w:r w:rsidRPr="00684853">
              <w:rPr>
                <w:color w:val="000000" w:themeColor="text1"/>
                <w:sz w:val="20"/>
                <w:szCs w:val="20"/>
              </w:rPr>
              <w:t>pentru</w:t>
            </w:r>
            <w:proofErr w:type="spellEnd"/>
            <w:r w:rsidRPr="00684853">
              <w:rPr>
                <w:color w:val="000000" w:themeColor="text1"/>
                <w:sz w:val="20"/>
                <w:szCs w:val="20"/>
              </w:rPr>
              <w:t xml:space="preserve"> </w:t>
            </w:r>
            <w:proofErr w:type="spellStart"/>
            <w:r w:rsidRPr="00684853">
              <w:rPr>
                <w:color w:val="000000" w:themeColor="text1"/>
                <w:sz w:val="20"/>
                <w:szCs w:val="20"/>
              </w:rPr>
              <w:t>modificarea</w:t>
            </w:r>
            <w:proofErr w:type="spellEnd"/>
            <w:r>
              <w:rPr>
                <w:color w:val="000000" w:themeColor="text1"/>
                <w:sz w:val="20"/>
                <w:szCs w:val="20"/>
              </w:rPr>
              <w:t xml:space="preserve"> </w:t>
            </w:r>
            <w:proofErr w:type="spellStart"/>
            <w:r w:rsidRPr="00314B7C">
              <w:rPr>
                <w:color w:val="000000" w:themeColor="text1"/>
                <w:sz w:val="20"/>
                <w:szCs w:val="20"/>
              </w:rPr>
              <w:t>Regulamentului</w:t>
            </w:r>
            <w:proofErr w:type="spellEnd"/>
            <w:r w:rsidRPr="00314B7C">
              <w:rPr>
                <w:color w:val="000000" w:themeColor="text1"/>
                <w:sz w:val="20"/>
                <w:szCs w:val="20"/>
              </w:rPr>
              <w:t xml:space="preserve"> </w:t>
            </w:r>
            <w:r>
              <w:rPr>
                <w:color w:val="000000" w:themeColor="text1"/>
                <w:sz w:val="20"/>
                <w:szCs w:val="20"/>
              </w:rPr>
              <w:t xml:space="preserve">nr.112/2018 </w:t>
            </w:r>
            <w:r w:rsidRPr="00314B7C">
              <w:rPr>
                <w:color w:val="000000" w:themeColor="text1"/>
                <w:sz w:val="20"/>
                <w:szCs w:val="20"/>
              </w:rPr>
              <w:t xml:space="preserve">cu </w:t>
            </w:r>
            <w:proofErr w:type="spellStart"/>
            <w:r w:rsidRPr="00314B7C">
              <w:rPr>
                <w:color w:val="000000" w:themeColor="text1"/>
                <w:sz w:val="20"/>
                <w:szCs w:val="20"/>
              </w:rPr>
              <w:t>privire</w:t>
            </w:r>
            <w:proofErr w:type="spellEnd"/>
            <w:r w:rsidRPr="00314B7C">
              <w:rPr>
                <w:color w:val="000000" w:themeColor="text1"/>
                <w:sz w:val="20"/>
                <w:szCs w:val="20"/>
              </w:rPr>
              <w:t xml:space="preserve"> la </w:t>
            </w:r>
            <w:proofErr w:type="spellStart"/>
            <w:r w:rsidRPr="00314B7C">
              <w:rPr>
                <w:color w:val="000000" w:themeColor="text1"/>
                <w:sz w:val="20"/>
                <w:szCs w:val="20"/>
              </w:rPr>
              <w:t>tehnicile</w:t>
            </w:r>
            <w:proofErr w:type="spellEnd"/>
            <w:r w:rsidRPr="00314B7C">
              <w:rPr>
                <w:color w:val="000000" w:themeColor="text1"/>
                <w:sz w:val="20"/>
                <w:szCs w:val="20"/>
              </w:rPr>
              <w:t xml:space="preserve"> de </w:t>
            </w:r>
            <w:proofErr w:type="spellStart"/>
            <w:r w:rsidRPr="00314B7C">
              <w:rPr>
                <w:color w:val="000000" w:themeColor="text1"/>
                <w:sz w:val="20"/>
                <w:szCs w:val="20"/>
              </w:rPr>
              <w:t>diminuare</w:t>
            </w:r>
            <w:proofErr w:type="spellEnd"/>
            <w:r w:rsidRPr="00314B7C">
              <w:rPr>
                <w:color w:val="000000" w:themeColor="text1"/>
                <w:sz w:val="20"/>
                <w:szCs w:val="20"/>
              </w:rPr>
              <w:t xml:space="preserve"> a </w:t>
            </w:r>
            <w:proofErr w:type="spellStart"/>
            <w:r w:rsidRPr="00314B7C">
              <w:rPr>
                <w:color w:val="000000" w:themeColor="text1"/>
                <w:sz w:val="20"/>
                <w:szCs w:val="20"/>
              </w:rPr>
              <w:t>riscului</w:t>
            </w:r>
            <w:proofErr w:type="spellEnd"/>
            <w:r w:rsidRPr="00314B7C">
              <w:rPr>
                <w:color w:val="000000" w:themeColor="text1"/>
                <w:sz w:val="20"/>
                <w:szCs w:val="20"/>
              </w:rPr>
              <w:t xml:space="preserve"> de credit </w:t>
            </w:r>
            <w:proofErr w:type="spellStart"/>
            <w:r w:rsidRPr="00314B7C">
              <w:rPr>
                <w:color w:val="000000" w:themeColor="text1"/>
                <w:sz w:val="20"/>
                <w:szCs w:val="20"/>
              </w:rPr>
              <w:t>utilizate</w:t>
            </w:r>
            <w:proofErr w:type="spellEnd"/>
            <w:r w:rsidRPr="00314B7C">
              <w:rPr>
                <w:color w:val="000000" w:themeColor="text1"/>
                <w:sz w:val="20"/>
                <w:szCs w:val="20"/>
              </w:rPr>
              <w:t xml:space="preserve"> de </w:t>
            </w:r>
            <w:proofErr w:type="spellStart"/>
            <w:r w:rsidRPr="00314B7C">
              <w:rPr>
                <w:color w:val="000000" w:themeColor="text1"/>
                <w:sz w:val="20"/>
                <w:szCs w:val="20"/>
              </w:rPr>
              <w:t>bănci</w:t>
            </w:r>
            <w:proofErr w:type="spellEnd"/>
          </w:p>
        </w:tc>
        <w:tc>
          <w:tcPr>
            <w:tcW w:w="562" w:type="pct"/>
          </w:tcPr>
          <w:p w14:paraId="616F34DA" w14:textId="7A68D592" w:rsidR="00914AB5" w:rsidRDefault="00914AB5" w:rsidP="00914AB5">
            <w:pPr>
              <w:rPr>
                <w:rFonts w:ascii="Times New Roman" w:hAnsi="Times New Roman" w:cs="Times New Roman"/>
                <w:sz w:val="20"/>
                <w:szCs w:val="20"/>
                <w:lang w:val="ro-RO"/>
              </w:rPr>
            </w:pPr>
            <w:r w:rsidRPr="00BD18BE">
              <w:rPr>
                <w:rFonts w:ascii="Times New Roman" w:hAnsi="Times New Roman" w:cs="Times New Roman"/>
                <w:sz w:val="20"/>
                <w:szCs w:val="20"/>
                <w:lang w:val="ro-RO"/>
              </w:rPr>
              <w:t>Compatibil</w:t>
            </w:r>
          </w:p>
        </w:tc>
        <w:tc>
          <w:tcPr>
            <w:tcW w:w="885" w:type="pct"/>
          </w:tcPr>
          <w:p w14:paraId="024B7AB9" w14:textId="77777777" w:rsidR="00914AB5" w:rsidRPr="002C32BA" w:rsidRDefault="00914AB5" w:rsidP="00914AB5">
            <w:pPr>
              <w:rPr>
                <w:rFonts w:ascii="Times New Roman" w:hAnsi="Times New Roman" w:cs="Times New Roman"/>
                <w:sz w:val="20"/>
                <w:szCs w:val="20"/>
                <w:lang w:val="ro-RO"/>
              </w:rPr>
            </w:pPr>
          </w:p>
        </w:tc>
      </w:tr>
      <w:tr w:rsidR="00914AB5" w:rsidRPr="00914AB5" w14:paraId="3F1FF45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C10547E" w14:textId="6FDB77C1" w:rsidR="00914AB5" w:rsidRPr="00914AB5" w:rsidRDefault="00914AB5" w:rsidP="00532468">
            <w:pPr>
              <w:pStyle w:val="CM4"/>
              <w:tabs>
                <w:tab w:val="left" w:pos="150"/>
              </w:tabs>
              <w:ind w:left="-43"/>
              <w:jc w:val="both"/>
              <w:rPr>
                <w:rFonts w:ascii="Times New Roman" w:hAnsi="Times New Roman"/>
                <w:sz w:val="20"/>
                <w:szCs w:val="20"/>
                <w:lang w:val="ro-RO" w:eastAsia="ru-RU"/>
              </w:rPr>
            </w:pPr>
            <w:r w:rsidRPr="00914AB5">
              <w:rPr>
                <w:rFonts w:ascii="Times New Roman" w:hAnsi="Times New Roman"/>
                <w:sz w:val="20"/>
                <w:szCs w:val="20"/>
                <w:lang w:val="ro-RO" w:eastAsia="ru-RU"/>
              </w:rPr>
              <w:t>Evaluarea bunurilor imobile ține seama de eventualele creanțe anterioare asupra bunurilor imobile, cu excepția cazului în care o creanță anterioară este luată în considerare la calcularea cuantumului brut al expunerii în temeiul articolului 124 alineatul (6) litera (c) sau ca factor ce reduce cuantumul de 55 % din valoarea bunului imobil în temeiul articolului 125 alineatul (1) sau 126 alineatul (1), și reflectă, după caz, rezultatele monitorizării impuse în temeiul articolului 208 alineatul (3).</w:t>
            </w:r>
          </w:p>
        </w:tc>
        <w:tc>
          <w:tcPr>
            <w:tcW w:w="1636" w:type="pct"/>
            <w:shd w:val="clear" w:color="auto" w:fill="auto"/>
          </w:tcPr>
          <w:p w14:paraId="5DBDA0DD" w14:textId="77777777" w:rsidR="00914AB5" w:rsidRDefault="00914AB5" w:rsidP="00914AB5">
            <w:pPr>
              <w:pStyle w:val="title-article-norm"/>
              <w:shd w:val="clear" w:color="auto" w:fill="FFFFFF"/>
              <w:spacing w:before="0" w:after="0"/>
              <w:jc w:val="both"/>
              <w:rPr>
                <w:rFonts w:eastAsia="Arial Unicode MS"/>
                <w:i w:val="0"/>
                <w:iCs w:val="0"/>
                <w:color w:val="000000" w:themeColor="text1"/>
                <w:sz w:val="20"/>
                <w:szCs w:val="20"/>
              </w:rPr>
            </w:pPr>
            <w:r w:rsidRPr="00914AB5">
              <w:rPr>
                <w:b/>
                <w:bCs/>
                <w:i w:val="0"/>
                <w:iCs w:val="0"/>
                <w:color w:val="000000" w:themeColor="text1"/>
                <w:sz w:val="20"/>
                <w:szCs w:val="20"/>
                <w:lang w:val="ro-RO"/>
              </w:rPr>
              <w:t>107</w:t>
            </w:r>
            <w:r w:rsidRPr="00914AB5">
              <w:rPr>
                <w:b/>
                <w:bCs/>
                <w:i w:val="0"/>
                <w:iCs w:val="0"/>
                <w:color w:val="000000" w:themeColor="text1"/>
                <w:sz w:val="20"/>
                <w:szCs w:val="20"/>
                <w:vertAlign w:val="superscript"/>
                <w:lang w:val="ro-RO"/>
              </w:rPr>
              <w:t>3</w:t>
            </w:r>
            <w:r w:rsidRPr="00914AB5">
              <w:rPr>
                <w:b/>
                <w:bCs/>
                <w:i w:val="0"/>
                <w:iCs w:val="0"/>
                <w:color w:val="000000" w:themeColor="text1"/>
                <w:sz w:val="20"/>
                <w:szCs w:val="20"/>
                <w:lang w:val="ro-RO"/>
              </w:rPr>
              <w:t>.</w:t>
            </w:r>
            <w:r w:rsidRPr="00914AB5">
              <w:rPr>
                <w:i w:val="0"/>
                <w:iCs w:val="0"/>
                <w:color w:val="000000" w:themeColor="text1"/>
                <w:sz w:val="20"/>
                <w:szCs w:val="20"/>
                <w:lang w:val="ro-RO"/>
              </w:rPr>
              <w:t xml:space="preserve"> </w:t>
            </w:r>
            <w:proofErr w:type="spellStart"/>
            <w:r w:rsidRPr="00914AB5">
              <w:rPr>
                <w:rFonts w:eastAsia="Arial Unicode MS"/>
                <w:i w:val="0"/>
                <w:iCs w:val="0"/>
                <w:color w:val="000000" w:themeColor="text1"/>
                <w:sz w:val="20"/>
                <w:szCs w:val="20"/>
              </w:rPr>
              <w:t>Evaluarea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bunurilor</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ține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seama</w:t>
            </w:r>
            <w:proofErr w:type="spellEnd"/>
            <w:r w:rsidRPr="00914AB5">
              <w:rPr>
                <w:rFonts w:eastAsia="Arial Unicode MS"/>
                <w:i w:val="0"/>
                <w:iCs w:val="0"/>
                <w:color w:val="000000" w:themeColor="text1"/>
                <w:sz w:val="20"/>
                <w:szCs w:val="20"/>
              </w:rPr>
              <w:t xml:space="preserve"> de </w:t>
            </w:r>
            <w:proofErr w:type="spellStart"/>
            <w:r w:rsidRPr="00914AB5">
              <w:rPr>
                <w:rFonts w:eastAsia="Arial Unicode MS"/>
                <w:i w:val="0"/>
                <w:iCs w:val="0"/>
                <w:color w:val="000000" w:themeColor="text1"/>
                <w:sz w:val="20"/>
                <w:szCs w:val="20"/>
              </w:rPr>
              <w:t>eventualele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creanțe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anterioare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asupra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bunurilor</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imobile</w:t>
            </w:r>
            <w:proofErr w:type="spellEnd"/>
            <w:r w:rsidRPr="00914AB5">
              <w:rPr>
                <w:rFonts w:eastAsia="Arial Unicode MS"/>
                <w:i w:val="0"/>
                <w:iCs w:val="0"/>
                <w:color w:val="000000" w:themeColor="text1"/>
                <w:sz w:val="20"/>
                <w:szCs w:val="20"/>
              </w:rPr>
              <w:t xml:space="preserve">, cu </w:t>
            </w:r>
            <w:proofErr w:type="spellStart"/>
            <w:r w:rsidRPr="00914AB5">
              <w:rPr>
                <w:rFonts w:eastAsia="Arial Unicode MS"/>
                <w:i w:val="0"/>
                <w:iCs w:val="0"/>
                <w:color w:val="000000" w:themeColor="text1"/>
                <w:sz w:val="20"/>
                <w:szCs w:val="20"/>
              </w:rPr>
              <w:t>excepția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cazului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care o </w:t>
            </w:r>
            <w:proofErr w:type="spellStart"/>
            <w:r w:rsidRPr="00914AB5">
              <w:rPr>
                <w:rFonts w:eastAsia="Arial Unicode MS"/>
                <w:i w:val="0"/>
                <w:iCs w:val="0"/>
                <w:color w:val="000000" w:themeColor="text1"/>
                <w:sz w:val="20"/>
                <w:szCs w:val="20"/>
              </w:rPr>
              <w:t>creanță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anterioară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este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luată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considerare</w:t>
            </w:r>
            <w:proofErr w:type="spellEnd"/>
            <w:r w:rsidRPr="00914AB5">
              <w:rPr>
                <w:rFonts w:eastAsia="Arial Unicode MS"/>
                <w:i w:val="0"/>
                <w:iCs w:val="0"/>
                <w:color w:val="000000" w:themeColor="text1"/>
                <w:sz w:val="20"/>
                <w:szCs w:val="20"/>
              </w:rPr>
              <w:t xml:space="preserve"> la </w:t>
            </w:r>
            <w:proofErr w:type="spellStart"/>
            <w:r w:rsidRPr="00914AB5">
              <w:rPr>
                <w:rFonts w:eastAsia="Arial Unicode MS"/>
                <w:i w:val="0"/>
                <w:iCs w:val="0"/>
                <w:color w:val="000000" w:themeColor="text1"/>
                <w:sz w:val="20"/>
                <w:szCs w:val="20"/>
              </w:rPr>
              <w:t>calcularea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cuantumului</w:t>
            </w:r>
            <w:proofErr w:type="spellEnd"/>
            <w:r w:rsidRPr="00914AB5">
              <w:rPr>
                <w:rFonts w:eastAsia="Arial Unicode MS"/>
                <w:i w:val="0"/>
                <w:iCs w:val="0"/>
                <w:color w:val="000000" w:themeColor="text1"/>
                <w:sz w:val="20"/>
                <w:szCs w:val="20"/>
              </w:rPr>
              <w:t xml:space="preserve"> brut al </w:t>
            </w:r>
            <w:proofErr w:type="spellStart"/>
            <w:r w:rsidRPr="00914AB5">
              <w:rPr>
                <w:rFonts w:eastAsia="Arial Unicode MS"/>
                <w:i w:val="0"/>
                <w:iCs w:val="0"/>
                <w:color w:val="000000" w:themeColor="text1"/>
                <w:sz w:val="20"/>
                <w:szCs w:val="20"/>
              </w:rPr>
              <w:t>expunerii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temeiul</w:t>
            </w:r>
            <w:proofErr w:type="spellEnd"/>
            <w:r w:rsidRPr="00914AB5">
              <w:rPr>
                <w:i w:val="0"/>
                <w:iCs w:val="0"/>
                <w:color w:val="000000" w:themeColor="text1"/>
                <w:sz w:val="20"/>
                <w:szCs w:val="20"/>
              </w:rPr>
              <w:t xml:space="preserve"> </w:t>
            </w:r>
            <w:proofErr w:type="spellStart"/>
            <w:r w:rsidRPr="00914AB5">
              <w:rPr>
                <w:i w:val="0"/>
                <w:iCs w:val="0"/>
                <w:color w:val="000000" w:themeColor="text1"/>
                <w:sz w:val="20"/>
                <w:szCs w:val="20"/>
              </w:rPr>
              <w:t>punctelor</w:t>
            </w:r>
            <w:proofErr w:type="spellEnd"/>
            <w:r w:rsidRPr="00914AB5">
              <w:rPr>
                <w:i w:val="0"/>
                <w:iCs w:val="0"/>
                <w:color w:val="000000" w:themeColor="text1"/>
                <w:sz w:val="20"/>
                <w:szCs w:val="20"/>
              </w:rPr>
              <w:t xml:space="preserve"> 68 </w:t>
            </w:r>
            <w:proofErr w:type="spellStart"/>
            <w:r w:rsidRPr="00914AB5">
              <w:rPr>
                <w:i w:val="0"/>
                <w:iCs w:val="0"/>
                <w:color w:val="000000" w:themeColor="text1"/>
                <w:sz w:val="20"/>
                <w:szCs w:val="20"/>
              </w:rPr>
              <w:t>subpunctul</w:t>
            </w:r>
            <w:proofErr w:type="spellEnd"/>
            <w:r w:rsidRPr="00914AB5">
              <w:rPr>
                <w:i w:val="0"/>
                <w:iCs w:val="0"/>
                <w:color w:val="000000" w:themeColor="text1"/>
                <w:sz w:val="20"/>
                <w:szCs w:val="20"/>
              </w:rPr>
              <w:t xml:space="preserve"> 3) </w:t>
            </w:r>
            <w:r w:rsidRPr="00914AB5">
              <w:rPr>
                <w:rFonts w:eastAsia="Arial Unicode MS"/>
                <w:i w:val="0"/>
                <w:iCs w:val="0"/>
                <w:color w:val="000000" w:themeColor="text1"/>
                <w:sz w:val="20"/>
                <w:szCs w:val="20"/>
              </w:rPr>
              <w:t xml:space="preserve">din </w:t>
            </w:r>
            <w:proofErr w:type="spellStart"/>
            <w:r w:rsidRPr="00914AB5">
              <w:rPr>
                <w:rFonts w:eastAsia="Arial Unicode MS"/>
                <w:i w:val="0"/>
                <w:iCs w:val="0"/>
                <w:color w:val="000000" w:themeColor="text1"/>
                <w:sz w:val="20"/>
                <w:szCs w:val="20"/>
              </w:rPr>
              <w:t>Regulamentul</w:t>
            </w:r>
            <w:proofErr w:type="spellEnd"/>
            <w:r w:rsidRPr="00914AB5">
              <w:rPr>
                <w:rFonts w:eastAsia="Arial Unicode MS"/>
                <w:i w:val="0"/>
                <w:iCs w:val="0"/>
                <w:color w:val="000000" w:themeColor="text1"/>
                <w:sz w:val="20"/>
                <w:szCs w:val="20"/>
              </w:rPr>
              <w:t xml:space="preserve"> nr.111/2018 </w:t>
            </w:r>
            <w:proofErr w:type="spellStart"/>
            <w:r w:rsidRPr="00914AB5">
              <w:rPr>
                <w:rFonts w:eastAsia="Arial Unicode MS"/>
                <w:i w:val="0"/>
                <w:iCs w:val="0"/>
                <w:color w:val="000000" w:themeColor="text1"/>
                <w:sz w:val="20"/>
                <w:szCs w:val="20"/>
              </w:rPr>
              <w:t>sau</w:t>
            </w:r>
            <w:proofErr w:type="spellEnd"/>
            <w:r w:rsidRPr="00914AB5">
              <w:rPr>
                <w:rFonts w:eastAsia="Arial Unicode MS"/>
                <w:i w:val="0"/>
                <w:iCs w:val="0"/>
                <w:color w:val="000000" w:themeColor="text1"/>
                <w:sz w:val="20"/>
                <w:szCs w:val="20"/>
              </w:rPr>
              <w:t xml:space="preserve"> ca factor </w:t>
            </w:r>
            <w:proofErr w:type="spellStart"/>
            <w:r w:rsidRPr="00914AB5">
              <w:rPr>
                <w:rFonts w:eastAsia="Arial Unicode MS"/>
                <w:i w:val="0"/>
                <w:iCs w:val="0"/>
                <w:color w:val="000000" w:themeColor="text1"/>
                <w:sz w:val="20"/>
                <w:szCs w:val="20"/>
              </w:rPr>
              <w:t>ce</w:t>
            </w:r>
            <w:proofErr w:type="spellEnd"/>
            <w:r w:rsidRPr="00914AB5">
              <w:rPr>
                <w:rFonts w:eastAsia="Arial Unicode MS"/>
                <w:i w:val="0"/>
                <w:iCs w:val="0"/>
                <w:color w:val="000000" w:themeColor="text1"/>
                <w:sz w:val="20"/>
                <w:szCs w:val="20"/>
              </w:rPr>
              <w:t xml:space="preserve"> reduce </w:t>
            </w:r>
            <w:proofErr w:type="spellStart"/>
            <w:r w:rsidRPr="00914AB5">
              <w:rPr>
                <w:rFonts w:eastAsia="Arial Unicode MS"/>
                <w:i w:val="0"/>
                <w:iCs w:val="0"/>
                <w:color w:val="000000" w:themeColor="text1"/>
                <w:sz w:val="20"/>
                <w:szCs w:val="20"/>
              </w:rPr>
              <w:t>cuantumul</w:t>
            </w:r>
            <w:proofErr w:type="spellEnd"/>
            <w:r w:rsidRPr="00914AB5">
              <w:rPr>
                <w:rFonts w:eastAsia="Arial Unicode MS"/>
                <w:i w:val="0"/>
                <w:iCs w:val="0"/>
                <w:color w:val="000000" w:themeColor="text1"/>
                <w:sz w:val="20"/>
                <w:szCs w:val="20"/>
              </w:rPr>
              <w:t xml:space="preserve"> de 55 % din </w:t>
            </w:r>
            <w:proofErr w:type="spellStart"/>
            <w:r w:rsidRPr="00914AB5">
              <w:rPr>
                <w:rFonts w:eastAsia="Arial Unicode MS"/>
                <w:i w:val="0"/>
                <w:iCs w:val="0"/>
                <w:color w:val="000000" w:themeColor="text1"/>
                <w:sz w:val="20"/>
                <w:szCs w:val="20"/>
              </w:rPr>
              <w:t>valoarea</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bunului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temeiul</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Regulamentului</w:t>
            </w:r>
            <w:proofErr w:type="spellEnd"/>
            <w:r w:rsidRPr="00914AB5">
              <w:rPr>
                <w:rFonts w:eastAsia="Arial Unicode MS"/>
                <w:i w:val="0"/>
                <w:iCs w:val="0"/>
                <w:color w:val="000000" w:themeColor="text1"/>
                <w:sz w:val="20"/>
                <w:szCs w:val="20"/>
              </w:rPr>
              <w:t xml:space="preserve"> nr.111/2018 </w:t>
            </w:r>
            <w:proofErr w:type="spellStart"/>
            <w:r w:rsidRPr="00914AB5">
              <w:rPr>
                <w:rFonts w:eastAsia="Arial Unicode MS"/>
                <w:i w:val="0"/>
                <w:iCs w:val="0"/>
                <w:color w:val="000000" w:themeColor="text1"/>
                <w:sz w:val="20"/>
                <w:szCs w:val="20"/>
              </w:rPr>
              <w:t>punctele</w:t>
            </w:r>
            <w:proofErr w:type="spellEnd"/>
            <w:r w:rsidRPr="00914AB5">
              <w:rPr>
                <w:rFonts w:eastAsia="Arial Unicode MS"/>
                <w:i w:val="0"/>
                <w:iCs w:val="0"/>
                <w:color w:val="000000" w:themeColor="text1"/>
                <w:sz w:val="20"/>
                <w:szCs w:val="20"/>
              </w:rPr>
              <w:t xml:space="preserve"> 69-69</w:t>
            </w:r>
            <w:r w:rsidRPr="00914AB5">
              <w:rPr>
                <w:rFonts w:eastAsia="Arial Unicode MS"/>
                <w:i w:val="0"/>
                <w:iCs w:val="0"/>
                <w:color w:val="000000" w:themeColor="text1"/>
                <w:sz w:val="20"/>
                <w:szCs w:val="20"/>
                <w:vertAlign w:val="superscript"/>
              </w:rPr>
              <w:t>3</w:t>
            </w:r>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privind</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bunurile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imobile</w:t>
            </w:r>
            <w:proofErr w:type="spellEnd"/>
            <w:r w:rsidRPr="00914AB5">
              <w:rPr>
                <w:rFonts w:eastAsia="Arial Unicode MS"/>
                <w:i w:val="0"/>
                <w:iCs w:val="0"/>
                <w:color w:val="000000" w:themeColor="text1"/>
                <w:sz w:val="20"/>
                <w:szCs w:val="20"/>
              </w:rPr>
              <w:t xml:space="preserve"> locative </w:t>
            </w:r>
            <w:proofErr w:type="spellStart"/>
            <w:r w:rsidRPr="00914AB5">
              <w:rPr>
                <w:rFonts w:eastAsia="Arial Unicode MS"/>
                <w:i w:val="0"/>
                <w:iCs w:val="0"/>
                <w:color w:val="000000" w:themeColor="text1"/>
                <w:sz w:val="20"/>
                <w:szCs w:val="20"/>
              </w:rPr>
              <w:t>și</w:t>
            </w:r>
            <w:proofErr w:type="spellEnd"/>
            <w:r w:rsidRPr="00914AB5">
              <w:rPr>
                <w:rFonts w:eastAsia="Arial Unicode MS"/>
                <w:i w:val="0"/>
                <w:iCs w:val="0"/>
                <w:color w:val="000000" w:themeColor="text1"/>
                <w:sz w:val="20"/>
                <w:szCs w:val="20"/>
              </w:rPr>
              <w:t xml:space="preserve"> 71-71</w:t>
            </w:r>
            <w:r w:rsidRPr="00914AB5">
              <w:rPr>
                <w:rFonts w:eastAsia="Arial Unicode MS"/>
                <w:i w:val="0"/>
                <w:iCs w:val="0"/>
                <w:color w:val="000000" w:themeColor="text1"/>
                <w:sz w:val="20"/>
                <w:szCs w:val="20"/>
                <w:vertAlign w:val="superscript"/>
              </w:rPr>
              <w:t>3</w:t>
            </w:r>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privind</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bunurile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imobile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comerciale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și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reflectă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după</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caz</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rezultatele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monitorizării</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impuse</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în</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temeiul</w:t>
            </w:r>
            <w:proofErr w:type="spellEnd"/>
            <w:r w:rsidRPr="00914AB5">
              <w:rPr>
                <w:rFonts w:eastAsia="Arial Unicode MS"/>
                <w:i w:val="0"/>
                <w:iCs w:val="0"/>
                <w:color w:val="000000" w:themeColor="text1"/>
                <w:sz w:val="20"/>
                <w:szCs w:val="20"/>
              </w:rPr>
              <w:t xml:space="preserve"> </w:t>
            </w:r>
            <w:proofErr w:type="spellStart"/>
            <w:r w:rsidRPr="00914AB5">
              <w:rPr>
                <w:rFonts w:eastAsia="Arial Unicode MS"/>
                <w:i w:val="0"/>
                <w:iCs w:val="0"/>
                <w:color w:val="000000" w:themeColor="text1"/>
                <w:sz w:val="20"/>
                <w:szCs w:val="20"/>
              </w:rPr>
              <w:t>anexei</w:t>
            </w:r>
            <w:proofErr w:type="spellEnd"/>
            <w:r w:rsidRPr="00914AB5">
              <w:rPr>
                <w:rFonts w:eastAsia="Arial Unicode MS"/>
                <w:i w:val="0"/>
                <w:iCs w:val="0"/>
                <w:color w:val="000000" w:themeColor="text1"/>
                <w:sz w:val="20"/>
                <w:szCs w:val="20"/>
              </w:rPr>
              <w:t xml:space="preserve"> nr.2 la </w:t>
            </w:r>
            <w:proofErr w:type="spellStart"/>
            <w:r w:rsidRPr="00914AB5">
              <w:rPr>
                <w:rFonts w:eastAsia="Arial Unicode MS"/>
                <w:i w:val="0"/>
                <w:iCs w:val="0"/>
                <w:color w:val="000000" w:themeColor="text1"/>
                <w:sz w:val="20"/>
                <w:szCs w:val="20"/>
              </w:rPr>
              <w:t>Regulamentul</w:t>
            </w:r>
            <w:proofErr w:type="spellEnd"/>
            <w:r w:rsidRPr="00914AB5">
              <w:rPr>
                <w:rFonts w:eastAsia="Arial Unicode MS"/>
                <w:i w:val="0"/>
                <w:iCs w:val="0"/>
                <w:color w:val="000000" w:themeColor="text1"/>
                <w:sz w:val="20"/>
                <w:szCs w:val="20"/>
              </w:rPr>
              <w:t xml:space="preserve"> nr.111/2018.</w:t>
            </w:r>
          </w:p>
          <w:p w14:paraId="39862ED4" w14:textId="4ED118DF" w:rsidR="00914AB5" w:rsidRPr="00914AB5" w:rsidRDefault="00914AB5" w:rsidP="00914AB5">
            <w:pPr>
              <w:pStyle w:val="title-article-norm"/>
              <w:shd w:val="clear" w:color="auto" w:fill="FFFFFF"/>
              <w:spacing w:before="0" w:after="0"/>
              <w:jc w:val="both"/>
              <w:rPr>
                <w:b/>
                <w:bCs/>
                <w:i w:val="0"/>
                <w:iCs w:val="0"/>
                <w:color w:val="000000" w:themeColor="text1"/>
                <w:sz w:val="20"/>
                <w:szCs w:val="20"/>
                <w:lang w:val="ro-RO"/>
              </w:rPr>
            </w:pPr>
            <w:proofErr w:type="spellStart"/>
            <w:r w:rsidRPr="00684853">
              <w:rPr>
                <w:color w:val="000000" w:themeColor="text1"/>
                <w:sz w:val="20"/>
                <w:szCs w:val="20"/>
              </w:rPr>
              <w:t>Proiectul</w:t>
            </w:r>
            <w:proofErr w:type="spellEnd"/>
            <w:r w:rsidRPr="00684853">
              <w:rPr>
                <w:color w:val="000000" w:themeColor="text1"/>
                <w:sz w:val="20"/>
                <w:szCs w:val="20"/>
              </w:rPr>
              <w:t xml:space="preserve"> HCE al BNM </w:t>
            </w:r>
            <w:proofErr w:type="spellStart"/>
            <w:r w:rsidRPr="00684853">
              <w:rPr>
                <w:color w:val="000000" w:themeColor="text1"/>
                <w:sz w:val="20"/>
                <w:szCs w:val="20"/>
              </w:rPr>
              <w:t>pentru</w:t>
            </w:r>
            <w:proofErr w:type="spellEnd"/>
            <w:r w:rsidRPr="00684853">
              <w:rPr>
                <w:color w:val="000000" w:themeColor="text1"/>
                <w:sz w:val="20"/>
                <w:szCs w:val="20"/>
              </w:rPr>
              <w:t xml:space="preserve"> </w:t>
            </w:r>
            <w:proofErr w:type="spellStart"/>
            <w:r w:rsidRPr="00684853">
              <w:rPr>
                <w:color w:val="000000" w:themeColor="text1"/>
                <w:sz w:val="20"/>
                <w:szCs w:val="20"/>
              </w:rPr>
              <w:t>modificarea</w:t>
            </w:r>
            <w:proofErr w:type="spellEnd"/>
            <w:r>
              <w:rPr>
                <w:color w:val="000000" w:themeColor="text1"/>
                <w:sz w:val="20"/>
                <w:szCs w:val="20"/>
              </w:rPr>
              <w:t xml:space="preserve"> </w:t>
            </w:r>
            <w:proofErr w:type="spellStart"/>
            <w:r w:rsidRPr="00314B7C">
              <w:rPr>
                <w:color w:val="000000" w:themeColor="text1"/>
                <w:sz w:val="20"/>
                <w:szCs w:val="20"/>
              </w:rPr>
              <w:t>Regulamentului</w:t>
            </w:r>
            <w:proofErr w:type="spellEnd"/>
            <w:r w:rsidRPr="00314B7C">
              <w:rPr>
                <w:color w:val="000000" w:themeColor="text1"/>
                <w:sz w:val="20"/>
                <w:szCs w:val="20"/>
              </w:rPr>
              <w:t xml:space="preserve"> </w:t>
            </w:r>
            <w:r>
              <w:rPr>
                <w:color w:val="000000" w:themeColor="text1"/>
                <w:sz w:val="20"/>
                <w:szCs w:val="20"/>
              </w:rPr>
              <w:t xml:space="preserve">nr.112/2018 </w:t>
            </w:r>
            <w:r w:rsidRPr="00314B7C">
              <w:rPr>
                <w:color w:val="000000" w:themeColor="text1"/>
                <w:sz w:val="20"/>
                <w:szCs w:val="20"/>
              </w:rPr>
              <w:t xml:space="preserve">cu </w:t>
            </w:r>
            <w:proofErr w:type="spellStart"/>
            <w:r w:rsidRPr="00314B7C">
              <w:rPr>
                <w:color w:val="000000" w:themeColor="text1"/>
                <w:sz w:val="20"/>
                <w:szCs w:val="20"/>
              </w:rPr>
              <w:t>privire</w:t>
            </w:r>
            <w:proofErr w:type="spellEnd"/>
            <w:r w:rsidRPr="00314B7C">
              <w:rPr>
                <w:color w:val="000000" w:themeColor="text1"/>
                <w:sz w:val="20"/>
                <w:szCs w:val="20"/>
              </w:rPr>
              <w:t xml:space="preserve"> la </w:t>
            </w:r>
            <w:proofErr w:type="spellStart"/>
            <w:r w:rsidRPr="00314B7C">
              <w:rPr>
                <w:color w:val="000000" w:themeColor="text1"/>
                <w:sz w:val="20"/>
                <w:szCs w:val="20"/>
              </w:rPr>
              <w:t>tehnicile</w:t>
            </w:r>
            <w:proofErr w:type="spellEnd"/>
            <w:r w:rsidRPr="00314B7C">
              <w:rPr>
                <w:color w:val="000000" w:themeColor="text1"/>
                <w:sz w:val="20"/>
                <w:szCs w:val="20"/>
              </w:rPr>
              <w:t xml:space="preserve"> de </w:t>
            </w:r>
            <w:proofErr w:type="spellStart"/>
            <w:r w:rsidRPr="00314B7C">
              <w:rPr>
                <w:color w:val="000000" w:themeColor="text1"/>
                <w:sz w:val="20"/>
                <w:szCs w:val="20"/>
              </w:rPr>
              <w:t>diminuare</w:t>
            </w:r>
            <w:proofErr w:type="spellEnd"/>
            <w:r w:rsidRPr="00314B7C">
              <w:rPr>
                <w:color w:val="000000" w:themeColor="text1"/>
                <w:sz w:val="20"/>
                <w:szCs w:val="20"/>
              </w:rPr>
              <w:t xml:space="preserve"> a </w:t>
            </w:r>
            <w:proofErr w:type="spellStart"/>
            <w:r w:rsidRPr="00314B7C">
              <w:rPr>
                <w:color w:val="000000" w:themeColor="text1"/>
                <w:sz w:val="20"/>
                <w:szCs w:val="20"/>
              </w:rPr>
              <w:t>riscului</w:t>
            </w:r>
            <w:proofErr w:type="spellEnd"/>
            <w:r w:rsidRPr="00314B7C">
              <w:rPr>
                <w:color w:val="000000" w:themeColor="text1"/>
                <w:sz w:val="20"/>
                <w:szCs w:val="20"/>
              </w:rPr>
              <w:t xml:space="preserve"> de credit </w:t>
            </w:r>
            <w:proofErr w:type="spellStart"/>
            <w:r w:rsidRPr="00314B7C">
              <w:rPr>
                <w:color w:val="000000" w:themeColor="text1"/>
                <w:sz w:val="20"/>
                <w:szCs w:val="20"/>
              </w:rPr>
              <w:t>utilizate</w:t>
            </w:r>
            <w:proofErr w:type="spellEnd"/>
            <w:r w:rsidRPr="00314B7C">
              <w:rPr>
                <w:color w:val="000000" w:themeColor="text1"/>
                <w:sz w:val="20"/>
                <w:szCs w:val="20"/>
              </w:rPr>
              <w:t xml:space="preserve"> de </w:t>
            </w:r>
            <w:proofErr w:type="spellStart"/>
            <w:r w:rsidRPr="00314B7C">
              <w:rPr>
                <w:color w:val="000000" w:themeColor="text1"/>
                <w:sz w:val="20"/>
                <w:szCs w:val="20"/>
              </w:rPr>
              <w:t>bănci</w:t>
            </w:r>
            <w:proofErr w:type="spellEnd"/>
          </w:p>
        </w:tc>
        <w:tc>
          <w:tcPr>
            <w:tcW w:w="562" w:type="pct"/>
          </w:tcPr>
          <w:p w14:paraId="6BBF58AC" w14:textId="22D62F5D" w:rsidR="00914AB5" w:rsidRDefault="00914AB5" w:rsidP="00914AB5">
            <w:pPr>
              <w:rPr>
                <w:rFonts w:ascii="Times New Roman" w:hAnsi="Times New Roman" w:cs="Times New Roman"/>
                <w:sz w:val="20"/>
                <w:szCs w:val="20"/>
                <w:lang w:val="ro-RO"/>
              </w:rPr>
            </w:pPr>
            <w:r w:rsidRPr="00BD18BE">
              <w:rPr>
                <w:rFonts w:ascii="Times New Roman" w:hAnsi="Times New Roman" w:cs="Times New Roman"/>
                <w:sz w:val="20"/>
                <w:szCs w:val="20"/>
                <w:lang w:val="ro-RO"/>
              </w:rPr>
              <w:t>Compatibil</w:t>
            </w:r>
          </w:p>
        </w:tc>
        <w:tc>
          <w:tcPr>
            <w:tcW w:w="885" w:type="pct"/>
          </w:tcPr>
          <w:p w14:paraId="26B9C0A3" w14:textId="77777777" w:rsidR="00914AB5" w:rsidRPr="002C32BA" w:rsidRDefault="00914AB5" w:rsidP="00914AB5">
            <w:pPr>
              <w:rPr>
                <w:rFonts w:ascii="Times New Roman" w:hAnsi="Times New Roman" w:cs="Times New Roman"/>
                <w:sz w:val="20"/>
                <w:szCs w:val="20"/>
                <w:lang w:val="ro-RO"/>
              </w:rPr>
            </w:pPr>
          </w:p>
        </w:tc>
      </w:tr>
      <w:tr w:rsidR="00D62F3C" w:rsidRPr="002C32BA" w14:paraId="431E878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44B318ED" w14:textId="77777777" w:rsidR="00D62F3C" w:rsidRPr="002C32BA" w:rsidRDefault="00D62F3C" w:rsidP="00532468">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(2) În cazul creanțelor, valoarea acestora reprezintă cuantumul de încasat. </w:t>
            </w:r>
          </w:p>
          <w:p w14:paraId="232A5CD9" w14:textId="68968ACE" w:rsidR="00532468" w:rsidRDefault="00532468" w:rsidP="00532468">
            <w:pPr>
              <w:shd w:val="clear" w:color="auto" w:fill="FFFFFF"/>
              <w:spacing w:after="0" w:line="240" w:lineRule="auto"/>
              <w:jc w:val="both"/>
              <w:rPr>
                <w:rFonts w:ascii="Times New Roman" w:hAnsi="Times New Roman"/>
                <w:iCs/>
                <w:sz w:val="20"/>
                <w:szCs w:val="20"/>
                <w:lang w:val="ro-RO" w:eastAsia="ru-RU"/>
              </w:rPr>
            </w:pPr>
            <w:r w:rsidRPr="00532468">
              <w:rPr>
                <w:rFonts w:ascii="Times New Roman" w:hAnsi="Times New Roman"/>
                <w:iCs/>
                <w:sz w:val="20"/>
                <w:szCs w:val="20"/>
                <w:lang w:val="ro-RO" w:eastAsia="ru-RU"/>
              </w:rPr>
              <w:t xml:space="preserve">(3) Instituțiile trebuie să evalueze garanțiile reale corporale, altele decât proprietățile imobiliare, la valoarea de piață a acestora. </w:t>
            </w:r>
          </w:p>
          <w:p w14:paraId="37D8F2CD" w14:textId="04F814C2" w:rsidR="00532468" w:rsidRDefault="00534632" w:rsidP="00532468">
            <w:pPr>
              <w:shd w:val="clear" w:color="auto" w:fill="FFFFFF"/>
              <w:spacing w:after="0" w:line="240" w:lineRule="auto"/>
              <w:jc w:val="both"/>
              <w:rPr>
                <w:rFonts w:ascii="Times New Roman" w:hAnsi="Times New Roman"/>
                <w:iCs/>
                <w:sz w:val="20"/>
                <w:szCs w:val="20"/>
                <w:lang w:val="ro-RO" w:eastAsia="ru-RU"/>
              </w:rPr>
            </w:pPr>
            <w:r w:rsidRPr="00532468">
              <w:rPr>
                <w:rFonts w:ascii="Times New Roman" w:hAnsi="Times New Roman"/>
                <w:iCs/>
                <w:sz w:val="20"/>
                <w:szCs w:val="20"/>
                <w:lang w:val="ro-RO" w:eastAsia="ru-RU"/>
              </w:rPr>
              <w:t>În sensul prezentului articol, valoarea de piață reprezintă suma estimată pentru care bunul respectiv ar putea fi schimbat la data evaluării între un cumpărător interesat și un vânzător interesat, în cadrul unei tranzacții încheiate în condiții de concurență deplină.</w:t>
            </w:r>
          </w:p>
          <w:p w14:paraId="392E9DA6" w14:textId="03436B0A" w:rsidR="00D62F3C" w:rsidRPr="00532468" w:rsidRDefault="00D62F3C" w:rsidP="00532468">
            <w:pPr>
              <w:shd w:val="clear" w:color="auto" w:fill="FFFFFF"/>
              <w:spacing w:after="0" w:line="240" w:lineRule="auto"/>
              <w:jc w:val="both"/>
              <w:rPr>
                <w:rFonts w:ascii="Times New Roman" w:eastAsia="Times New Roman" w:hAnsi="Times New Roman" w:cs="Times New Roman"/>
                <w:color w:val="000000" w:themeColor="text1"/>
                <w:sz w:val="21"/>
                <w:szCs w:val="21"/>
                <w:lang w:val="ro-RO" w:eastAsia="ro-MD"/>
              </w:rPr>
            </w:pPr>
          </w:p>
        </w:tc>
        <w:tc>
          <w:tcPr>
            <w:tcW w:w="1636" w:type="pct"/>
            <w:shd w:val="clear" w:color="auto" w:fill="auto"/>
          </w:tcPr>
          <w:p w14:paraId="7D4DAD6C" w14:textId="77777777" w:rsidR="00D62F3C" w:rsidRDefault="00532468" w:rsidP="00D62F3C">
            <w:pPr>
              <w:pStyle w:val="CM4"/>
              <w:tabs>
                <w:tab w:val="left" w:pos="150"/>
              </w:tabs>
              <w:ind w:left="-36"/>
              <w:rPr>
                <w:rFonts w:ascii="Times New Roman" w:eastAsia="Arial Unicode MS" w:hAnsi="Times New Roman"/>
                <w:color w:val="000000" w:themeColor="text1"/>
                <w:sz w:val="20"/>
                <w:szCs w:val="20"/>
              </w:rPr>
            </w:pPr>
            <w:r w:rsidRPr="005C3300">
              <w:rPr>
                <w:rFonts w:ascii="Times New Roman" w:hAnsi="Times New Roman"/>
                <w:b/>
                <w:bCs/>
                <w:color w:val="000000" w:themeColor="text1"/>
                <w:sz w:val="20"/>
                <w:szCs w:val="20"/>
                <w:lang w:val="ro-RO"/>
              </w:rPr>
              <w:t>107</w:t>
            </w:r>
            <w:r w:rsidRPr="005C3300">
              <w:rPr>
                <w:rFonts w:ascii="Times New Roman" w:hAnsi="Times New Roman"/>
                <w:b/>
                <w:bCs/>
                <w:color w:val="000000" w:themeColor="text1"/>
                <w:sz w:val="20"/>
                <w:szCs w:val="20"/>
                <w:vertAlign w:val="superscript"/>
                <w:lang w:val="ro-RO"/>
              </w:rPr>
              <w:t>4</w:t>
            </w:r>
            <w:r w:rsidRPr="005C3300">
              <w:rPr>
                <w:rFonts w:ascii="Times New Roman" w:hAnsi="Times New Roman"/>
                <w:b/>
                <w:bCs/>
                <w:color w:val="000000" w:themeColor="text1"/>
                <w:sz w:val="20"/>
                <w:szCs w:val="20"/>
                <w:lang w:val="ro-RO"/>
              </w:rPr>
              <w:t>.</w:t>
            </w:r>
            <w:r w:rsidRPr="005C3300">
              <w:rPr>
                <w:rFonts w:ascii="Times New Roman" w:eastAsia="Arial Unicode MS" w:hAnsi="Times New Roman"/>
                <w:color w:val="000000" w:themeColor="text1"/>
                <w:sz w:val="20"/>
                <w:szCs w:val="20"/>
              </w:rPr>
              <w:t xml:space="preserve"> </w:t>
            </w:r>
            <w:proofErr w:type="spellStart"/>
            <w:r w:rsidRPr="005C3300">
              <w:rPr>
                <w:rFonts w:ascii="Times New Roman" w:eastAsia="Arial Unicode MS" w:hAnsi="Times New Roman"/>
                <w:color w:val="000000" w:themeColor="text1"/>
                <w:sz w:val="20"/>
                <w:szCs w:val="20"/>
              </w:rPr>
              <w:t>În</w:t>
            </w:r>
            <w:proofErr w:type="spellEnd"/>
            <w:r w:rsidRPr="005C3300">
              <w:rPr>
                <w:rFonts w:ascii="Times New Roman" w:eastAsia="Arial Unicode MS" w:hAnsi="Times New Roman"/>
                <w:color w:val="000000" w:themeColor="text1"/>
                <w:sz w:val="20"/>
                <w:szCs w:val="20"/>
              </w:rPr>
              <w:t xml:space="preserve"> </w:t>
            </w:r>
            <w:proofErr w:type="spellStart"/>
            <w:r w:rsidRPr="005C3300">
              <w:rPr>
                <w:rFonts w:ascii="Times New Roman" w:eastAsia="Arial Unicode MS" w:hAnsi="Times New Roman"/>
                <w:color w:val="000000" w:themeColor="text1"/>
                <w:sz w:val="20"/>
                <w:szCs w:val="20"/>
              </w:rPr>
              <w:t>cazul</w:t>
            </w:r>
            <w:proofErr w:type="spellEnd"/>
            <w:r w:rsidRPr="005C3300">
              <w:rPr>
                <w:rFonts w:ascii="Times New Roman" w:eastAsia="Arial Unicode MS" w:hAnsi="Times New Roman"/>
                <w:color w:val="000000" w:themeColor="text1"/>
                <w:sz w:val="20"/>
                <w:szCs w:val="20"/>
              </w:rPr>
              <w:t xml:space="preserve"> </w:t>
            </w:r>
            <w:proofErr w:type="spellStart"/>
            <w:r w:rsidRPr="005C3300">
              <w:rPr>
                <w:rFonts w:ascii="Times New Roman" w:eastAsia="Arial Unicode MS" w:hAnsi="Times New Roman"/>
                <w:color w:val="000000" w:themeColor="text1"/>
                <w:sz w:val="20"/>
                <w:szCs w:val="20"/>
              </w:rPr>
              <w:t>creanțelor</w:t>
            </w:r>
            <w:proofErr w:type="spellEnd"/>
            <w:r w:rsidRPr="005C3300">
              <w:rPr>
                <w:rFonts w:ascii="Times New Roman" w:eastAsia="Arial Unicode MS" w:hAnsi="Times New Roman"/>
                <w:color w:val="000000" w:themeColor="text1"/>
                <w:sz w:val="20"/>
                <w:szCs w:val="20"/>
              </w:rPr>
              <w:t xml:space="preserve">, </w:t>
            </w:r>
            <w:proofErr w:type="spellStart"/>
            <w:r w:rsidRPr="005C3300">
              <w:rPr>
                <w:rFonts w:ascii="Times New Roman" w:eastAsia="Arial Unicode MS" w:hAnsi="Times New Roman"/>
                <w:color w:val="000000" w:themeColor="text1"/>
                <w:sz w:val="20"/>
                <w:szCs w:val="20"/>
              </w:rPr>
              <w:t>valoarea</w:t>
            </w:r>
            <w:proofErr w:type="spellEnd"/>
            <w:r w:rsidRPr="005C3300">
              <w:rPr>
                <w:rFonts w:ascii="Times New Roman" w:eastAsia="Arial Unicode MS" w:hAnsi="Times New Roman"/>
                <w:color w:val="000000" w:themeColor="text1"/>
                <w:sz w:val="20"/>
                <w:szCs w:val="20"/>
              </w:rPr>
              <w:t xml:space="preserve"> </w:t>
            </w:r>
            <w:proofErr w:type="spellStart"/>
            <w:r w:rsidRPr="005C3300">
              <w:rPr>
                <w:rFonts w:ascii="Times New Roman" w:eastAsia="Arial Unicode MS" w:hAnsi="Times New Roman"/>
                <w:color w:val="000000" w:themeColor="text1"/>
                <w:sz w:val="20"/>
                <w:szCs w:val="20"/>
              </w:rPr>
              <w:t>acestora</w:t>
            </w:r>
            <w:proofErr w:type="spellEnd"/>
            <w:r w:rsidRPr="005C3300">
              <w:rPr>
                <w:rFonts w:ascii="Times New Roman" w:eastAsia="Arial Unicode MS" w:hAnsi="Times New Roman"/>
                <w:color w:val="000000" w:themeColor="text1"/>
                <w:sz w:val="20"/>
                <w:szCs w:val="20"/>
              </w:rPr>
              <w:t xml:space="preserve"> </w:t>
            </w:r>
            <w:proofErr w:type="spellStart"/>
            <w:r w:rsidRPr="005C3300">
              <w:rPr>
                <w:rFonts w:ascii="Times New Roman" w:eastAsia="Arial Unicode MS" w:hAnsi="Times New Roman"/>
                <w:color w:val="000000" w:themeColor="text1"/>
                <w:sz w:val="20"/>
                <w:szCs w:val="20"/>
              </w:rPr>
              <w:t>reprezintă</w:t>
            </w:r>
            <w:proofErr w:type="spellEnd"/>
            <w:r w:rsidRPr="005C3300">
              <w:rPr>
                <w:rFonts w:ascii="Times New Roman" w:eastAsia="Arial Unicode MS" w:hAnsi="Times New Roman"/>
                <w:color w:val="000000" w:themeColor="text1"/>
                <w:sz w:val="20"/>
                <w:szCs w:val="20"/>
              </w:rPr>
              <w:t xml:space="preserve"> </w:t>
            </w:r>
            <w:proofErr w:type="spellStart"/>
            <w:r w:rsidRPr="005C3300">
              <w:rPr>
                <w:rFonts w:ascii="Times New Roman" w:eastAsia="Arial Unicode MS" w:hAnsi="Times New Roman"/>
                <w:color w:val="000000" w:themeColor="text1"/>
                <w:sz w:val="20"/>
                <w:szCs w:val="20"/>
              </w:rPr>
              <w:t>cuantumul</w:t>
            </w:r>
            <w:proofErr w:type="spellEnd"/>
            <w:r w:rsidRPr="005C3300">
              <w:rPr>
                <w:rFonts w:ascii="Times New Roman" w:eastAsia="Arial Unicode MS" w:hAnsi="Times New Roman"/>
                <w:color w:val="000000" w:themeColor="text1"/>
                <w:sz w:val="20"/>
                <w:szCs w:val="20"/>
              </w:rPr>
              <w:t xml:space="preserve"> de </w:t>
            </w:r>
            <w:proofErr w:type="spellStart"/>
            <w:r w:rsidRPr="005C3300">
              <w:rPr>
                <w:rFonts w:ascii="Times New Roman" w:eastAsia="Arial Unicode MS" w:hAnsi="Times New Roman"/>
                <w:color w:val="000000" w:themeColor="text1"/>
                <w:sz w:val="20"/>
                <w:szCs w:val="20"/>
              </w:rPr>
              <w:t>încasat</w:t>
            </w:r>
            <w:proofErr w:type="spellEnd"/>
            <w:r w:rsidRPr="005C3300">
              <w:rPr>
                <w:rFonts w:ascii="Times New Roman" w:eastAsia="Arial Unicode MS" w:hAnsi="Times New Roman"/>
                <w:color w:val="000000" w:themeColor="text1"/>
                <w:sz w:val="20"/>
                <w:szCs w:val="20"/>
              </w:rPr>
              <w:t>.</w:t>
            </w:r>
          </w:p>
          <w:p w14:paraId="26D608D7" w14:textId="6171864E" w:rsidR="00532468" w:rsidRDefault="00532468" w:rsidP="00532468">
            <w:pPr>
              <w:rPr>
                <w:rFonts w:ascii="Times New Roman" w:eastAsia="Arial Unicode MS" w:hAnsi="Times New Roman" w:cs="Times New Roman"/>
                <w:color w:val="000000" w:themeColor="text1"/>
                <w:sz w:val="20"/>
                <w:szCs w:val="20"/>
              </w:rPr>
            </w:pPr>
            <w:r w:rsidRPr="005C3300">
              <w:rPr>
                <w:rFonts w:ascii="Times New Roman" w:hAnsi="Times New Roman" w:cs="Times New Roman"/>
                <w:b/>
                <w:bCs/>
                <w:color w:val="000000" w:themeColor="text1"/>
                <w:sz w:val="20"/>
                <w:szCs w:val="20"/>
                <w:lang w:val="ro-RO"/>
              </w:rPr>
              <w:t>107</w:t>
            </w:r>
            <w:r w:rsidRPr="005C3300">
              <w:rPr>
                <w:rFonts w:ascii="Times New Roman" w:hAnsi="Times New Roman" w:cs="Times New Roman"/>
                <w:b/>
                <w:bCs/>
                <w:color w:val="000000" w:themeColor="text1"/>
                <w:sz w:val="20"/>
                <w:szCs w:val="20"/>
                <w:vertAlign w:val="superscript"/>
                <w:lang w:val="ro-RO"/>
              </w:rPr>
              <w:t>5</w:t>
            </w:r>
            <w:r w:rsidRPr="005C3300">
              <w:rPr>
                <w:rFonts w:ascii="Times New Roman" w:hAnsi="Times New Roman" w:cs="Times New Roman"/>
                <w:b/>
                <w:bCs/>
                <w:color w:val="000000" w:themeColor="text1"/>
                <w:sz w:val="20"/>
                <w:szCs w:val="20"/>
                <w:lang w:val="ro-RO"/>
              </w:rPr>
              <w:t>.</w:t>
            </w:r>
            <w:r w:rsidRPr="005C3300">
              <w:rPr>
                <w:rFonts w:ascii="Times New Roman" w:hAnsi="Times New Roman" w:cs="Times New Roman"/>
                <w:color w:val="000000" w:themeColor="text1"/>
                <w:sz w:val="20"/>
                <w:szCs w:val="20"/>
                <w:lang w:val="ro-RO"/>
              </w:rPr>
              <w:t xml:space="preserve"> </w:t>
            </w:r>
            <w:proofErr w:type="spellStart"/>
            <w:r w:rsidRPr="005C3300">
              <w:rPr>
                <w:rFonts w:ascii="Times New Roman" w:eastAsia="Arial Unicode MS" w:hAnsi="Times New Roman" w:cs="Times New Roman"/>
                <w:color w:val="000000" w:themeColor="text1"/>
                <w:sz w:val="20"/>
                <w:szCs w:val="20"/>
              </w:rPr>
              <w:t>Băncile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trebuie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evalueze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garanțiile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reale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corporale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altele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decât</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bunurile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imobiliare</w:t>
            </w:r>
            <w:proofErr w:type="spellEnd"/>
            <w:r w:rsidRPr="005C3300">
              <w:rPr>
                <w:rFonts w:ascii="Times New Roman" w:eastAsia="Arial Unicode MS" w:hAnsi="Times New Roman" w:cs="Times New Roman"/>
                <w:color w:val="000000" w:themeColor="text1"/>
                <w:sz w:val="20"/>
                <w:szCs w:val="20"/>
              </w:rPr>
              <w:t xml:space="preserve">, la </w:t>
            </w:r>
            <w:proofErr w:type="spellStart"/>
            <w:r w:rsidRPr="005C3300">
              <w:rPr>
                <w:rFonts w:ascii="Times New Roman" w:eastAsia="Arial Unicode MS" w:hAnsi="Times New Roman" w:cs="Times New Roman"/>
                <w:color w:val="000000" w:themeColor="text1"/>
                <w:sz w:val="20"/>
                <w:szCs w:val="20"/>
              </w:rPr>
              <w:t>valoarea</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piață</w:t>
            </w:r>
            <w:proofErr w:type="spellEnd"/>
            <w:r w:rsidRPr="005C3300">
              <w:rPr>
                <w:rFonts w:ascii="Times New Roman" w:eastAsia="Arial Unicode MS" w:hAnsi="Times New Roman" w:cs="Times New Roman"/>
                <w:color w:val="000000" w:themeColor="text1"/>
                <w:sz w:val="20"/>
                <w:szCs w:val="20"/>
              </w:rPr>
              <w:t xml:space="preserve"> </w:t>
            </w:r>
            <w:proofErr w:type="gramStart"/>
            <w:r w:rsidRPr="005C3300">
              <w:rPr>
                <w:rFonts w:ascii="Times New Roman" w:eastAsia="Arial Unicode MS" w:hAnsi="Times New Roman" w:cs="Times New Roman"/>
                <w:color w:val="000000" w:themeColor="text1"/>
                <w:sz w:val="20"/>
                <w:szCs w:val="20"/>
              </w:rPr>
              <w:t>a</w:t>
            </w:r>
            <w:proofErr w:type="gram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acestora</w:t>
            </w:r>
            <w:proofErr w:type="spellEnd"/>
            <w:r w:rsidR="00534632">
              <w:rPr>
                <w:rFonts w:ascii="Times New Roman" w:eastAsia="Arial Unicode MS" w:hAnsi="Times New Roman" w:cs="Times New Roman"/>
                <w:color w:val="000000" w:themeColor="text1"/>
                <w:sz w:val="20"/>
                <w:szCs w:val="20"/>
              </w:rPr>
              <w:t>.</w:t>
            </w:r>
            <w:r w:rsidR="00534632">
              <w:t xml:space="preserve"> </w:t>
            </w:r>
            <w:proofErr w:type="spellStart"/>
            <w:r w:rsidR="00534632" w:rsidRPr="00534632">
              <w:rPr>
                <w:rFonts w:ascii="Times New Roman" w:eastAsia="Arial Unicode MS" w:hAnsi="Times New Roman" w:cs="Times New Roman"/>
                <w:color w:val="000000" w:themeColor="text1"/>
                <w:sz w:val="20"/>
                <w:szCs w:val="20"/>
              </w:rPr>
              <w:t>În</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sensul</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prezentului</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punct</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valoarea</w:t>
            </w:r>
            <w:proofErr w:type="spellEnd"/>
            <w:r w:rsidR="00534632" w:rsidRPr="00534632">
              <w:rPr>
                <w:rFonts w:ascii="Times New Roman" w:eastAsia="Arial Unicode MS" w:hAnsi="Times New Roman" w:cs="Times New Roman"/>
                <w:color w:val="000000" w:themeColor="text1"/>
                <w:sz w:val="20"/>
                <w:szCs w:val="20"/>
              </w:rPr>
              <w:t xml:space="preserve"> de </w:t>
            </w:r>
            <w:proofErr w:type="spellStart"/>
            <w:r w:rsidR="00534632" w:rsidRPr="00534632">
              <w:rPr>
                <w:rFonts w:ascii="Times New Roman" w:eastAsia="Arial Unicode MS" w:hAnsi="Times New Roman" w:cs="Times New Roman"/>
                <w:color w:val="000000" w:themeColor="text1"/>
                <w:sz w:val="20"/>
                <w:szCs w:val="20"/>
              </w:rPr>
              <w:t>piață</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reprezintă</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suma</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estimată</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pentru</w:t>
            </w:r>
            <w:proofErr w:type="spellEnd"/>
            <w:r w:rsidR="00534632" w:rsidRPr="00534632">
              <w:rPr>
                <w:rFonts w:ascii="Times New Roman" w:eastAsia="Arial Unicode MS" w:hAnsi="Times New Roman" w:cs="Times New Roman"/>
                <w:color w:val="000000" w:themeColor="text1"/>
                <w:sz w:val="20"/>
                <w:szCs w:val="20"/>
              </w:rPr>
              <w:t xml:space="preserve"> care </w:t>
            </w:r>
            <w:proofErr w:type="spellStart"/>
            <w:r w:rsidR="00534632" w:rsidRPr="00534632">
              <w:rPr>
                <w:rFonts w:ascii="Times New Roman" w:eastAsia="Arial Unicode MS" w:hAnsi="Times New Roman" w:cs="Times New Roman"/>
                <w:color w:val="000000" w:themeColor="text1"/>
                <w:sz w:val="20"/>
                <w:szCs w:val="20"/>
              </w:rPr>
              <w:t>bunul</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respectiv</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ar</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putea</w:t>
            </w:r>
            <w:proofErr w:type="spellEnd"/>
            <w:r w:rsidR="00534632" w:rsidRPr="00534632">
              <w:rPr>
                <w:rFonts w:ascii="Times New Roman" w:eastAsia="Arial Unicode MS" w:hAnsi="Times New Roman" w:cs="Times New Roman"/>
                <w:color w:val="000000" w:themeColor="text1"/>
                <w:sz w:val="20"/>
                <w:szCs w:val="20"/>
              </w:rPr>
              <w:t xml:space="preserve"> fi </w:t>
            </w:r>
            <w:proofErr w:type="spellStart"/>
            <w:r w:rsidR="00534632" w:rsidRPr="00534632">
              <w:rPr>
                <w:rFonts w:ascii="Times New Roman" w:eastAsia="Arial Unicode MS" w:hAnsi="Times New Roman" w:cs="Times New Roman"/>
                <w:color w:val="000000" w:themeColor="text1"/>
                <w:sz w:val="20"/>
                <w:szCs w:val="20"/>
              </w:rPr>
              <w:t>schimbat</w:t>
            </w:r>
            <w:proofErr w:type="spellEnd"/>
            <w:r w:rsidR="00534632" w:rsidRPr="00534632">
              <w:rPr>
                <w:rFonts w:ascii="Times New Roman" w:eastAsia="Arial Unicode MS" w:hAnsi="Times New Roman" w:cs="Times New Roman"/>
                <w:color w:val="000000" w:themeColor="text1"/>
                <w:sz w:val="20"/>
                <w:szCs w:val="20"/>
              </w:rPr>
              <w:t xml:space="preserve"> la data </w:t>
            </w:r>
            <w:proofErr w:type="spellStart"/>
            <w:r w:rsidR="00534632" w:rsidRPr="00534632">
              <w:rPr>
                <w:rFonts w:ascii="Times New Roman" w:eastAsia="Arial Unicode MS" w:hAnsi="Times New Roman" w:cs="Times New Roman"/>
                <w:color w:val="000000" w:themeColor="text1"/>
                <w:sz w:val="20"/>
                <w:szCs w:val="20"/>
              </w:rPr>
              <w:t>evaluării</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între</w:t>
            </w:r>
            <w:proofErr w:type="spellEnd"/>
            <w:r w:rsidR="00534632" w:rsidRPr="00534632">
              <w:rPr>
                <w:rFonts w:ascii="Times New Roman" w:eastAsia="Arial Unicode MS" w:hAnsi="Times New Roman" w:cs="Times New Roman"/>
                <w:color w:val="000000" w:themeColor="text1"/>
                <w:sz w:val="20"/>
                <w:szCs w:val="20"/>
              </w:rPr>
              <w:t xml:space="preserve"> un </w:t>
            </w:r>
            <w:proofErr w:type="spellStart"/>
            <w:r w:rsidR="00534632" w:rsidRPr="00534632">
              <w:rPr>
                <w:rFonts w:ascii="Times New Roman" w:eastAsia="Arial Unicode MS" w:hAnsi="Times New Roman" w:cs="Times New Roman"/>
                <w:color w:val="000000" w:themeColor="text1"/>
                <w:sz w:val="20"/>
                <w:szCs w:val="20"/>
              </w:rPr>
              <w:t>cumpărător</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interesat</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și</w:t>
            </w:r>
            <w:proofErr w:type="spellEnd"/>
            <w:r w:rsidR="00534632" w:rsidRPr="00534632">
              <w:rPr>
                <w:rFonts w:ascii="Times New Roman" w:eastAsia="Arial Unicode MS" w:hAnsi="Times New Roman" w:cs="Times New Roman"/>
                <w:color w:val="000000" w:themeColor="text1"/>
                <w:sz w:val="20"/>
                <w:szCs w:val="20"/>
              </w:rPr>
              <w:t xml:space="preserve"> un </w:t>
            </w:r>
            <w:proofErr w:type="spellStart"/>
            <w:r w:rsidR="00534632" w:rsidRPr="00534632">
              <w:rPr>
                <w:rFonts w:ascii="Times New Roman" w:eastAsia="Arial Unicode MS" w:hAnsi="Times New Roman" w:cs="Times New Roman"/>
                <w:color w:val="000000" w:themeColor="text1"/>
                <w:sz w:val="20"/>
                <w:szCs w:val="20"/>
              </w:rPr>
              <w:t>vânzător</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interesat</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în</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cadrul</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unei</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tranzacții</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încheiate</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în</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condiții</w:t>
            </w:r>
            <w:proofErr w:type="spellEnd"/>
            <w:r w:rsidR="00534632" w:rsidRPr="00534632">
              <w:rPr>
                <w:rFonts w:ascii="Times New Roman" w:eastAsia="Arial Unicode MS" w:hAnsi="Times New Roman" w:cs="Times New Roman"/>
                <w:color w:val="000000" w:themeColor="text1"/>
                <w:sz w:val="20"/>
                <w:szCs w:val="20"/>
              </w:rPr>
              <w:t xml:space="preserve"> de </w:t>
            </w:r>
            <w:proofErr w:type="spellStart"/>
            <w:r w:rsidR="00534632" w:rsidRPr="00534632">
              <w:rPr>
                <w:rFonts w:ascii="Times New Roman" w:eastAsia="Arial Unicode MS" w:hAnsi="Times New Roman" w:cs="Times New Roman"/>
                <w:color w:val="000000" w:themeColor="text1"/>
                <w:sz w:val="20"/>
                <w:szCs w:val="20"/>
              </w:rPr>
              <w:t>concurență</w:t>
            </w:r>
            <w:proofErr w:type="spellEnd"/>
            <w:r w:rsidR="00534632" w:rsidRPr="00534632">
              <w:rPr>
                <w:rFonts w:ascii="Times New Roman" w:eastAsia="Arial Unicode MS" w:hAnsi="Times New Roman" w:cs="Times New Roman"/>
                <w:color w:val="000000" w:themeColor="text1"/>
                <w:sz w:val="20"/>
                <w:szCs w:val="20"/>
              </w:rPr>
              <w:t xml:space="preserve"> </w:t>
            </w:r>
            <w:proofErr w:type="spellStart"/>
            <w:r w:rsidR="00534632" w:rsidRPr="00534632">
              <w:rPr>
                <w:rFonts w:ascii="Times New Roman" w:eastAsia="Arial Unicode MS" w:hAnsi="Times New Roman" w:cs="Times New Roman"/>
                <w:color w:val="000000" w:themeColor="text1"/>
                <w:sz w:val="20"/>
                <w:szCs w:val="20"/>
              </w:rPr>
              <w:t>deplină</w:t>
            </w:r>
            <w:proofErr w:type="spellEnd"/>
            <w:r w:rsidR="00534632" w:rsidRPr="00534632">
              <w:rPr>
                <w:rFonts w:ascii="Times New Roman" w:eastAsia="Arial Unicode MS" w:hAnsi="Times New Roman" w:cs="Times New Roman"/>
                <w:color w:val="000000" w:themeColor="text1"/>
                <w:sz w:val="20"/>
                <w:szCs w:val="20"/>
              </w:rPr>
              <w:t>.</w:t>
            </w:r>
          </w:p>
          <w:p w14:paraId="4C62AD0A" w14:textId="2802F3AF" w:rsidR="00532468" w:rsidRPr="00532468" w:rsidRDefault="00532468" w:rsidP="00532468">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00953A45" w14:textId="73EAF8F9" w:rsidR="00D62F3C" w:rsidRPr="002C32BA" w:rsidRDefault="00914AB5" w:rsidP="00D62F3C">
            <w:pPr>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885" w:type="pct"/>
          </w:tcPr>
          <w:p w14:paraId="77E9102D" w14:textId="0FF7C7E0" w:rsidR="00D62F3C" w:rsidRPr="002C32BA" w:rsidRDefault="00D62F3C" w:rsidP="00D62F3C">
            <w:pPr>
              <w:jc w:val="both"/>
              <w:rPr>
                <w:rFonts w:ascii="Times New Roman" w:hAnsi="Times New Roman" w:cs="Times New Roman"/>
                <w:sz w:val="20"/>
                <w:szCs w:val="20"/>
                <w:lang w:val="ro-RO"/>
              </w:rPr>
            </w:pPr>
          </w:p>
        </w:tc>
      </w:tr>
      <w:tr w:rsidR="00BE0FE7" w:rsidRPr="00532468" w14:paraId="66B6550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16" w:type="pct"/>
          </w:tcPr>
          <w:p w14:paraId="198A7A29" w14:textId="77777777" w:rsidR="00BE0FE7" w:rsidRPr="00BE0FE7" w:rsidRDefault="00BE0FE7" w:rsidP="00BE0FE7">
            <w:pPr>
              <w:pStyle w:val="CM4"/>
              <w:tabs>
                <w:tab w:val="left" w:pos="150"/>
              </w:tabs>
              <w:ind w:left="-43"/>
              <w:jc w:val="both"/>
              <w:rPr>
                <w:rFonts w:ascii="Times New Roman" w:hAnsi="Times New Roman"/>
                <w:iCs/>
                <w:sz w:val="20"/>
                <w:szCs w:val="20"/>
                <w:lang w:val="ro-RO" w:eastAsia="ru-RU"/>
              </w:rPr>
            </w:pPr>
            <w:r w:rsidRPr="00BE0FE7">
              <w:rPr>
                <w:rFonts w:ascii="Times New Roman" w:hAnsi="Times New Roman"/>
                <w:iCs/>
                <w:sz w:val="20"/>
                <w:szCs w:val="20"/>
                <w:lang w:val="ro-RO" w:eastAsia="ru-RU"/>
              </w:rPr>
              <w:t>▼M17</w:t>
            </w:r>
          </w:p>
          <w:p w14:paraId="0C56959E" w14:textId="63FA2DEB" w:rsidR="00BE0FE7" w:rsidRPr="00BE0FE7" w:rsidRDefault="00BE0FE7" w:rsidP="00BE0FE7">
            <w:pPr>
              <w:pStyle w:val="CM4"/>
              <w:tabs>
                <w:tab w:val="left" w:pos="150"/>
              </w:tabs>
              <w:ind w:left="-43"/>
              <w:jc w:val="both"/>
              <w:rPr>
                <w:rFonts w:ascii="Times New Roman" w:hAnsi="Times New Roman"/>
                <w:iCs/>
                <w:sz w:val="20"/>
                <w:szCs w:val="20"/>
                <w:lang w:val="ro-RO" w:eastAsia="ru-RU"/>
              </w:rPr>
            </w:pPr>
            <w:r w:rsidRPr="00BE0FE7">
              <w:rPr>
                <w:rFonts w:ascii="Times New Roman" w:hAnsi="Times New Roman"/>
                <w:iCs/>
                <w:sz w:val="20"/>
                <w:szCs w:val="20"/>
                <w:lang w:val="ro-RO" w:eastAsia="ru-RU"/>
              </w:rPr>
              <w:t>(4) ABE elaborează proiecte de standarde tehnice de reglementare pentru a specifica criteriile și factorii care trebuie luați în considerare pentru evaluarea termenului „bun imobil comparabil”, astfel cum este menționat la alineatul (1) litera (e).</w:t>
            </w:r>
          </w:p>
          <w:p w14:paraId="70B6950E" w14:textId="77777777" w:rsidR="00BE0FE7" w:rsidRPr="00BE0FE7" w:rsidRDefault="00BE0FE7" w:rsidP="00BE0FE7">
            <w:pPr>
              <w:pStyle w:val="CM4"/>
              <w:tabs>
                <w:tab w:val="left" w:pos="150"/>
              </w:tabs>
              <w:ind w:left="-43"/>
              <w:jc w:val="both"/>
              <w:rPr>
                <w:rFonts w:ascii="Times New Roman" w:hAnsi="Times New Roman"/>
                <w:iCs/>
                <w:sz w:val="20"/>
                <w:szCs w:val="20"/>
                <w:lang w:val="ro-RO" w:eastAsia="ru-RU"/>
              </w:rPr>
            </w:pPr>
            <w:r w:rsidRPr="00BE0FE7">
              <w:rPr>
                <w:rFonts w:ascii="Times New Roman" w:hAnsi="Times New Roman"/>
                <w:iCs/>
                <w:sz w:val="20"/>
                <w:szCs w:val="20"/>
                <w:lang w:val="ro-RO" w:eastAsia="ru-RU"/>
              </w:rPr>
              <w:t>ABE prezintă Comisiei aceste proiecte de standarde tehnice de reglementare până la 10 iulie 2027.</w:t>
            </w:r>
          </w:p>
          <w:p w14:paraId="31BA589C" w14:textId="1F8CC9E9" w:rsidR="00BE0FE7" w:rsidRPr="00532468" w:rsidRDefault="00BE0FE7" w:rsidP="00BE0FE7">
            <w:pPr>
              <w:pStyle w:val="CM4"/>
              <w:tabs>
                <w:tab w:val="left" w:pos="150"/>
              </w:tabs>
              <w:ind w:left="-43"/>
              <w:jc w:val="both"/>
              <w:rPr>
                <w:rFonts w:ascii="Times New Roman" w:hAnsi="Times New Roman"/>
                <w:iCs/>
                <w:sz w:val="20"/>
                <w:szCs w:val="20"/>
                <w:lang w:val="ro-RO" w:eastAsia="ru-RU"/>
              </w:rPr>
            </w:pPr>
            <w:r w:rsidRPr="00BE0FE7">
              <w:rPr>
                <w:rFonts w:ascii="Times New Roman" w:hAnsi="Times New Roman"/>
                <w:iCs/>
                <w:sz w:val="20"/>
                <w:szCs w:val="20"/>
                <w:lang w:val="ro-RO" w:eastAsia="ru-RU"/>
              </w:rPr>
              <w:t>Comisia este împuternicită să completeze prezentul regulament prin adoptarea standardelor tehnice de reglementare menționate la primul paragraf de la prezentul alineat în conformitate cu articolele 10-14 din Regulamentul (UE) nr. 1093/2010.</w:t>
            </w:r>
          </w:p>
        </w:tc>
        <w:tc>
          <w:tcPr>
            <w:tcW w:w="1636" w:type="pct"/>
            <w:shd w:val="clear" w:color="auto" w:fill="auto"/>
          </w:tcPr>
          <w:p w14:paraId="54E62E64" w14:textId="77777777" w:rsidR="00BE0FE7" w:rsidRPr="00532468" w:rsidRDefault="00BE0FE7" w:rsidP="00D62F3C">
            <w:pPr>
              <w:pStyle w:val="CM4"/>
              <w:tabs>
                <w:tab w:val="left" w:pos="150"/>
              </w:tabs>
              <w:ind w:left="-36"/>
              <w:rPr>
                <w:rFonts w:ascii="Times New Roman" w:hAnsi="Times New Roman"/>
                <w:b/>
                <w:bCs/>
                <w:sz w:val="20"/>
                <w:szCs w:val="20"/>
                <w:lang w:val="ro-RO" w:eastAsia="ru-RU"/>
              </w:rPr>
            </w:pPr>
          </w:p>
        </w:tc>
        <w:tc>
          <w:tcPr>
            <w:tcW w:w="562" w:type="pct"/>
          </w:tcPr>
          <w:p w14:paraId="1D8E8461" w14:textId="447BD934" w:rsidR="00BE0FE7" w:rsidRDefault="00BE0FE7" w:rsidP="00D62F3C">
            <w:pPr>
              <w:rPr>
                <w:rFonts w:ascii="Times New Roman" w:hAnsi="Times New Roman" w:cs="Times New Roman"/>
                <w:sz w:val="20"/>
                <w:szCs w:val="20"/>
                <w:lang w:val="ro-RO"/>
              </w:rPr>
            </w:pPr>
            <w:r>
              <w:rPr>
                <w:rFonts w:ascii="Times New Roman" w:hAnsi="Times New Roman" w:cs="Times New Roman"/>
                <w:sz w:val="20"/>
                <w:szCs w:val="20"/>
                <w:lang w:val="ro-RO"/>
              </w:rPr>
              <w:t>Prevederi UE neaplicabile</w:t>
            </w:r>
          </w:p>
        </w:tc>
        <w:tc>
          <w:tcPr>
            <w:tcW w:w="885" w:type="pct"/>
          </w:tcPr>
          <w:p w14:paraId="7F792CBD" w14:textId="427D6E1F" w:rsidR="00BE0FE7" w:rsidRDefault="00BE0FE7"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Vizează competențele ABE.</w:t>
            </w:r>
          </w:p>
        </w:tc>
      </w:tr>
      <w:tr w:rsidR="00D62F3C" w:rsidRPr="002C32BA" w14:paraId="1D2E77F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5D96ECD" w14:textId="77777777" w:rsidR="00894803" w:rsidRDefault="00D62F3C" w:rsidP="00894803">
            <w:pPr>
              <w:pStyle w:val="CM4"/>
              <w:tabs>
                <w:tab w:val="left" w:pos="150"/>
              </w:tabs>
              <w:ind w:left="-43"/>
              <w:jc w:val="both"/>
              <w:rPr>
                <w:rFonts w:ascii="Times New Roman" w:hAnsi="Times New Roman"/>
                <w:b/>
                <w:iCs/>
                <w:color w:val="000000" w:themeColor="text1"/>
                <w:sz w:val="20"/>
                <w:szCs w:val="20"/>
                <w:lang w:val="ro-RO" w:eastAsia="ru-RU"/>
              </w:rPr>
            </w:pPr>
            <w:r w:rsidRPr="00894803">
              <w:rPr>
                <w:rFonts w:ascii="Times New Roman" w:hAnsi="Times New Roman"/>
                <w:i/>
                <w:iCs/>
                <w:color w:val="000000" w:themeColor="text1"/>
                <w:sz w:val="20"/>
                <w:szCs w:val="20"/>
                <w:lang w:val="ro-RO" w:eastAsia="ru-RU"/>
              </w:rPr>
              <w:t>Articolul 230</w:t>
            </w:r>
            <w:r w:rsidRPr="00894803">
              <w:rPr>
                <w:rFonts w:ascii="Times New Roman" w:hAnsi="Times New Roman"/>
                <w:iCs/>
                <w:color w:val="000000" w:themeColor="text1"/>
                <w:sz w:val="20"/>
                <w:szCs w:val="20"/>
                <w:lang w:val="ro-RO" w:eastAsia="ru-RU"/>
              </w:rPr>
              <w:t xml:space="preserve"> </w:t>
            </w:r>
            <w:r w:rsidR="00894803" w:rsidRPr="00894803">
              <w:rPr>
                <w:rFonts w:ascii="Times New Roman" w:hAnsi="Times New Roman"/>
                <w:b/>
                <w:iCs/>
                <w:color w:val="000000" w:themeColor="text1"/>
                <w:sz w:val="20"/>
                <w:szCs w:val="20"/>
                <w:lang w:val="ro-RO" w:eastAsia="ru-RU"/>
              </w:rPr>
              <w:t xml:space="preserve">Calculul cuantumurilor ponderate la risc ale expunerilor și al cuantumurilor pierderilor așteptate pentru o expunere cu o protecție finanțată a creditului eligibilă în cadrul abordării IRB </w:t>
            </w:r>
          </w:p>
          <w:p w14:paraId="37DBF392" w14:textId="77777777" w:rsidR="00820E52" w:rsidRPr="00820E52" w:rsidRDefault="00820E52" w:rsidP="00820E52">
            <w:pPr>
              <w:rPr>
                <w:lang w:val="ro-RO" w:eastAsia="ru-RU"/>
              </w:rPr>
            </w:pPr>
          </w:p>
          <w:p w14:paraId="67EB81A9" w14:textId="76427850" w:rsidR="00894803" w:rsidRPr="00894803" w:rsidRDefault="00894803" w:rsidP="00894803">
            <w:pPr>
              <w:spacing w:after="0" w:line="240" w:lineRule="auto"/>
              <w:rPr>
                <w:rFonts w:ascii="Times New Roman" w:eastAsia="Arial Unicode MS" w:hAnsi="Times New Roman" w:cs="Times New Roman"/>
                <w:color w:val="000000" w:themeColor="text1"/>
                <w:sz w:val="20"/>
                <w:szCs w:val="20"/>
                <w:lang w:val="ro-MD" w:eastAsia="ro-MD"/>
              </w:rPr>
            </w:pPr>
            <w:r w:rsidRPr="00894803">
              <w:rPr>
                <w:rFonts w:ascii="Times New Roman" w:eastAsia="Arial Unicode MS" w:hAnsi="Times New Roman" w:cs="Times New Roman"/>
                <w:color w:val="000000" w:themeColor="text1"/>
                <w:sz w:val="20"/>
                <w:szCs w:val="20"/>
                <w:shd w:val="clear" w:color="auto" w:fill="FFFFFF"/>
                <w:lang w:val="ro-MD" w:eastAsia="ro-MD"/>
              </w:rPr>
              <w:t>(1)   </w:t>
            </w:r>
            <w:r w:rsidRPr="00894803">
              <w:rPr>
                <w:rFonts w:ascii="Times New Roman" w:eastAsia="Arial Unicode MS" w:hAnsi="Times New Roman" w:cs="Times New Roman"/>
                <w:color w:val="000000" w:themeColor="text1"/>
                <w:sz w:val="20"/>
                <w:szCs w:val="20"/>
                <w:lang w:val="ro-MD" w:eastAsia="ro-MD"/>
              </w:rPr>
              <w:t>În cadrul abordării IRB, cu excepția expunerilor care intră sub incidența articolului 220, instituțiile utilizează pierderea în caz de nerambursare efectivă (LGD * ) ca LGD în sensul capitolului 3 pentru a recunoaște protecția finanțată a creditului eligibilă în temeiul prezentului capitol. Instituțiile calculează LGD * după cum urmează:</w:t>
            </w:r>
          </w:p>
          <w:p w14:paraId="50DA1625" w14:textId="4BC9961F" w:rsidR="00894803" w:rsidRPr="00894803" w:rsidRDefault="00894803" w:rsidP="00894803">
            <w:pPr>
              <w:shd w:val="clear" w:color="auto" w:fill="FFFFFF"/>
              <w:spacing w:before="120" w:after="0" w:line="240" w:lineRule="auto"/>
              <w:jc w:val="both"/>
              <w:rPr>
                <w:rFonts w:ascii="Times New Roman" w:eastAsia="Arial Unicode MS" w:hAnsi="Times New Roman" w:cs="Times New Roman"/>
                <w:color w:val="000000" w:themeColor="text1"/>
                <w:sz w:val="20"/>
                <w:szCs w:val="20"/>
                <w:lang w:val="ro-MD" w:eastAsia="ro-MD"/>
              </w:rPr>
            </w:pPr>
            <w:r w:rsidRPr="00894803">
              <w:rPr>
                <w:rFonts w:ascii="Times New Roman" w:eastAsia="Times New Roman" w:hAnsi="Times New Roman" w:cs="Times New Roman"/>
                <w:iCs/>
                <w:noProof/>
                <w:color w:val="000000" w:themeColor="text1"/>
                <w:sz w:val="20"/>
                <w:szCs w:val="20"/>
                <w:lang w:val="ro-RO" w:eastAsia="ru-RU"/>
              </w:rPr>
              <w:drawing>
                <wp:inline distT="0" distB="0" distL="0" distR="0" wp14:anchorId="75B4A028" wp14:editId="22488AA1">
                  <wp:extent cx="3419475" cy="457200"/>
                  <wp:effectExtent l="0" t="0" r="0" b="0"/>
                  <wp:docPr id="45" name="Picture 4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19475" cy="457200"/>
                          </a:xfrm>
                          <a:prstGeom prst="rect">
                            <a:avLst/>
                          </a:prstGeom>
                          <a:noFill/>
                          <a:ln>
                            <a:noFill/>
                          </a:ln>
                        </pic:spPr>
                      </pic:pic>
                    </a:graphicData>
                  </a:graphic>
                </wp:inline>
              </w:drawing>
            </w:r>
          </w:p>
          <w:p w14:paraId="59907CE8" w14:textId="77777777" w:rsidR="00894803" w:rsidRPr="00894803" w:rsidRDefault="00894803" w:rsidP="00894803">
            <w:pPr>
              <w:shd w:val="clear" w:color="auto" w:fill="FFFFFF"/>
              <w:spacing w:before="120" w:after="0" w:line="240" w:lineRule="auto"/>
              <w:jc w:val="both"/>
              <w:rPr>
                <w:rFonts w:ascii="Times New Roman" w:eastAsia="Arial Unicode MS" w:hAnsi="Times New Roman" w:cs="Times New Roman"/>
                <w:color w:val="000000" w:themeColor="text1"/>
                <w:sz w:val="20"/>
                <w:szCs w:val="20"/>
                <w:lang w:val="ro-MD" w:eastAsia="ro-MD"/>
              </w:rPr>
            </w:pPr>
            <w:r w:rsidRPr="00894803">
              <w:rPr>
                <w:rFonts w:ascii="Times New Roman" w:eastAsia="Arial Unicode MS" w:hAnsi="Times New Roman" w:cs="Times New Roman"/>
                <w:color w:val="000000" w:themeColor="text1"/>
                <w:sz w:val="20"/>
                <w:szCs w:val="20"/>
                <w:lang w:val="ro-MD" w:eastAsia="ro-MD"/>
              </w:rPr>
              <w:t>unde:</w:t>
            </w:r>
          </w:p>
          <w:tbl>
            <w:tblPr>
              <w:tblW w:w="5000" w:type="pct"/>
              <w:tblLayout w:type="fixed"/>
              <w:tblCellMar>
                <w:left w:w="0" w:type="dxa"/>
                <w:right w:w="0" w:type="dxa"/>
              </w:tblCellMar>
              <w:tblLook w:val="04A0" w:firstRow="1" w:lastRow="0" w:firstColumn="1" w:lastColumn="0" w:noHBand="0" w:noVBand="1"/>
            </w:tblPr>
            <w:tblGrid>
              <w:gridCol w:w="171"/>
              <w:gridCol w:w="5329"/>
            </w:tblGrid>
            <w:tr w:rsidR="00894803" w:rsidRPr="00894803" w14:paraId="7FDA9159" w14:textId="77777777" w:rsidTr="00820E52">
              <w:tc>
                <w:tcPr>
                  <w:tcW w:w="174" w:type="dxa"/>
                  <w:shd w:val="clear" w:color="auto" w:fill="auto"/>
                  <w:hideMark/>
                </w:tcPr>
                <w:p w14:paraId="1714A69A" w14:textId="77777777" w:rsidR="00894803" w:rsidRPr="00894803" w:rsidRDefault="00894803" w:rsidP="00894803">
                  <w:pPr>
                    <w:spacing w:before="195" w:after="0" w:line="240" w:lineRule="auto"/>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E</w:t>
                  </w:r>
                </w:p>
              </w:tc>
              <w:tc>
                <w:tcPr>
                  <w:tcW w:w="5421" w:type="dxa"/>
                  <w:shd w:val="clear" w:color="auto" w:fill="auto"/>
                  <w:hideMark/>
                </w:tcPr>
                <w:p w14:paraId="0E481F04" w14:textId="77777777" w:rsidR="00894803" w:rsidRPr="00894803" w:rsidRDefault="00894803" w:rsidP="00894803">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 valoarea expunerii înainte de a se lua în considerare efectul protecției finanțate a creditului; pentru o expunere garantată cu o garanție financiară eligibilă în conformitate cu prezentul capitol, cuantumul respectiv se calculează în conformitate cu articolul 223 alineatul (3); în cazul titlurilor de valoare date cu împrumut sau furnizate drept garanție, cuantumul respectiv este egal cu numerarul dat cu împrumut sau cu titlurile de valoare date cu împrumut sau furnizate drept garanție; în cazul titlurilor de valoare date cu împrumut sau furnizate drept garanție, valoarea expunerii se majorează prin aplicarea ajustării de volatilitate (H</w:t>
                  </w:r>
                  <w:r w:rsidRPr="00894803">
                    <w:rPr>
                      <w:rFonts w:ascii="Times New Roman" w:eastAsia="Times New Roman" w:hAnsi="Times New Roman" w:cs="Times New Roman"/>
                      <w:color w:val="000000" w:themeColor="text1"/>
                      <w:sz w:val="20"/>
                      <w:szCs w:val="20"/>
                      <w:vertAlign w:val="subscript"/>
                      <w:lang w:val="ro-MD" w:eastAsia="ro-MD"/>
                    </w:rPr>
                    <w:t>E</w:t>
                  </w:r>
                  <w:r w:rsidRPr="00894803">
                    <w:rPr>
                      <w:rFonts w:ascii="Times New Roman" w:eastAsia="Times New Roman" w:hAnsi="Times New Roman" w:cs="Times New Roman"/>
                      <w:color w:val="000000" w:themeColor="text1"/>
                      <w:sz w:val="20"/>
                      <w:szCs w:val="20"/>
                      <w:lang w:val="ro-MD" w:eastAsia="ro-MD"/>
                    </w:rPr>
                    <w:t>) în conformitate cu articolele 223-227;</w:t>
                  </w:r>
                </w:p>
              </w:tc>
            </w:tr>
          </w:tbl>
          <w:p w14:paraId="7F070CAC" w14:textId="77777777" w:rsidR="00894803" w:rsidRPr="00894803" w:rsidRDefault="00894803" w:rsidP="00894803">
            <w:pPr>
              <w:shd w:val="clear" w:color="auto" w:fill="FFFFFF"/>
              <w:spacing w:after="0" w:line="240" w:lineRule="auto"/>
              <w:rPr>
                <w:rFonts w:ascii="Times New Roman" w:eastAsia="Arial Unicode MS" w:hAnsi="Times New Roman" w:cs="Times New Roman"/>
                <w:vanish/>
                <w:color w:val="000000" w:themeColor="text1"/>
                <w:sz w:val="20"/>
                <w:szCs w:val="20"/>
                <w:lang w:val="ro-MD" w:eastAsia="ro-MD"/>
              </w:rPr>
            </w:pPr>
          </w:p>
          <w:tbl>
            <w:tblPr>
              <w:tblW w:w="5000" w:type="pct"/>
              <w:tblLayout w:type="fixed"/>
              <w:tblCellMar>
                <w:left w:w="0" w:type="dxa"/>
                <w:right w:w="0" w:type="dxa"/>
              </w:tblCellMar>
              <w:tblLook w:val="04A0" w:firstRow="1" w:lastRow="0" w:firstColumn="1" w:lastColumn="0" w:noHBand="0" w:noVBand="1"/>
            </w:tblPr>
            <w:tblGrid>
              <w:gridCol w:w="311"/>
              <w:gridCol w:w="5189"/>
            </w:tblGrid>
            <w:tr w:rsidR="00894803" w:rsidRPr="00894803" w14:paraId="22A5D7C7" w14:textId="77777777" w:rsidTr="00820E52">
              <w:tc>
                <w:tcPr>
                  <w:tcW w:w="316" w:type="dxa"/>
                  <w:shd w:val="clear" w:color="auto" w:fill="auto"/>
                  <w:hideMark/>
                </w:tcPr>
                <w:p w14:paraId="4C7E20BD" w14:textId="77777777" w:rsidR="00894803" w:rsidRPr="00894803" w:rsidRDefault="00894803" w:rsidP="00894803">
                  <w:pPr>
                    <w:spacing w:before="195" w:after="0" w:line="240" w:lineRule="auto"/>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E</w:t>
                  </w:r>
                  <w:r w:rsidRPr="00894803">
                    <w:rPr>
                      <w:rFonts w:ascii="Times New Roman" w:eastAsia="Times New Roman" w:hAnsi="Times New Roman" w:cs="Times New Roman"/>
                      <w:color w:val="000000" w:themeColor="text1"/>
                      <w:sz w:val="20"/>
                      <w:szCs w:val="20"/>
                      <w:vertAlign w:val="subscript"/>
                      <w:lang w:val="ro-MD" w:eastAsia="ro-MD"/>
                    </w:rPr>
                    <w:t>S</w:t>
                  </w:r>
                </w:p>
              </w:tc>
              <w:tc>
                <w:tcPr>
                  <w:tcW w:w="5279" w:type="dxa"/>
                  <w:shd w:val="clear" w:color="auto" w:fill="auto"/>
                  <w:hideMark/>
                </w:tcPr>
                <w:p w14:paraId="1DBACF0D" w14:textId="77777777" w:rsidR="00894803" w:rsidRPr="00894803" w:rsidRDefault="00894803" w:rsidP="00894803">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 valoarea curentă a protecției finanțate a creditului primite după aplicarea ajustării de volatilitate aplicabile tipului respectiv de protecție finanțată a creditului (H</w:t>
                  </w:r>
                  <w:r w:rsidRPr="00894803">
                    <w:rPr>
                      <w:rFonts w:ascii="Times New Roman" w:eastAsia="Times New Roman" w:hAnsi="Times New Roman" w:cs="Times New Roman"/>
                      <w:color w:val="000000" w:themeColor="text1"/>
                      <w:sz w:val="20"/>
                      <w:szCs w:val="20"/>
                      <w:vertAlign w:val="subscript"/>
                      <w:lang w:val="ro-MD" w:eastAsia="ro-MD"/>
                    </w:rPr>
                    <w:t>C</w:t>
                  </w:r>
                  <w:r w:rsidRPr="00894803">
                    <w:rPr>
                      <w:rFonts w:ascii="Times New Roman" w:eastAsia="Times New Roman" w:hAnsi="Times New Roman" w:cs="Times New Roman"/>
                      <w:color w:val="000000" w:themeColor="text1"/>
                      <w:sz w:val="20"/>
                      <w:szCs w:val="20"/>
                      <w:lang w:val="ro-MD" w:eastAsia="ro-MD"/>
                    </w:rPr>
                    <w:t>) și a ajustării de volatilitate pentru neconcordanțele de monede (</w:t>
                  </w:r>
                  <w:proofErr w:type="spellStart"/>
                  <w:r w:rsidRPr="00894803">
                    <w:rPr>
                      <w:rFonts w:ascii="Times New Roman" w:eastAsia="Times New Roman" w:hAnsi="Times New Roman" w:cs="Times New Roman"/>
                      <w:color w:val="000000" w:themeColor="text1"/>
                      <w:sz w:val="20"/>
                      <w:szCs w:val="20"/>
                      <w:lang w:val="ro-MD" w:eastAsia="ro-MD"/>
                    </w:rPr>
                    <w:t>H</w:t>
                  </w:r>
                  <w:r w:rsidRPr="00894803">
                    <w:rPr>
                      <w:rFonts w:ascii="Times New Roman" w:eastAsia="Times New Roman" w:hAnsi="Times New Roman" w:cs="Times New Roman"/>
                      <w:color w:val="000000" w:themeColor="text1"/>
                      <w:sz w:val="20"/>
                      <w:szCs w:val="20"/>
                      <w:vertAlign w:val="subscript"/>
                      <w:lang w:val="ro-MD" w:eastAsia="ro-MD"/>
                    </w:rPr>
                    <w:t>fx</w:t>
                  </w:r>
                  <w:proofErr w:type="spellEnd"/>
                  <w:r w:rsidRPr="00894803">
                    <w:rPr>
                      <w:rFonts w:ascii="Times New Roman" w:eastAsia="Times New Roman" w:hAnsi="Times New Roman" w:cs="Times New Roman"/>
                      <w:color w:val="000000" w:themeColor="text1"/>
                      <w:sz w:val="20"/>
                      <w:szCs w:val="20"/>
                      <w:lang w:val="ro-MD" w:eastAsia="ro-MD"/>
                    </w:rPr>
                    <w:t>) dintre expunere și protecția finanțată a creditului, în conformitate cu alineatele (2) și (3); E</w:t>
                  </w:r>
                  <w:r w:rsidRPr="00894803">
                    <w:rPr>
                      <w:rFonts w:ascii="Times New Roman" w:eastAsia="Times New Roman" w:hAnsi="Times New Roman" w:cs="Times New Roman"/>
                      <w:color w:val="000000" w:themeColor="text1"/>
                      <w:sz w:val="20"/>
                      <w:szCs w:val="20"/>
                      <w:vertAlign w:val="subscript"/>
                      <w:lang w:val="ro-MD" w:eastAsia="ro-MD"/>
                    </w:rPr>
                    <w:t>S</w:t>
                  </w:r>
                  <w:r w:rsidRPr="00894803">
                    <w:rPr>
                      <w:rFonts w:ascii="Times New Roman" w:eastAsia="Times New Roman" w:hAnsi="Times New Roman" w:cs="Times New Roman"/>
                      <w:color w:val="000000" w:themeColor="text1"/>
                      <w:sz w:val="20"/>
                      <w:szCs w:val="20"/>
                      <w:lang w:val="ro-MD" w:eastAsia="ro-MD"/>
                    </w:rPr>
                    <w:t> se plafonează la următoarea valoare: E·(1+H</w:t>
                  </w:r>
                  <w:r w:rsidRPr="00894803">
                    <w:rPr>
                      <w:rFonts w:ascii="Times New Roman" w:eastAsia="Times New Roman" w:hAnsi="Times New Roman" w:cs="Times New Roman"/>
                      <w:color w:val="000000" w:themeColor="text1"/>
                      <w:sz w:val="20"/>
                      <w:szCs w:val="20"/>
                      <w:vertAlign w:val="subscript"/>
                      <w:lang w:val="ro-MD" w:eastAsia="ro-MD"/>
                    </w:rPr>
                    <w:t>E</w:t>
                  </w:r>
                  <w:r w:rsidRPr="00894803">
                    <w:rPr>
                      <w:rFonts w:ascii="Times New Roman" w:eastAsia="Times New Roman" w:hAnsi="Times New Roman" w:cs="Times New Roman"/>
                      <w:color w:val="000000" w:themeColor="text1"/>
                      <w:sz w:val="20"/>
                      <w:szCs w:val="20"/>
                      <w:lang w:val="ro-MD" w:eastAsia="ro-MD"/>
                    </w:rPr>
                    <w:t>);</w:t>
                  </w:r>
                </w:p>
              </w:tc>
            </w:tr>
          </w:tbl>
          <w:p w14:paraId="4F53ADA8" w14:textId="77777777" w:rsidR="00894803" w:rsidRPr="00894803" w:rsidRDefault="00894803" w:rsidP="00894803">
            <w:pPr>
              <w:shd w:val="clear" w:color="auto" w:fill="FFFFFF"/>
              <w:spacing w:after="0" w:line="240" w:lineRule="auto"/>
              <w:rPr>
                <w:rFonts w:ascii="Times New Roman" w:eastAsia="Arial Unicode MS" w:hAnsi="Times New Roman" w:cs="Times New Roman"/>
                <w:vanish/>
                <w:color w:val="000000" w:themeColor="text1"/>
                <w:sz w:val="20"/>
                <w:szCs w:val="20"/>
                <w:lang w:val="ro-MD" w:eastAsia="ro-MD"/>
              </w:rPr>
            </w:pPr>
          </w:p>
          <w:tbl>
            <w:tblPr>
              <w:tblW w:w="5000" w:type="pct"/>
              <w:tblLayout w:type="fixed"/>
              <w:tblCellMar>
                <w:left w:w="0" w:type="dxa"/>
                <w:right w:w="0" w:type="dxa"/>
              </w:tblCellMar>
              <w:tblLook w:val="04A0" w:firstRow="1" w:lastRow="0" w:firstColumn="1" w:lastColumn="0" w:noHBand="0" w:noVBand="1"/>
            </w:tblPr>
            <w:tblGrid>
              <w:gridCol w:w="698"/>
              <w:gridCol w:w="4802"/>
            </w:tblGrid>
            <w:tr w:rsidR="00894803" w:rsidRPr="00894803" w14:paraId="2E0E2A53" w14:textId="77777777" w:rsidTr="00894803">
              <w:tc>
                <w:tcPr>
                  <w:tcW w:w="1218" w:type="dxa"/>
                  <w:shd w:val="clear" w:color="auto" w:fill="auto"/>
                  <w:hideMark/>
                </w:tcPr>
                <w:p w14:paraId="5839E0FE" w14:textId="77777777" w:rsidR="00894803" w:rsidRPr="00894803" w:rsidRDefault="00894803" w:rsidP="00894803">
                  <w:pPr>
                    <w:spacing w:before="195" w:after="0" w:line="240" w:lineRule="auto"/>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E</w:t>
                  </w:r>
                  <w:r w:rsidRPr="00894803">
                    <w:rPr>
                      <w:rFonts w:ascii="Times New Roman" w:eastAsia="Times New Roman" w:hAnsi="Times New Roman" w:cs="Times New Roman"/>
                      <w:color w:val="000000" w:themeColor="text1"/>
                      <w:sz w:val="20"/>
                      <w:szCs w:val="20"/>
                      <w:vertAlign w:val="subscript"/>
                      <w:lang w:val="ro-MD" w:eastAsia="ro-MD"/>
                    </w:rPr>
                    <w:t>U</w:t>
                  </w:r>
                </w:p>
              </w:tc>
              <w:tc>
                <w:tcPr>
                  <w:tcW w:w="8471" w:type="dxa"/>
                  <w:shd w:val="clear" w:color="auto" w:fill="auto"/>
                  <w:hideMark/>
                </w:tcPr>
                <w:p w14:paraId="3F795DBE" w14:textId="77777777" w:rsidR="00894803" w:rsidRPr="00894803" w:rsidRDefault="00894803" w:rsidP="00894803">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 E·(1+H</w:t>
                  </w:r>
                  <w:r w:rsidRPr="00894803">
                    <w:rPr>
                      <w:rFonts w:ascii="Times New Roman" w:eastAsia="Times New Roman" w:hAnsi="Times New Roman" w:cs="Times New Roman"/>
                      <w:color w:val="000000" w:themeColor="text1"/>
                      <w:sz w:val="20"/>
                      <w:szCs w:val="20"/>
                      <w:vertAlign w:val="subscript"/>
                      <w:lang w:val="ro-MD" w:eastAsia="ro-MD"/>
                    </w:rPr>
                    <w:t>E</w:t>
                  </w:r>
                  <w:r w:rsidRPr="00894803">
                    <w:rPr>
                      <w:rFonts w:ascii="Times New Roman" w:eastAsia="Times New Roman" w:hAnsi="Times New Roman" w:cs="Times New Roman"/>
                      <w:color w:val="000000" w:themeColor="text1"/>
                      <w:sz w:val="20"/>
                      <w:szCs w:val="20"/>
                      <w:lang w:val="ro-MD" w:eastAsia="ro-MD"/>
                    </w:rPr>
                    <w:t>) – E</w:t>
                  </w:r>
                  <w:r w:rsidRPr="00894803">
                    <w:rPr>
                      <w:rFonts w:ascii="Times New Roman" w:eastAsia="Times New Roman" w:hAnsi="Times New Roman" w:cs="Times New Roman"/>
                      <w:color w:val="000000" w:themeColor="text1"/>
                      <w:sz w:val="20"/>
                      <w:szCs w:val="20"/>
                      <w:vertAlign w:val="subscript"/>
                      <w:lang w:val="ro-MD" w:eastAsia="ro-MD"/>
                    </w:rPr>
                    <w:t>S</w:t>
                  </w:r>
                  <w:r w:rsidRPr="00894803">
                    <w:rPr>
                      <w:rFonts w:ascii="Times New Roman" w:eastAsia="Times New Roman" w:hAnsi="Times New Roman" w:cs="Times New Roman"/>
                      <w:color w:val="000000" w:themeColor="text1"/>
                      <w:sz w:val="20"/>
                      <w:szCs w:val="20"/>
                      <w:lang w:val="ro-MD" w:eastAsia="ro-MD"/>
                    </w:rPr>
                    <w:t>;</w:t>
                  </w:r>
                </w:p>
              </w:tc>
            </w:tr>
          </w:tbl>
          <w:p w14:paraId="707A85FF" w14:textId="77777777" w:rsidR="00894803" w:rsidRPr="00894803" w:rsidRDefault="00894803" w:rsidP="00894803">
            <w:pPr>
              <w:shd w:val="clear" w:color="auto" w:fill="FFFFFF"/>
              <w:spacing w:after="0" w:line="240" w:lineRule="auto"/>
              <w:rPr>
                <w:rFonts w:ascii="Times New Roman" w:eastAsia="Arial Unicode MS" w:hAnsi="Times New Roman" w:cs="Times New Roman"/>
                <w:vanish/>
                <w:color w:val="000000" w:themeColor="text1"/>
                <w:sz w:val="20"/>
                <w:szCs w:val="20"/>
                <w:lang w:val="ro-MD" w:eastAsia="ro-MD"/>
              </w:rPr>
            </w:pPr>
          </w:p>
          <w:tbl>
            <w:tblPr>
              <w:tblW w:w="5000" w:type="pct"/>
              <w:tblLayout w:type="fixed"/>
              <w:tblCellMar>
                <w:left w:w="0" w:type="dxa"/>
                <w:right w:w="0" w:type="dxa"/>
              </w:tblCellMar>
              <w:tblLook w:val="04A0" w:firstRow="1" w:lastRow="0" w:firstColumn="1" w:lastColumn="0" w:noHBand="0" w:noVBand="1"/>
            </w:tblPr>
            <w:tblGrid>
              <w:gridCol w:w="333"/>
              <w:gridCol w:w="5167"/>
            </w:tblGrid>
            <w:tr w:rsidR="00894803" w:rsidRPr="00894803" w14:paraId="08771716" w14:textId="77777777" w:rsidTr="00894803">
              <w:tc>
                <w:tcPr>
                  <w:tcW w:w="573" w:type="dxa"/>
                  <w:shd w:val="clear" w:color="auto" w:fill="auto"/>
                  <w:hideMark/>
                </w:tcPr>
                <w:p w14:paraId="27736B4B" w14:textId="77777777" w:rsidR="00894803" w:rsidRPr="00894803" w:rsidRDefault="00894803" w:rsidP="00894803">
                  <w:pPr>
                    <w:spacing w:before="195" w:after="0" w:line="240" w:lineRule="auto"/>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LGD</w:t>
                  </w:r>
                  <w:r w:rsidRPr="00894803">
                    <w:rPr>
                      <w:rFonts w:ascii="Times New Roman" w:eastAsia="Times New Roman" w:hAnsi="Times New Roman" w:cs="Times New Roman"/>
                      <w:color w:val="000000" w:themeColor="text1"/>
                      <w:sz w:val="20"/>
                      <w:szCs w:val="20"/>
                      <w:vertAlign w:val="subscript"/>
                      <w:lang w:val="ro-MD" w:eastAsia="ro-MD"/>
                    </w:rPr>
                    <w:t>U</w:t>
                  </w:r>
                </w:p>
              </w:tc>
              <w:tc>
                <w:tcPr>
                  <w:tcW w:w="9116" w:type="dxa"/>
                  <w:shd w:val="clear" w:color="auto" w:fill="auto"/>
                  <w:hideMark/>
                </w:tcPr>
                <w:p w14:paraId="11E7E634" w14:textId="77777777" w:rsidR="00894803" w:rsidRPr="00894803" w:rsidRDefault="00894803" w:rsidP="00894803">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 LGD aplicabilă pentru o expunere negarantată, astfel cum se prevede la articolul 161 alineatul (1);</w:t>
                  </w:r>
                </w:p>
              </w:tc>
            </w:tr>
          </w:tbl>
          <w:p w14:paraId="5BBD5153" w14:textId="77777777" w:rsidR="00894803" w:rsidRPr="00894803" w:rsidRDefault="00894803" w:rsidP="00894803">
            <w:pPr>
              <w:shd w:val="clear" w:color="auto" w:fill="FFFFFF"/>
              <w:spacing w:after="0" w:line="240" w:lineRule="auto"/>
              <w:rPr>
                <w:rFonts w:ascii="Times New Roman" w:eastAsia="Arial Unicode MS" w:hAnsi="Times New Roman" w:cs="Times New Roman"/>
                <w:vanish/>
                <w:color w:val="000000" w:themeColor="text1"/>
                <w:sz w:val="20"/>
                <w:szCs w:val="20"/>
                <w:lang w:val="ro-MD" w:eastAsia="ro-MD"/>
              </w:rPr>
            </w:pPr>
          </w:p>
          <w:tbl>
            <w:tblPr>
              <w:tblW w:w="5000" w:type="pct"/>
              <w:tblLayout w:type="fixed"/>
              <w:tblCellMar>
                <w:left w:w="0" w:type="dxa"/>
                <w:right w:w="0" w:type="dxa"/>
              </w:tblCellMar>
              <w:tblLook w:val="04A0" w:firstRow="1" w:lastRow="0" w:firstColumn="1" w:lastColumn="0" w:noHBand="0" w:noVBand="1"/>
            </w:tblPr>
            <w:tblGrid>
              <w:gridCol w:w="590"/>
              <w:gridCol w:w="4910"/>
            </w:tblGrid>
            <w:tr w:rsidR="00894803" w:rsidRPr="00894803" w14:paraId="2E178735" w14:textId="77777777" w:rsidTr="00820E52">
              <w:tc>
                <w:tcPr>
                  <w:tcW w:w="600" w:type="dxa"/>
                  <w:shd w:val="clear" w:color="auto" w:fill="auto"/>
                  <w:hideMark/>
                </w:tcPr>
                <w:p w14:paraId="08E5CF0C" w14:textId="77777777" w:rsidR="00894803" w:rsidRPr="00894803" w:rsidRDefault="00894803" w:rsidP="00894803">
                  <w:pPr>
                    <w:spacing w:before="195" w:after="0" w:line="240" w:lineRule="auto"/>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LGD</w:t>
                  </w:r>
                  <w:r w:rsidRPr="00894803">
                    <w:rPr>
                      <w:rFonts w:ascii="Times New Roman" w:eastAsia="Times New Roman" w:hAnsi="Times New Roman" w:cs="Times New Roman"/>
                      <w:color w:val="000000" w:themeColor="text1"/>
                      <w:sz w:val="20"/>
                      <w:szCs w:val="20"/>
                      <w:vertAlign w:val="subscript"/>
                      <w:lang w:val="ro-MD" w:eastAsia="ro-MD"/>
                    </w:rPr>
                    <w:t>S</w:t>
                  </w:r>
                </w:p>
              </w:tc>
              <w:tc>
                <w:tcPr>
                  <w:tcW w:w="4995" w:type="dxa"/>
                  <w:shd w:val="clear" w:color="auto" w:fill="auto"/>
                  <w:hideMark/>
                </w:tcPr>
                <w:p w14:paraId="7344B66E" w14:textId="77777777" w:rsidR="00894803" w:rsidRPr="00894803" w:rsidRDefault="00894803" w:rsidP="00894803">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 LGD aplicabilă expunerilor garantate de tipul de FCP eligibilă utilizată în tranzacție, astfel cum se specifică la alineatul (2) tabelul 1.</w:t>
                  </w:r>
                </w:p>
              </w:tc>
            </w:tr>
          </w:tbl>
          <w:p w14:paraId="38263CD0" w14:textId="77777777" w:rsidR="00894803" w:rsidRPr="00894803" w:rsidRDefault="00894803" w:rsidP="00894803">
            <w:pPr>
              <w:spacing w:line="240" w:lineRule="auto"/>
              <w:rPr>
                <w:rFonts w:ascii="Times New Roman" w:hAnsi="Times New Roman" w:cs="Times New Roman"/>
                <w:color w:val="000000" w:themeColor="text1"/>
                <w:sz w:val="20"/>
                <w:szCs w:val="20"/>
                <w:lang w:val="ro-RO" w:eastAsia="ru-RU"/>
              </w:rPr>
            </w:pPr>
          </w:p>
        </w:tc>
        <w:tc>
          <w:tcPr>
            <w:tcW w:w="1636" w:type="pct"/>
          </w:tcPr>
          <w:p w14:paraId="5E8BF2D2" w14:textId="77777777" w:rsidR="00185C78" w:rsidRPr="005C3300" w:rsidRDefault="00185C78" w:rsidP="00185C78">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Secțiunea a 9</w:t>
            </w:r>
            <w:r w:rsidRPr="005C3300">
              <w:rPr>
                <w:rFonts w:ascii="Times New Roman" w:eastAsia="Times New Roman" w:hAnsi="Times New Roman" w:cs="Times New Roman"/>
                <w:b/>
                <w:bCs/>
                <w:i/>
                <w:iCs/>
                <w:color w:val="000000" w:themeColor="text1"/>
                <w:sz w:val="20"/>
                <w:szCs w:val="20"/>
                <w:vertAlign w:val="superscript"/>
                <w:lang w:val="ro-RO" w:eastAsia="ro-MD"/>
              </w:rPr>
              <w:t>2</w:t>
            </w:r>
            <w:r w:rsidRPr="005C3300">
              <w:rPr>
                <w:rFonts w:ascii="Times New Roman" w:eastAsia="Times New Roman" w:hAnsi="Times New Roman" w:cs="Times New Roman"/>
                <w:b/>
                <w:bCs/>
                <w:i/>
                <w:iCs/>
                <w:color w:val="000000" w:themeColor="text1"/>
                <w:sz w:val="20"/>
                <w:szCs w:val="20"/>
                <w:lang w:val="ro-RO" w:eastAsia="ro-MD"/>
              </w:rPr>
              <w:t>-a</w:t>
            </w:r>
          </w:p>
          <w:p w14:paraId="39EF5588" w14:textId="77777777" w:rsidR="00185C78" w:rsidRPr="005C3300" w:rsidRDefault="00185C78" w:rsidP="00185C78">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Calculul cuantumurilor ponderate la risc ale expunerilor și al cuantumurilor pierderilor așteptate pentru o expunere cu o protecție finanțată a creditului eligibilă în cadrul abordării IRB</w:t>
            </w:r>
          </w:p>
          <w:p w14:paraId="2DB103D2" w14:textId="77777777" w:rsidR="00185C78" w:rsidRPr="00185C78" w:rsidRDefault="00185C78" w:rsidP="00185C78">
            <w:pPr>
              <w:pStyle w:val="title-article-norm"/>
              <w:shd w:val="clear" w:color="auto" w:fill="FFFFFF"/>
              <w:spacing w:before="0" w:after="0"/>
              <w:jc w:val="both"/>
              <w:rPr>
                <w:rFonts w:eastAsia="Arial Unicode MS"/>
                <w:i w:val="0"/>
                <w:iCs w:val="0"/>
                <w:color w:val="000000" w:themeColor="text1"/>
                <w:sz w:val="20"/>
                <w:szCs w:val="20"/>
              </w:rPr>
            </w:pPr>
            <w:r w:rsidRPr="00185C78">
              <w:rPr>
                <w:b/>
                <w:bCs/>
                <w:i w:val="0"/>
                <w:iCs w:val="0"/>
                <w:color w:val="000000" w:themeColor="text1"/>
                <w:sz w:val="20"/>
                <w:szCs w:val="20"/>
                <w:lang w:val="ro-RO"/>
              </w:rPr>
              <w:t>107</w:t>
            </w:r>
            <w:r w:rsidRPr="00185C78">
              <w:rPr>
                <w:b/>
                <w:bCs/>
                <w:i w:val="0"/>
                <w:iCs w:val="0"/>
                <w:color w:val="000000" w:themeColor="text1"/>
                <w:sz w:val="20"/>
                <w:szCs w:val="20"/>
                <w:vertAlign w:val="superscript"/>
                <w:lang w:val="ro-RO"/>
              </w:rPr>
              <w:t>6</w:t>
            </w:r>
            <w:r w:rsidRPr="00185C78">
              <w:rPr>
                <w:b/>
                <w:bCs/>
                <w:i w:val="0"/>
                <w:iCs w:val="0"/>
                <w:color w:val="000000" w:themeColor="text1"/>
                <w:sz w:val="20"/>
                <w:szCs w:val="20"/>
                <w:lang w:val="ro-RO"/>
              </w:rPr>
              <w:t xml:space="preserve">. </w:t>
            </w:r>
            <w:proofErr w:type="spellStart"/>
            <w:r w:rsidRPr="00185C78">
              <w:rPr>
                <w:rFonts w:eastAsia="Arial Unicode MS"/>
                <w:i w:val="0"/>
                <w:iCs w:val="0"/>
                <w:color w:val="000000" w:themeColor="text1"/>
                <w:sz w:val="20"/>
                <w:szCs w:val="20"/>
              </w:rPr>
              <w:t>În</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cadrul</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abordării</w:t>
            </w:r>
            <w:proofErr w:type="spellEnd"/>
            <w:r w:rsidRPr="00185C78">
              <w:rPr>
                <w:rFonts w:eastAsia="Arial Unicode MS"/>
                <w:i w:val="0"/>
                <w:iCs w:val="0"/>
                <w:color w:val="000000" w:themeColor="text1"/>
                <w:sz w:val="20"/>
                <w:szCs w:val="20"/>
              </w:rPr>
              <w:t xml:space="preserve"> IRB, cu </w:t>
            </w:r>
            <w:proofErr w:type="spellStart"/>
            <w:r w:rsidRPr="00185C78">
              <w:rPr>
                <w:rFonts w:eastAsia="Arial Unicode MS"/>
                <w:i w:val="0"/>
                <w:iCs w:val="0"/>
                <w:color w:val="000000" w:themeColor="text1"/>
                <w:sz w:val="20"/>
                <w:szCs w:val="20"/>
              </w:rPr>
              <w:t>excepția</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expunerilor</w:t>
            </w:r>
            <w:proofErr w:type="spellEnd"/>
            <w:r w:rsidRPr="00185C78">
              <w:rPr>
                <w:rFonts w:eastAsia="Arial Unicode MS"/>
                <w:i w:val="0"/>
                <w:iCs w:val="0"/>
                <w:color w:val="000000" w:themeColor="text1"/>
                <w:sz w:val="20"/>
                <w:szCs w:val="20"/>
              </w:rPr>
              <w:t xml:space="preserve"> care </w:t>
            </w:r>
            <w:proofErr w:type="spellStart"/>
            <w:r w:rsidRPr="00185C78">
              <w:rPr>
                <w:rFonts w:eastAsia="Arial Unicode MS"/>
                <w:i w:val="0"/>
                <w:iCs w:val="0"/>
                <w:color w:val="000000" w:themeColor="text1"/>
                <w:sz w:val="20"/>
                <w:szCs w:val="20"/>
              </w:rPr>
              <w:t>intră</w:t>
            </w:r>
            <w:proofErr w:type="spellEnd"/>
            <w:r w:rsidRPr="00185C78">
              <w:rPr>
                <w:rFonts w:eastAsia="Arial Unicode MS"/>
                <w:i w:val="0"/>
                <w:iCs w:val="0"/>
                <w:color w:val="000000" w:themeColor="text1"/>
                <w:sz w:val="20"/>
                <w:szCs w:val="20"/>
              </w:rPr>
              <w:t xml:space="preserve"> sub </w:t>
            </w:r>
            <w:proofErr w:type="spellStart"/>
            <w:r w:rsidRPr="00185C78">
              <w:rPr>
                <w:rFonts w:eastAsia="Arial Unicode MS"/>
                <w:i w:val="0"/>
                <w:iCs w:val="0"/>
                <w:color w:val="000000" w:themeColor="text1"/>
                <w:sz w:val="20"/>
                <w:szCs w:val="20"/>
              </w:rPr>
              <w:t>incidența</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punctelor</w:t>
            </w:r>
            <w:proofErr w:type="spellEnd"/>
            <w:r w:rsidRPr="00185C78">
              <w:rPr>
                <w:rFonts w:eastAsia="Arial Unicode MS"/>
                <w:i w:val="0"/>
                <w:iCs w:val="0"/>
                <w:color w:val="000000" w:themeColor="text1"/>
                <w:sz w:val="20"/>
                <w:szCs w:val="20"/>
              </w:rPr>
              <w:t xml:space="preserve"> 68-72, </w:t>
            </w:r>
            <w:proofErr w:type="spellStart"/>
            <w:r w:rsidRPr="00185C78">
              <w:rPr>
                <w:rFonts w:eastAsia="Arial Unicode MS"/>
                <w:i w:val="0"/>
                <w:iCs w:val="0"/>
                <w:color w:val="000000" w:themeColor="text1"/>
                <w:sz w:val="20"/>
                <w:szCs w:val="20"/>
              </w:rPr>
              <w:t>băncile</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utilizează</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pierderea</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în</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caz</w:t>
            </w:r>
            <w:proofErr w:type="spellEnd"/>
            <w:r w:rsidRPr="00185C78">
              <w:rPr>
                <w:rFonts w:eastAsia="Arial Unicode MS"/>
                <w:i w:val="0"/>
                <w:iCs w:val="0"/>
                <w:color w:val="000000" w:themeColor="text1"/>
                <w:sz w:val="20"/>
                <w:szCs w:val="20"/>
              </w:rPr>
              <w:t xml:space="preserve"> de </w:t>
            </w:r>
            <w:proofErr w:type="spellStart"/>
            <w:r w:rsidRPr="00185C78">
              <w:rPr>
                <w:rFonts w:eastAsia="Arial Unicode MS"/>
                <w:i w:val="0"/>
                <w:iCs w:val="0"/>
                <w:color w:val="000000" w:themeColor="text1"/>
                <w:sz w:val="20"/>
                <w:szCs w:val="20"/>
              </w:rPr>
              <w:t>nerambursare</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efectivă</w:t>
            </w:r>
            <w:proofErr w:type="spellEnd"/>
            <w:r w:rsidRPr="00185C78">
              <w:rPr>
                <w:rFonts w:eastAsia="Arial Unicode MS"/>
                <w:i w:val="0"/>
                <w:iCs w:val="0"/>
                <w:color w:val="000000" w:themeColor="text1"/>
                <w:sz w:val="20"/>
                <w:szCs w:val="20"/>
              </w:rPr>
              <w:t xml:space="preserve"> (LGD*) ca LGD </w:t>
            </w:r>
            <w:proofErr w:type="spellStart"/>
            <w:r w:rsidRPr="00185C78">
              <w:rPr>
                <w:rFonts w:eastAsia="Arial Unicode MS"/>
                <w:i w:val="0"/>
                <w:iCs w:val="0"/>
                <w:color w:val="000000" w:themeColor="text1"/>
                <w:sz w:val="20"/>
                <w:szCs w:val="20"/>
              </w:rPr>
              <w:t>în</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sensul</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actului</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normativ</w:t>
            </w:r>
            <w:proofErr w:type="spellEnd"/>
            <w:r w:rsidRPr="00185C78">
              <w:rPr>
                <w:rFonts w:eastAsia="Arial Unicode MS"/>
                <w:i w:val="0"/>
                <w:iCs w:val="0"/>
                <w:color w:val="000000" w:themeColor="text1"/>
                <w:sz w:val="20"/>
                <w:szCs w:val="20"/>
              </w:rPr>
              <w:t xml:space="preserve"> al Băncii </w:t>
            </w:r>
            <w:proofErr w:type="spellStart"/>
            <w:r w:rsidRPr="00185C78">
              <w:rPr>
                <w:rFonts w:eastAsia="Arial Unicode MS"/>
                <w:i w:val="0"/>
                <w:iCs w:val="0"/>
                <w:color w:val="000000" w:themeColor="text1"/>
                <w:sz w:val="20"/>
                <w:szCs w:val="20"/>
              </w:rPr>
              <w:t>Naționale</w:t>
            </w:r>
            <w:proofErr w:type="spellEnd"/>
            <w:r w:rsidRPr="00185C78">
              <w:rPr>
                <w:rFonts w:eastAsia="Arial Unicode MS"/>
                <w:i w:val="0"/>
                <w:iCs w:val="0"/>
                <w:color w:val="000000" w:themeColor="text1"/>
                <w:sz w:val="20"/>
                <w:szCs w:val="20"/>
              </w:rPr>
              <w:t xml:space="preserve"> a </w:t>
            </w:r>
            <w:proofErr w:type="spellStart"/>
            <w:r w:rsidRPr="00185C78">
              <w:rPr>
                <w:rFonts w:eastAsia="Arial Unicode MS"/>
                <w:i w:val="0"/>
                <w:iCs w:val="0"/>
                <w:color w:val="000000" w:themeColor="text1"/>
                <w:sz w:val="20"/>
                <w:szCs w:val="20"/>
              </w:rPr>
              <w:t>Moldovei</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aferent</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tratamentului</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riscului</w:t>
            </w:r>
            <w:proofErr w:type="spellEnd"/>
            <w:r w:rsidRPr="00185C78">
              <w:rPr>
                <w:rFonts w:eastAsia="Arial Unicode MS"/>
                <w:i w:val="0"/>
                <w:iCs w:val="0"/>
                <w:color w:val="000000" w:themeColor="text1"/>
                <w:sz w:val="20"/>
                <w:szCs w:val="20"/>
              </w:rPr>
              <w:t xml:space="preserve"> de credit </w:t>
            </w:r>
            <w:proofErr w:type="spellStart"/>
            <w:r w:rsidRPr="00185C78">
              <w:rPr>
                <w:rFonts w:eastAsia="Arial Unicode MS"/>
                <w:i w:val="0"/>
                <w:iCs w:val="0"/>
                <w:color w:val="000000" w:themeColor="text1"/>
                <w:sz w:val="20"/>
                <w:szCs w:val="20"/>
              </w:rPr>
              <w:t>pentru</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bănci</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potrivit</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abordării</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bazate</w:t>
            </w:r>
            <w:proofErr w:type="spellEnd"/>
            <w:r w:rsidRPr="00185C78">
              <w:rPr>
                <w:rFonts w:eastAsia="Arial Unicode MS"/>
                <w:i w:val="0"/>
                <w:iCs w:val="0"/>
                <w:color w:val="000000" w:themeColor="text1"/>
                <w:sz w:val="20"/>
                <w:szCs w:val="20"/>
              </w:rPr>
              <w:t xml:space="preserve"> pe </w:t>
            </w:r>
            <w:proofErr w:type="spellStart"/>
            <w:r w:rsidRPr="00185C78">
              <w:rPr>
                <w:rFonts w:eastAsia="Arial Unicode MS"/>
                <w:i w:val="0"/>
                <w:iCs w:val="0"/>
                <w:color w:val="000000" w:themeColor="text1"/>
                <w:sz w:val="20"/>
                <w:szCs w:val="20"/>
              </w:rPr>
              <w:t>modele</w:t>
            </w:r>
            <w:proofErr w:type="spellEnd"/>
            <w:r w:rsidRPr="00185C78">
              <w:rPr>
                <w:rFonts w:eastAsia="Arial Unicode MS"/>
                <w:i w:val="0"/>
                <w:iCs w:val="0"/>
                <w:color w:val="000000" w:themeColor="text1"/>
                <w:sz w:val="20"/>
                <w:szCs w:val="20"/>
              </w:rPr>
              <w:t xml:space="preserve"> interne de rating, </w:t>
            </w:r>
            <w:proofErr w:type="spellStart"/>
            <w:r w:rsidRPr="00185C78">
              <w:rPr>
                <w:rFonts w:eastAsia="Arial Unicode MS"/>
                <w:i w:val="0"/>
                <w:iCs w:val="0"/>
                <w:color w:val="000000" w:themeColor="text1"/>
                <w:sz w:val="20"/>
                <w:szCs w:val="20"/>
              </w:rPr>
              <w:t>pentru</w:t>
            </w:r>
            <w:proofErr w:type="spellEnd"/>
            <w:r w:rsidRPr="00185C78">
              <w:rPr>
                <w:rFonts w:eastAsia="Arial Unicode MS"/>
                <w:i w:val="0"/>
                <w:iCs w:val="0"/>
                <w:color w:val="000000" w:themeColor="text1"/>
                <w:sz w:val="20"/>
                <w:szCs w:val="20"/>
              </w:rPr>
              <w:t xml:space="preserve"> a </w:t>
            </w:r>
            <w:proofErr w:type="spellStart"/>
            <w:r w:rsidRPr="00185C78">
              <w:rPr>
                <w:rFonts w:eastAsia="Arial Unicode MS"/>
                <w:i w:val="0"/>
                <w:iCs w:val="0"/>
                <w:color w:val="000000" w:themeColor="text1"/>
                <w:sz w:val="20"/>
                <w:szCs w:val="20"/>
              </w:rPr>
              <w:t>recunoaște</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protecția</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finanțată</w:t>
            </w:r>
            <w:proofErr w:type="spellEnd"/>
            <w:r w:rsidRPr="00185C78">
              <w:rPr>
                <w:rFonts w:eastAsia="Arial Unicode MS"/>
                <w:i w:val="0"/>
                <w:iCs w:val="0"/>
                <w:color w:val="000000" w:themeColor="text1"/>
                <w:sz w:val="20"/>
                <w:szCs w:val="20"/>
              </w:rPr>
              <w:t xml:space="preserve"> a </w:t>
            </w:r>
            <w:proofErr w:type="spellStart"/>
            <w:r w:rsidRPr="00185C78">
              <w:rPr>
                <w:rFonts w:eastAsia="Arial Unicode MS"/>
                <w:i w:val="0"/>
                <w:iCs w:val="0"/>
                <w:color w:val="000000" w:themeColor="text1"/>
                <w:sz w:val="20"/>
                <w:szCs w:val="20"/>
              </w:rPr>
              <w:t>creditului</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eligibilă</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în</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temeiul</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prezentului</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regulament</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Băncile</w:t>
            </w:r>
            <w:proofErr w:type="spellEnd"/>
            <w:r w:rsidRPr="00185C78">
              <w:rPr>
                <w:rFonts w:eastAsia="Arial Unicode MS"/>
                <w:i w:val="0"/>
                <w:iCs w:val="0"/>
                <w:color w:val="000000" w:themeColor="text1"/>
                <w:sz w:val="20"/>
                <w:szCs w:val="20"/>
              </w:rPr>
              <w:t xml:space="preserve"> </w:t>
            </w:r>
            <w:proofErr w:type="spellStart"/>
            <w:r w:rsidRPr="00185C78">
              <w:rPr>
                <w:rFonts w:eastAsia="Arial Unicode MS"/>
                <w:i w:val="0"/>
                <w:iCs w:val="0"/>
                <w:color w:val="000000" w:themeColor="text1"/>
                <w:sz w:val="20"/>
                <w:szCs w:val="20"/>
              </w:rPr>
              <w:t>calculează</w:t>
            </w:r>
            <w:proofErr w:type="spellEnd"/>
            <w:r w:rsidRPr="00185C78">
              <w:rPr>
                <w:rFonts w:eastAsia="Arial Unicode MS"/>
                <w:i w:val="0"/>
                <w:iCs w:val="0"/>
                <w:color w:val="000000" w:themeColor="text1"/>
                <w:sz w:val="20"/>
                <w:szCs w:val="20"/>
              </w:rPr>
              <w:t xml:space="preserve"> LGD* </w:t>
            </w:r>
            <w:proofErr w:type="spellStart"/>
            <w:r w:rsidRPr="00185C78">
              <w:rPr>
                <w:rFonts w:eastAsia="Arial Unicode MS"/>
                <w:i w:val="0"/>
                <w:iCs w:val="0"/>
                <w:color w:val="000000" w:themeColor="text1"/>
                <w:sz w:val="20"/>
                <w:szCs w:val="20"/>
              </w:rPr>
              <w:t>după</w:t>
            </w:r>
            <w:proofErr w:type="spellEnd"/>
            <w:r w:rsidRPr="00185C78">
              <w:rPr>
                <w:rFonts w:eastAsia="Arial Unicode MS"/>
                <w:i w:val="0"/>
                <w:iCs w:val="0"/>
                <w:color w:val="000000" w:themeColor="text1"/>
                <w:sz w:val="20"/>
                <w:szCs w:val="20"/>
              </w:rPr>
              <w:t xml:space="preserve"> cum </w:t>
            </w:r>
            <w:proofErr w:type="spellStart"/>
            <w:r w:rsidRPr="00185C78">
              <w:rPr>
                <w:rFonts w:eastAsia="Arial Unicode MS"/>
                <w:i w:val="0"/>
                <w:iCs w:val="0"/>
                <w:color w:val="000000" w:themeColor="text1"/>
                <w:sz w:val="20"/>
                <w:szCs w:val="20"/>
              </w:rPr>
              <w:t>urmează</w:t>
            </w:r>
            <w:proofErr w:type="spellEnd"/>
            <w:r w:rsidRPr="00185C78">
              <w:rPr>
                <w:rFonts w:eastAsia="Arial Unicode MS"/>
                <w:i w:val="0"/>
                <w:iCs w:val="0"/>
                <w:color w:val="000000" w:themeColor="text1"/>
                <w:sz w:val="20"/>
                <w:szCs w:val="20"/>
              </w:rPr>
              <w:t>:</w:t>
            </w:r>
            <w:r w:rsidRPr="00185C78">
              <w:rPr>
                <w:i w:val="0"/>
                <w:iCs w:val="0"/>
                <w:color w:val="000000" w:themeColor="text1"/>
                <w:sz w:val="20"/>
                <w:szCs w:val="20"/>
                <w:highlight w:val="lightGray"/>
                <w:lang w:val="ro-RO"/>
              </w:rPr>
              <w:t xml:space="preserve"> </w:t>
            </w:r>
          </w:p>
          <w:p w14:paraId="7AEC58B7" w14:textId="77777777" w:rsidR="00185C78" w:rsidRPr="005C3300" w:rsidRDefault="00185C78" w:rsidP="00185C78">
            <w:pPr>
              <w:pStyle w:val="norm"/>
              <w:shd w:val="clear" w:color="auto" w:fill="FFFFFF"/>
              <w:spacing w:before="0" w:beforeAutospacing="0" w:after="0" w:afterAutospacing="0"/>
              <w:jc w:val="both"/>
              <w:rPr>
                <w:rFonts w:eastAsia="Arial Unicode MS"/>
                <w:color w:val="000000" w:themeColor="text1"/>
                <w:sz w:val="20"/>
                <w:szCs w:val="20"/>
              </w:rPr>
            </w:pPr>
            <w:r w:rsidRPr="005C3300">
              <w:rPr>
                <w:b/>
                <w:bCs/>
                <w:noProof/>
                <w:color w:val="000000" w:themeColor="text1"/>
                <w:sz w:val="20"/>
                <w:szCs w:val="20"/>
                <w:lang w:val="ro-RO"/>
              </w:rPr>
              <w:drawing>
                <wp:inline distT="0" distB="0" distL="0" distR="0" wp14:anchorId="094883F5" wp14:editId="3DFAFB90">
                  <wp:extent cx="3419475" cy="4572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19475" cy="457200"/>
                          </a:xfrm>
                          <a:prstGeom prst="rect">
                            <a:avLst/>
                          </a:prstGeom>
                          <a:noFill/>
                          <a:ln>
                            <a:noFill/>
                          </a:ln>
                        </pic:spPr>
                      </pic:pic>
                    </a:graphicData>
                  </a:graphic>
                </wp:inline>
              </w:drawing>
            </w:r>
          </w:p>
          <w:p w14:paraId="581464FB" w14:textId="77777777" w:rsidR="00185C78" w:rsidRPr="005C3300" w:rsidRDefault="00185C78" w:rsidP="00185C78">
            <w:pPr>
              <w:pStyle w:val="norm"/>
              <w:shd w:val="clear" w:color="auto" w:fill="FFFFFF"/>
              <w:spacing w:before="0" w:beforeAutospacing="0" w:after="0" w:afterAutospacing="0"/>
              <w:jc w:val="both"/>
              <w:rPr>
                <w:rFonts w:eastAsia="Arial Unicode MS"/>
                <w:color w:val="000000" w:themeColor="text1"/>
                <w:sz w:val="20"/>
                <w:szCs w:val="20"/>
              </w:rPr>
            </w:pPr>
            <w:proofErr w:type="spellStart"/>
            <w:r w:rsidRPr="005C3300">
              <w:rPr>
                <w:rFonts w:eastAsia="Arial Unicode MS"/>
                <w:color w:val="000000" w:themeColor="text1"/>
                <w:sz w:val="20"/>
                <w:szCs w:val="20"/>
              </w:rPr>
              <w:t>unde</w:t>
            </w:r>
            <w:proofErr w:type="spellEnd"/>
            <w:r w:rsidRPr="005C3300">
              <w:rPr>
                <w:rFonts w:eastAsia="Arial Unicode MS"/>
                <w:color w:val="000000" w:themeColor="text1"/>
                <w:sz w:val="20"/>
                <w:szCs w:val="20"/>
              </w:rPr>
              <w:t>:</w:t>
            </w:r>
          </w:p>
          <w:tbl>
            <w:tblPr>
              <w:tblW w:w="5000" w:type="pct"/>
              <w:tblLayout w:type="fixed"/>
              <w:tblCellMar>
                <w:left w:w="0" w:type="dxa"/>
                <w:right w:w="0" w:type="dxa"/>
              </w:tblCellMar>
              <w:tblLook w:val="04A0" w:firstRow="1" w:lastRow="0" w:firstColumn="1" w:lastColumn="0" w:noHBand="0" w:noVBand="1"/>
            </w:tblPr>
            <w:tblGrid>
              <w:gridCol w:w="179"/>
              <w:gridCol w:w="4486"/>
            </w:tblGrid>
            <w:tr w:rsidR="00185C78" w:rsidRPr="005C3300" w14:paraId="28F095B9" w14:textId="77777777" w:rsidTr="00820E52">
              <w:tc>
                <w:tcPr>
                  <w:tcW w:w="182" w:type="dxa"/>
                  <w:hideMark/>
                </w:tcPr>
                <w:p w14:paraId="2172DECE" w14:textId="77777777" w:rsidR="00185C78" w:rsidRPr="005C3300" w:rsidRDefault="00185C78" w:rsidP="00185C78">
                  <w:pPr>
                    <w:pStyle w:val="dlist-term"/>
                    <w:spacing w:before="0" w:beforeAutospacing="0" w:after="0" w:afterAutospacing="0"/>
                    <w:rPr>
                      <w:color w:val="000000" w:themeColor="text1"/>
                      <w:sz w:val="20"/>
                      <w:szCs w:val="20"/>
                    </w:rPr>
                  </w:pPr>
                  <w:r w:rsidRPr="005C3300">
                    <w:rPr>
                      <w:color w:val="000000" w:themeColor="text1"/>
                      <w:sz w:val="20"/>
                      <w:szCs w:val="20"/>
                    </w:rPr>
                    <w:t>E</w:t>
                  </w:r>
                </w:p>
              </w:tc>
              <w:tc>
                <w:tcPr>
                  <w:tcW w:w="4565" w:type="dxa"/>
                  <w:hideMark/>
                </w:tcPr>
                <w:p w14:paraId="4EDA54B5" w14:textId="77777777" w:rsidR="00185C78" w:rsidRPr="005C3300" w:rsidRDefault="00185C78" w:rsidP="00185C78">
                  <w:pPr>
                    <w:pStyle w:val="norm"/>
                    <w:spacing w:before="0" w:beforeAutospacing="0" w:after="0" w:afterAutospacing="0"/>
                    <w:jc w:val="both"/>
                    <w:rPr>
                      <w:color w:val="000000" w:themeColor="text1"/>
                      <w:sz w:val="20"/>
                      <w:szCs w:val="20"/>
                    </w:rPr>
                  </w:pPr>
                  <w:r w:rsidRPr="005C3300">
                    <w:rPr>
                      <w:color w:val="000000" w:themeColor="text1"/>
                      <w:sz w:val="20"/>
                      <w:szCs w:val="20"/>
                    </w:rPr>
                    <w:t xml:space="preserve">= </w:t>
                  </w:r>
                  <w:proofErr w:type="spellStart"/>
                  <w:r w:rsidRPr="005C3300">
                    <w:rPr>
                      <w:color w:val="000000" w:themeColor="text1"/>
                      <w:sz w:val="20"/>
                      <w:szCs w:val="20"/>
                    </w:rPr>
                    <w:t>valoarea</w:t>
                  </w:r>
                  <w:proofErr w:type="spellEnd"/>
                  <w:r w:rsidRPr="005C3300">
                    <w:rPr>
                      <w:color w:val="000000" w:themeColor="text1"/>
                      <w:sz w:val="20"/>
                      <w:szCs w:val="20"/>
                    </w:rPr>
                    <w:t xml:space="preserve"> </w:t>
                  </w:r>
                  <w:proofErr w:type="spellStart"/>
                  <w:r w:rsidRPr="005C3300">
                    <w:rPr>
                      <w:color w:val="000000" w:themeColor="text1"/>
                      <w:sz w:val="20"/>
                      <w:szCs w:val="20"/>
                    </w:rPr>
                    <w:t>expunerii</w:t>
                  </w:r>
                  <w:proofErr w:type="spellEnd"/>
                  <w:r w:rsidRPr="005C3300">
                    <w:rPr>
                      <w:color w:val="000000" w:themeColor="text1"/>
                      <w:sz w:val="20"/>
                      <w:szCs w:val="20"/>
                    </w:rPr>
                    <w:t xml:space="preserve"> </w:t>
                  </w:r>
                  <w:proofErr w:type="spellStart"/>
                  <w:r w:rsidRPr="005C3300">
                    <w:rPr>
                      <w:color w:val="000000" w:themeColor="text1"/>
                      <w:sz w:val="20"/>
                      <w:szCs w:val="20"/>
                    </w:rPr>
                    <w:t>înainte</w:t>
                  </w:r>
                  <w:proofErr w:type="spellEnd"/>
                  <w:r w:rsidRPr="005C3300">
                    <w:rPr>
                      <w:color w:val="000000" w:themeColor="text1"/>
                      <w:sz w:val="20"/>
                      <w:szCs w:val="20"/>
                    </w:rPr>
                    <w:t xml:space="preserve"> de a se </w:t>
                  </w:r>
                  <w:proofErr w:type="spellStart"/>
                  <w:r w:rsidRPr="005C3300">
                    <w:rPr>
                      <w:color w:val="000000" w:themeColor="text1"/>
                      <w:sz w:val="20"/>
                      <w:szCs w:val="20"/>
                    </w:rPr>
                    <w:t>lua</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considerare</w:t>
                  </w:r>
                  <w:proofErr w:type="spellEnd"/>
                  <w:r w:rsidRPr="005C3300">
                    <w:rPr>
                      <w:color w:val="000000" w:themeColor="text1"/>
                      <w:sz w:val="20"/>
                      <w:szCs w:val="20"/>
                    </w:rPr>
                    <w:t xml:space="preserve"> </w:t>
                  </w:r>
                  <w:proofErr w:type="spellStart"/>
                  <w:r w:rsidRPr="005C3300">
                    <w:rPr>
                      <w:color w:val="000000" w:themeColor="text1"/>
                      <w:sz w:val="20"/>
                      <w:szCs w:val="20"/>
                    </w:rPr>
                    <w:t>efectul</w:t>
                  </w:r>
                  <w:proofErr w:type="spellEnd"/>
                  <w:r w:rsidRPr="005C3300">
                    <w:rPr>
                      <w:color w:val="000000" w:themeColor="text1"/>
                      <w:sz w:val="20"/>
                      <w:szCs w:val="20"/>
                    </w:rPr>
                    <w:t xml:space="preserve"> </w:t>
                  </w:r>
                  <w:proofErr w:type="spellStart"/>
                  <w:r w:rsidRPr="005C3300">
                    <w:rPr>
                      <w:color w:val="000000" w:themeColor="text1"/>
                      <w:sz w:val="20"/>
                      <w:szCs w:val="20"/>
                    </w:rPr>
                    <w:t>protecției</w:t>
                  </w:r>
                  <w:proofErr w:type="spellEnd"/>
                  <w:r w:rsidRPr="005C3300">
                    <w:rPr>
                      <w:color w:val="000000" w:themeColor="text1"/>
                      <w:sz w:val="20"/>
                      <w:szCs w:val="20"/>
                    </w:rPr>
                    <w:t xml:space="preserve"> </w:t>
                  </w:r>
                  <w:proofErr w:type="spellStart"/>
                  <w:r w:rsidRPr="005C3300">
                    <w:rPr>
                      <w:color w:val="000000" w:themeColor="text1"/>
                      <w:sz w:val="20"/>
                      <w:szCs w:val="20"/>
                    </w:rPr>
                    <w:t>finanțate</w:t>
                  </w:r>
                  <w:proofErr w:type="spellEnd"/>
                  <w:r w:rsidRPr="005C3300">
                    <w:rPr>
                      <w:color w:val="000000" w:themeColor="text1"/>
                      <w:sz w:val="20"/>
                      <w:szCs w:val="20"/>
                    </w:rPr>
                    <w:t xml:space="preserve"> a </w:t>
                  </w:r>
                  <w:proofErr w:type="spellStart"/>
                  <w:r w:rsidRPr="005C3300">
                    <w:rPr>
                      <w:color w:val="000000" w:themeColor="text1"/>
                      <w:sz w:val="20"/>
                      <w:szCs w:val="20"/>
                    </w:rPr>
                    <w:t>creditului</w:t>
                  </w:r>
                  <w:proofErr w:type="spellEnd"/>
                  <w:r w:rsidRPr="005C3300">
                    <w:rPr>
                      <w:color w:val="000000" w:themeColor="text1"/>
                      <w:sz w:val="20"/>
                      <w:szCs w:val="20"/>
                    </w:rPr>
                    <w:t xml:space="preserve">; </w:t>
                  </w:r>
                  <w:proofErr w:type="spellStart"/>
                  <w:r w:rsidRPr="005C3300">
                    <w:rPr>
                      <w:color w:val="000000" w:themeColor="text1"/>
                      <w:sz w:val="20"/>
                      <w:szCs w:val="20"/>
                    </w:rPr>
                    <w:t>pentru</w:t>
                  </w:r>
                  <w:proofErr w:type="spellEnd"/>
                  <w:r w:rsidRPr="005C3300">
                    <w:rPr>
                      <w:color w:val="000000" w:themeColor="text1"/>
                      <w:sz w:val="20"/>
                      <w:szCs w:val="20"/>
                    </w:rPr>
                    <w:t xml:space="preserve"> o </w:t>
                  </w:r>
                  <w:proofErr w:type="spellStart"/>
                  <w:r w:rsidRPr="005C3300">
                    <w:rPr>
                      <w:color w:val="000000" w:themeColor="text1"/>
                      <w:sz w:val="20"/>
                      <w:szCs w:val="20"/>
                    </w:rPr>
                    <w:t>expunere</w:t>
                  </w:r>
                  <w:proofErr w:type="spellEnd"/>
                  <w:r w:rsidRPr="005C3300">
                    <w:rPr>
                      <w:color w:val="000000" w:themeColor="text1"/>
                      <w:sz w:val="20"/>
                      <w:szCs w:val="20"/>
                    </w:rPr>
                    <w:t xml:space="preserve"> </w:t>
                  </w:r>
                  <w:proofErr w:type="spellStart"/>
                  <w:r w:rsidRPr="005C3300">
                    <w:rPr>
                      <w:color w:val="000000" w:themeColor="text1"/>
                      <w:sz w:val="20"/>
                      <w:szCs w:val="20"/>
                    </w:rPr>
                    <w:t>garantată</w:t>
                  </w:r>
                  <w:proofErr w:type="spellEnd"/>
                  <w:r w:rsidRPr="005C3300">
                    <w:rPr>
                      <w:color w:val="000000" w:themeColor="text1"/>
                      <w:sz w:val="20"/>
                      <w:szCs w:val="20"/>
                    </w:rPr>
                    <w:t xml:space="preserve"> cu o </w:t>
                  </w:r>
                  <w:proofErr w:type="spellStart"/>
                  <w:r w:rsidRPr="005C3300">
                    <w:rPr>
                      <w:color w:val="000000" w:themeColor="text1"/>
                      <w:sz w:val="20"/>
                      <w:szCs w:val="20"/>
                    </w:rPr>
                    <w:t>garanție</w:t>
                  </w:r>
                  <w:proofErr w:type="spellEnd"/>
                  <w:r w:rsidRPr="005C3300">
                    <w:rPr>
                      <w:color w:val="000000" w:themeColor="text1"/>
                      <w:sz w:val="20"/>
                      <w:szCs w:val="20"/>
                    </w:rPr>
                    <w:t xml:space="preserve"> </w:t>
                  </w:r>
                  <w:proofErr w:type="spellStart"/>
                  <w:r w:rsidRPr="005C3300">
                    <w:rPr>
                      <w:color w:val="000000" w:themeColor="text1"/>
                      <w:sz w:val="20"/>
                      <w:szCs w:val="20"/>
                    </w:rPr>
                    <w:t>financiară</w:t>
                  </w:r>
                  <w:proofErr w:type="spellEnd"/>
                  <w:r w:rsidRPr="005C3300">
                    <w:rPr>
                      <w:color w:val="000000" w:themeColor="text1"/>
                      <w:sz w:val="20"/>
                      <w:szCs w:val="20"/>
                    </w:rPr>
                    <w:t xml:space="preserve"> </w:t>
                  </w:r>
                  <w:proofErr w:type="spellStart"/>
                  <w:r w:rsidRPr="005C3300">
                    <w:rPr>
                      <w:color w:val="000000" w:themeColor="text1"/>
                      <w:sz w:val="20"/>
                      <w:szCs w:val="20"/>
                    </w:rPr>
                    <w:t>eligibilă</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conformitate</w:t>
                  </w:r>
                  <w:proofErr w:type="spellEnd"/>
                  <w:r w:rsidRPr="005C3300">
                    <w:rPr>
                      <w:color w:val="000000" w:themeColor="text1"/>
                      <w:sz w:val="20"/>
                      <w:szCs w:val="20"/>
                    </w:rPr>
                    <w:t xml:space="preserve"> cu </w:t>
                  </w:r>
                  <w:proofErr w:type="spellStart"/>
                  <w:r w:rsidRPr="005C3300">
                    <w:rPr>
                      <w:color w:val="000000" w:themeColor="text1"/>
                      <w:sz w:val="20"/>
                      <w:szCs w:val="20"/>
                    </w:rPr>
                    <w:t>prezentul</w:t>
                  </w:r>
                  <w:proofErr w:type="spellEnd"/>
                  <w:r w:rsidRPr="005C3300">
                    <w:rPr>
                      <w:color w:val="000000" w:themeColor="text1"/>
                      <w:sz w:val="20"/>
                      <w:szCs w:val="20"/>
                    </w:rPr>
                    <w:t xml:space="preserve"> </w:t>
                  </w:r>
                  <w:proofErr w:type="spellStart"/>
                  <w:r w:rsidRPr="005C3300">
                    <w:rPr>
                      <w:color w:val="000000" w:themeColor="text1"/>
                      <w:sz w:val="20"/>
                      <w:szCs w:val="20"/>
                    </w:rPr>
                    <w:t>regulament</w:t>
                  </w:r>
                  <w:proofErr w:type="spellEnd"/>
                  <w:r w:rsidRPr="005C3300">
                    <w:rPr>
                      <w:color w:val="000000" w:themeColor="text1"/>
                      <w:sz w:val="20"/>
                      <w:szCs w:val="20"/>
                    </w:rPr>
                    <w:t xml:space="preserve">, </w:t>
                  </w:r>
                  <w:proofErr w:type="spellStart"/>
                  <w:r w:rsidRPr="005C3300">
                    <w:rPr>
                      <w:color w:val="000000" w:themeColor="text1"/>
                      <w:sz w:val="20"/>
                      <w:szCs w:val="20"/>
                    </w:rPr>
                    <w:t>cuantumul</w:t>
                  </w:r>
                  <w:proofErr w:type="spellEnd"/>
                  <w:r w:rsidRPr="005C3300">
                    <w:rPr>
                      <w:color w:val="000000" w:themeColor="text1"/>
                      <w:sz w:val="20"/>
                      <w:szCs w:val="20"/>
                    </w:rPr>
                    <w:t xml:space="preserve"> </w:t>
                  </w:r>
                  <w:proofErr w:type="spellStart"/>
                  <w:r w:rsidRPr="005C3300">
                    <w:rPr>
                      <w:color w:val="000000" w:themeColor="text1"/>
                      <w:sz w:val="20"/>
                      <w:szCs w:val="20"/>
                    </w:rPr>
                    <w:t>respectiv</w:t>
                  </w:r>
                  <w:proofErr w:type="spellEnd"/>
                  <w:r w:rsidRPr="005C3300">
                    <w:rPr>
                      <w:color w:val="000000" w:themeColor="text1"/>
                      <w:sz w:val="20"/>
                      <w:szCs w:val="20"/>
                    </w:rPr>
                    <w:t xml:space="preserve"> se </w:t>
                  </w:r>
                  <w:proofErr w:type="spellStart"/>
                  <w:r w:rsidRPr="005C3300">
                    <w:rPr>
                      <w:color w:val="000000" w:themeColor="text1"/>
                      <w:sz w:val="20"/>
                      <w:szCs w:val="20"/>
                    </w:rPr>
                    <w:t>calculează</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conformitate</w:t>
                  </w:r>
                  <w:proofErr w:type="spellEnd"/>
                  <w:r w:rsidRPr="005C3300">
                    <w:rPr>
                      <w:color w:val="000000" w:themeColor="text1"/>
                      <w:sz w:val="20"/>
                      <w:szCs w:val="20"/>
                    </w:rPr>
                    <w:t xml:space="preserve"> cu </w:t>
                  </w:r>
                  <w:proofErr w:type="spellStart"/>
                  <w:r w:rsidRPr="005C3300">
                    <w:rPr>
                      <w:color w:val="000000" w:themeColor="text1"/>
                      <w:sz w:val="20"/>
                      <w:szCs w:val="20"/>
                    </w:rPr>
                    <w:t>punctele</w:t>
                  </w:r>
                  <w:proofErr w:type="spellEnd"/>
                  <w:r w:rsidRPr="005C3300">
                    <w:rPr>
                      <w:color w:val="000000" w:themeColor="text1"/>
                      <w:sz w:val="20"/>
                      <w:szCs w:val="20"/>
                    </w:rPr>
                    <w:t xml:space="preserve"> 89-90;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cazul</w:t>
                  </w:r>
                  <w:proofErr w:type="spellEnd"/>
                  <w:r w:rsidRPr="005C3300">
                    <w:rPr>
                      <w:color w:val="000000" w:themeColor="text1"/>
                      <w:sz w:val="20"/>
                      <w:szCs w:val="20"/>
                    </w:rPr>
                    <w:t xml:space="preserve"> </w:t>
                  </w:r>
                  <w:proofErr w:type="spellStart"/>
                  <w:r w:rsidRPr="005C3300">
                    <w:rPr>
                      <w:color w:val="000000" w:themeColor="text1"/>
                      <w:sz w:val="20"/>
                      <w:szCs w:val="20"/>
                    </w:rPr>
                    <w:t>titlurilor</w:t>
                  </w:r>
                  <w:proofErr w:type="spellEnd"/>
                  <w:r w:rsidRPr="005C3300">
                    <w:rPr>
                      <w:color w:val="000000" w:themeColor="text1"/>
                      <w:sz w:val="20"/>
                      <w:szCs w:val="20"/>
                    </w:rPr>
                    <w:t xml:space="preserve"> de </w:t>
                  </w:r>
                  <w:proofErr w:type="spellStart"/>
                  <w:r w:rsidRPr="005C3300">
                    <w:rPr>
                      <w:color w:val="000000" w:themeColor="text1"/>
                      <w:sz w:val="20"/>
                      <w:szCs w:val="20"/>
                    </w:rPr>
                    <w:t>valoare</w:t>
                  </w:r>
                  <w:proofErr w:type="spellEnd"/>
                  <w:r w:rsidRPr="005C3300">
                    <w:rPr>
                      <w:color w:val="000000" w:themeColor="text1"/>
                      <w:sz w:val="20"/>
                      <w:szCs w:val="20"/>
                    </w:rPr>
                    <w:t xml:space="preserve"> date cu </w:t>
                  </w:r>
                  <w:proofErr w:type="spellStart"/>
                  <w:r w:rsidRPr="005C3300">
                    <w:rPr>
                      <w:color w:val="000000" w:themeColor="text1"/>
                      <w:sz w:val="20"/>
                      <w:szCs w:val="20"/>
                    </w:rPr>
                    <w:t>împrumut</w:t>
                  </w:r>
                  <w:proofErr w:type="spellEnd"/>
                  <w:r w:rsidRPr="005C3300">
                    <w:rPr>
                      <w:color w:val="000000" w:themeColor="text1"/>
                      <w:sz w:val="20"/>
                      <w:szCs w:val="20"/>
                    </w:rPr>
                    <w:t xml:space="preserve"> </w:t>
                  </w:r>
                  <w:proofErr w:type="spellStart"/>
                  <w:r w:rsidRPr="005C3300">
                    <w:rPr>
                      <w:color w:val="000000" w:themeColor="text1"/>
                      <w:sz w:val="20"/>
                      <w:szCs w:val="20"/>
                    </w:rPr>
                    <w:t>sau</w:t>
                  </w:r>
                  <w:proofErr w:type="spellEnd"/>
                  <w:r w:rsidRPr="005C3300">
                    <w:rPr>
                      <w:color w:val="000000" w:themeColor="text1"/>
                      <w:sz w:val="20"/>
                      <w:szCs w:val="20"/>
                    </w:rPr>
                    <w:t xml:space="preserve"> </w:t>
                  </w:r>
                  <w:proofErr w:type="spellStart"/>
                  <w:r w:rsidRPr="005C3300">
                    <w:rPr>
                      <w:color w:val="000000" w:themeColor="text1"/>
                      <w:sz w:val="20"/>
                      <w:szCs w:val="20"/>
                    </w:rPr>
                    <w:t>furnizate</w:t>
                  </w:r>
                  <w:proofErr w:type="spellEnd"/>
                  <w:r w:rsidRPr="005C3300">
                    <w:rPr>
                      <w:color w:val="000000" w:themeColor="text1"/>
                      <w:sz w:val="20"/>
                      <w:szCs w:val="20"/>
                    </w:rPr>
                    <w:t xml:space="preserve"> </w:t>
                  </w:r>
                  <w:proofErr w:type="spellStart"/>
                  <w:r w:rsidRPr="005C3300">
                    <w:rPr>
                      <w:color w:val="000000" w:themeColor="text1"/>
                      <w:sz w:val="20"/>
                      <w:szCs w:val="20"/>
                    </w:rPr>
                    <w:t>drept</w:t>
                  </w:r>
                  <w:proofErr w:type="spellEnd"/>
                  <w:r w:rsidRPr="005C3300">
                    <w:rPr>
                      <w:color w:val="000000" w:themeColor="text1"/>
                      <w:sz w:val="20"/>
                      <w:szCs w:val="20"/>
                    </w:rPr>
                    <w:t xml:space="preserve"> </w:t>
                  </w:r>
                  <w:proofErr w:type="spellStart"/>
                  <w:r w:rsidRPr="005C3300">
                    <w:rPr>
                      <w:color w:val="000000" w:themeColor="text1"/>
                      <w:sz w:val="20"/>
                      <w:szCs w:val="20"/>
                    </w:rPr>
                    <w:t>garanție</w:t>
                  </w:r>
                  <w:proofErr w:type="spellEnd"/>
                  <w:r w:rsidRPr="005C3300">
                    <w:rPr>
                      <w:color w:val="000000" w:themeColor="text1"/>
                      <w:sz w:val="20"/>
                      <w:szCs w:val="20"/>
                    </w:rPr>
                    <w:t xml:space="preserve">, </w:t>
                  </w:r>
                  <w:proofErr w:type="spellStart"/>
                  <w:r w:rsidRPr="005C3300">
                    <w:rPr>
                      <w:color w:val="000000" w:themeColor="text1"/>
                      <w:sz w:val="20"/>
                      <w:szCs w:val="20"/>
                    </w:rPr>
                    <w:t>cuantumul</w:t>
                  </w:r>
                  <w:proofErr w:type="spellEnd"/>
                  <w:r w:rsidRPr="005C3300">
                    <w:rPr>
                      <w:color w:val="000000" w:themeColor="text1"/>
                      <w:sz w:val="20"/>
                      <w:szCs w:val="20"/>
                    </w:rPr>
                    <w:t xml:space="preserve"> </w:t>
                  </w:r>
                  <w:proofErr w:type="spellStart"/>
                  <w:r w:rsidRPr="005C3300">
                    <w:rPr>
                      <w:color w:val="000000" w:themeColor="text1"/>
                      <w:sz w:val="20"/>
                      <w:szCs w:val="20"/>
                    </w:rPr>
                    <w:t>respectiv</w:t>
                  </w:r>
                  <w:proofErr w:type="spellEnd"/>
                  <w:r w:rsidRPr="005C3300">
                    <w:rPr>
                      <w:color w:val="000000" w:themeColor="text1"/>
                      <w:sz w:val="20"/>
                      <w:szCs w:val="20"/>
                    </w:rPr>
                    <w:t xml:space="preserve"> </w:t>
                  </w:r>
                  <w:proofErr w:type="spellStart"/>
                  <w:r w:rsidRPr="005C3300">
                    <w:rPr>
                      <w:color w:val="000000" w:themeColor="text1"/>
                      <w:sz w:val="20"/>
                      <w:szCs w:val="20"/>
                    </w:rPr>
                    <w:t>este</w:t>
                  </w:r>
                  <w:proofErr w:type="spellEnd"/>
                  <w:r w:rsidRPr="005C3300">
                    <w:rPr>
                      <w:color w:val="000000" w:themeColor="text1"/>
                      <w:sz w:val="20"/>
                      <w:szCs w:val="20"/>
                    </w:rPr>
                    <w:t xml:space="preserve"> egal cu </w:t>
                  </w:r>
                  <w:proofErr w:type="spellStart"/>
                  <w:r w:rsidRPr="005C3300">
                    <w:rPr>
                      <w:color w:val="000000" w:themeColor="text1"/>
                      <w:sz w:val="20"/>
                      <w:szCs w:val="20"/>
                    </w:rPr>
                    <w:t>numerarul</w:t>
                  </w:r>
                  <w:proofErr w:type="spellEnd"/>
                  <w:r w:rsidRPr="005C3300">
                    <w:rPr>
                      <w:color w:val="000000" w:themeColor="text1"/>
                      <w:sz w:val="20"/>
                      <w:szCs w:val="20"/>
                    </w:rPr>
                    <w:t xml:space="preserve"> </w:t>
                  </w:r>
                  <w:proofErr w:type="spellStart"/>
                  <w:r w:rsidRPr="005C3300">
                    <w:rPr>
                      <w:color w:val="000000" w:themeColor="text1"/>
                      <w:sz w:val="20"/>
                      <w:szCs w:val="20"/>
                    </w:rPr>
                    <w:t>dat</w:t>
                  </w:r>
                  <w:proofErr w:type="spellEnd"/>
                  <w:r w:rsidRPr="005C3300">
                    <w:rPr>
                      <w:color w:val="000000" w:themeColor="text1"/>
                      <w:sz w:val="20"/>
                      <w:szCs w:val="20"/>
                    </w:rPr>
                    <w:t xml:space="preserve"> cu </w:t>
                  </w:r>
                  <w:proofErr w:type="spellStart"/>
                  <w:r w:rsidRPr="005C3300">
                    <w:rPr>
                      <w:color w:val="000000" w:themeColor="text1"/>
                      <w:sz w:val="20"/>
                      <w:szCs w:val="20"/>
                    </w:rPr>
                    <w:t>împrumut</w:t>
                  </w:r>
                  <w:proofErr w:type="spellEnd"/>
                  <w:r w:rsidRPr="005C3300">
                    <w:rPr>
                      <w:color w:val="000000" w:themeColor="text1"/>
                      <w:sz w:val="20"/>
                      <w:szCs w:val="20"/>
                    </w:rPr>
                    <w:t xml:space="preserve"> </w:t>
                  </w:r>
                  <w:proofErr w:type="spellStart"/>
                  <w:r w:rsidRPr="005C3300">
                    <w:rPr>
                      <w:color w:val="000000" w:themeColor="text1"/>
                      <w:sz w:val="20"/>
                      <w:szCs w:val="20"/>
                    </w:rPr>
                    <w:t>sau</w:t>
                  </w:r>
                  <w:proofErr w:type="spellEnd"/>
                  <w:r w:rsidRPr="005C3300">
                    <w:rPr>
                      <w:color w:val="000000" w:themeColor="text1"/>
                      <w:sz w:val="20"/>
                      <w:szCs w:val="20"/>
                    </w:rPr>
                    <w:t xml:space="preserve"> cu </w:t>
                  </w:r>
                  <w:proofErr w:type="spellStart"/>
                  <w:r w:rsidRPr="005C3300">
                    <w:rPr>
                      <w:color w:val="000000" w:themeColor="text1"/>
                      <w:sz w:val="20"/>
                      <w:szCs w:val="20"/>
                    </w:rPr>
                    <w:t>titlurile</w:t>
                  </w:r>
                  <w:proofErr w:type="spellEnd"/>
                  <w:r w:rsidRPr="005C3300">
                    <w:rPr>
                      <w:color w:val="000000" w:themeColor="text1"/>
                      <w:sz w:val="20"/>
                      <w:szCs w:val="20"/>
                    </w:rPr>
                    <w:t xml:space="preserve"> de </w:t>
                  </w:r>
                  <w:proofErr w:type="spellStart"/>
                  <w:r w:rsidRPr="005C3300">
                    <w:rPr>
                      <w:color w:val="000000" w:themeColor="text1"/>
                      <w:sz w:val="20"/>
                      <w:szCs w:val="20"/>
                    </w:rPr>
                    <w:t>valoare</w:t>
                  </w:r>
                  <w:proofErr w:type="spellEnd"/>
                  <w:r w:rsidRPr="005C3300">
                    <w:rPr>
                      <w:color w:val="000000" w:themeColor="text1"/>
                      <w:sz w:val="20"/>
                      <w:szCs w:val="20"/>
                    </w:rPr>
                    <w:t xml:space="preserve"> date cu </w:t>
                  </w:r>
                  <w:proofErr w:type="spellStart"/>
                  <w:r w:rsidRPr="005C3300">
                    <w:rPr>
                      <w:color w:val="000000" w:themeColor="text1"/>
                      <w:sz w:val="20"/>
                      <w:szCs w:val="20"/>
                    </w:rPr>
                    <w:t>împrumut</w:t>
                  </w:r>
                  <w:proofErr w:type="spellEnd"/>
                  <w:r w:rsidRPr="005C3300">
                    <w:rPr>
                      <w:color w:val="000000" w:themeColor="text1"/>
                      <w:sz w:val="20"/>
                      <w:szCs w:val="20"/>
                    </w:rPr>
                    <w:t xml:space="preserve"> </w:t>
                  </w:r>
                  <w:proofErr w:type="spellStart"/>
                  <w:r w:rsidRPr="005C3300">
                    <w:rPr>
                      <w:color w:val="000000" w:themeColor="text1"/>
                      <w:sz w:val="20"/>
                      <w:szCs w:val="20"/>
                    </w:rPr>
                    <w:t>sau</w:t>
                  </w:r>
                  <w:proofErr w:type="spellEnd"/>
                  <w:r w:rsidRPr="005C3300">
                    <w:rPr>
                      <w:color w:val="000000" w:themeColor="text1"/>
                      <w:sz w:val="20"/>
                      <w:szCs w:val="20"/>
                    </w:rPr>
                    <w:t xml:space="preserve"> </w:t>
                  </w:r>
                  <w:proofErr w:type="spellStart"/>
                  <w:r w:rsidRPr="005C3300">
                    <w:rPr>
                      <w:color w:val="000000" w:themeColor="text1"/>
                      <w:sz w:val="20"/>
                      <w:szCs w:val="20"/>
                    </w:rPr>
                    <w:t>furnizate</w:t>
                  </w:r>
                  <w:proofErr w:type="spellEnd"/>
                  <w:r w:rsidRPr="005C3300">
                    <w:rPr>
                      <w:color w:val="000000" w:themeColor="text1"/>
                      <w:sz w:val="20"/>
                      <w:szCs w:val="20"/>
                    </w:rPr>
                    <w:t xml:space="preserve"> </w:t>
                  </w:r>
                  <w:proofErr w:type="spellStart"/>
                  <w:r w:rsidRPr="005C3300">
                    <w:rPr>
                      <w:color w:val="000000" w:themeColor="text1"/>
                      <w:sz w:val="20"/>
                      <w:szCs w:val="20"/>
                    </w:rPr>
                    <w:t>drept</w:t>
                  </w:r>
                  <w:proofErr w:type="spellEnd"/>
                  <w:r w:rsidRPr="005C3300">
                    <w:rPr>
                      <w:color w:val="000000" w:themeColor="text1"/>
                      <w:sz w:val="20"/>
                      <w:szCs w:val="20"/>
                    </w:rPr>
                    <w:t xml:space="preserve"> </w:t>
                  </w:r>
                  <w:proofErr w:type="spellStart"/>
                  <w:r w:rsidRPr="005C3300">
                    <w:rPr>
                      <w:color w:val="000000" w:themeColor="text1"/>
                      <w:sz w:val="20"/>
                      <w:szCs w:val="20"/>
                    </w:rPr>
                    <w:t>garanție</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cazul</w:t>
                  </w:r>
                  <w:proofErr w:type="spellEnd"/>
                  <w:r w:rsidRPr="005C3300">
                    <w:rPr>
                      <w:color w:val="000000" w:themeColor="text1"/>
                      <w:sz w:val="20"/>
                      <w:szCs w:val="20"/>
                    </w:rPr>
                    <w:t xml:space="preserve"> </w:t>
                  </w:r>
                  <w:proofErr w:type="spellStart"/>
                  <w:r w:rsidRPr="005C3300">
                    <w:rPr>
                      <w:color w:val="000000" w:themeColor="text1"/>
                      <w:sz w:val="20"/>
                      <w:szCs w:val="20"/>
                    </w:rPr>
                    <w:t>titlurilor</w:t>
                  </w:r>
                  <w:proofErr w:type="spellEnd"/>
                  <w:r w:rsidRPr="005C3300">
                    <w:rPr>
                      <w:color w:val="000000" w:themeColor="text1"/>
                      <w:sz w:val="20"/>
                      <w:szCs w:val="20"/>
                    </w:rPr>
                    <w:t xml:space="preserve"> de </w:t>
                  </w:r>
                  <w:proofErr w:type="spellStart"/>
                  <w:r w:rsidRPr="005C3300">
                    <w:rPr>
                      <w:color w:val="000000" w:themeColor="text1"/>
                      <w:sz w:val="20"/>
                      <w:szCs w:val="20"/>
                    </w:rPr>
                    <w:t>valoare</w:t>
                  </w:r>
                  <w:proofErr w:type="spellEnd"/>
                  <w:r w:rsidRPr="005C3300">
                    <w:rPr>
                      <w:color w:val="000000" w:themeColor="text1"/>
                      <w:sz w:val="20"/>
                      <w:szCs w:val="20"/>
                    </w:rPr>
                    <w:t xml:space="preserve"> date cu </w:t>
                  </w:r>
                  <w:proofErr w:type="spellStart"/>
                  <w:r w:rsidRPr="005C3300">
                    <w:rPr>
                      <w:color w:val="000000" w:themeColor="text1"/>
                      <w:sz w:val="20"/>
                      <w:szCs w:val="20"/>
                    </w:rPr>
                    <w:t>împrumut</w:t>
                  </w:r>
                  <w:proofErr w:type="spellEnd"/>
                  <w:r w:rsidRPr="005C3300">
                    <w:rPr>
                      <w:color w:val="000000" w:themeColor="text1"/>
                      <w:sz w:val="20"/>
                      <w:szCs w:val="20"/>
                    </w:rPr>
                    <w:t xml:space="preserve"> </w:t>
                  </w:r>
                  <w:proofErr w:type="spellStart"/>
                  <w:r w:rsidRPr="005C3300">
                    <w:rPr>
                      <w:color w:val="000000" w:themeColor="text1"/>
                      <w:sz w:val="20"/>
                      <w:szCs w:val="20"/>
                    </w:rPr>
                    <w:t>sau</w:t>
                  </w:r>
                  <w:proofErr w:type="spellEnd"/>
                  <w:r w:rsidRPr="005C3300">
                    <w:rPr>
                      <w:color w:val="000000" w:themeColor="text1"/>
                      <w:sz w:val="20"/>
                      <w:szCs w:val="20"/>
                    </w:rPr>
                    <w:t xml:space="preserve"> </w:t>
                  </w:r>
                  <w:proofErr w:type="spellStart"/>
                  <w:r w:rsidRPr="005C3300">
                    <w:rPr>
                      <w:color w:val="000000" w:themeColor="text1"/>
                      <w:sz w:val="20"/>
                      <w:szCs w:val="20"/>
                    </w:rPr>
                    <w:t>furnizate</w:t>
                  </w:r>
                  <w:proofErr w:type="spellEnd"/>
                  <w:r w:rsidRPr="005C3300">
                    <w:rPr>
                      <w:color w:val="000000" w:themeColor="text1"/>
                      <w:sz w:val="20"/>
                      <w:szCs w:val="20"/>
                    </w:rPr>
                    <w:t xml:space="preserve"> </w:t>
                  </w:r>
                  <w:proofErr w:type="spellStart"/>
                  <w:r w:rsidRPr="005C3300">
                    <w:rPr>
                      <w:color w:val="000000" w:themeColor="text1"/>
                      <w:sz w:val="20"/>
                      <w:szCs w:val="20"/>
                    </w:rPr>
                    <w:t>drept</w:t>
                  </w:r>
                  <w:proofErr w:type="spellEnd"/>
                  <w:r w:rsidRPr="005C3300">
                    <w:rPr>
                      <w:color w:val="000000" w:themeColor="text1"/>
                      <w:sz w:val="20"/>
                      <w:szCs w:val="20"/>
                    </w:rPr>
                    <w:t xml:space="preserve"> </w:t>
                  </w:r>
                  <w:proofErr w:type="spellStart"/>
                  <w:r w:rsidRPr="005C3300">
                    <w:rPr>
                      <w:color w:val="000000" w:themeColor="text1"/>
                      <w:sz w:val="20"/>
                      <w:szCs w:val="20"/>
                    </w:rPr>
                    <w:t>garanție</w:t>
                  </w:r>
                  <w:proofErr w:type="spellEnd"/>
                  <w:r w:rsidRPr="005C3300">
                    <w:rPr>
                      <w:color w:val="000000" w:themeColor="text1"/>
                      <w:sz w:val="20"/>
                      <w:szCs w:val="20"/>
                    </w:rPr>
                    <w:t xml:space="preserve">, </w:t>
                  </w:r>
                  <w:proofErr w:type="spellStart"/>
                  <w:r w:rsidRPr="005C3300">
                    <w:rPr>
                      <w:color w:val="000000" w:themeColor="text1"/>
                      <w:sz w:val="20"/>
                      <w:szCs w:val="20"/>
                    </w:rPr>
                    <w:t>valoarea</w:t>
                  </w:r>
                  <w:proofErr w:type="spellEnd"/>
                  <w:r w:rsidRPr="005C3300">
                    <w:rPr>
                      <w:color w:val="000000" w:themeColor="text1"/>
                      <w:sz w:val="20"/>
                      <w:szCs w:val="20"/>
                    </w:rPr>
                    <w:t xml:space="preserve"> </w:t>
                  </w:r>
                  <w:proofErr w:type="spellStart"/>
                  <w:r w:rsidRPr="005C3300">
                    <w:rPr>
                      <w:color w:val="000000" w:themeColor="text1"/>
                      <w:sz w:val="20"/>
                      <w:szCs w:val="20"/>
                    </w:rPr>
                    <w:t>expunerii</w:t>
                  </w:r>
                  <w:proofErr w:type="spellEnd"/>
                  <w:r w:rsidRPr="005C3300">
                    <w:rPr>
                      <w:color w:val="000000" w:themeColor="text1"/>
                      <w:sz w:val="20"/>
                      <w:szCs w:val="20"/>
                    </w:rPr>
                    <w:t xml:space="preserve"> se </w:t>
                  </w:r>
                  <w:proofErr w:type="spellStart"/>
                  <w:r w:rsidRPr="005C3300">
                    <w:rPr>
                      <w:color w:val="000000" w:themeColor="text1"/>
                      <w:sz w:val="20"/>
                      <w:szCs w:val="20"/>
                    </w:rPr>
                    <w:t>majorează</w:t>
                  </w:r>
                  <w:proofErr w:type="spellEnd"/>
                  <w:r w:rsidRPr="005C3300">
                    <w:rPr>
                      <w:color w:val="000000" w:themeColor="text1"/>
                      <w:sz w:val="20"/>
                      <w:szCs w:val="20"/>
                    </w:rPr>
                    <w:t xml:space="preserve"> </w:t>
                  </w:r>
                  <w:proofErr w:type="spellStart"/>
                  <w:r w:rsidRPr="005C3300">
                    <w:rPr>
                      <w:color w:val="000000" w:themeColor="text1"/>
                      <w:sz w:val="20"/>
                      <w:szCs w:val="20"/>
                    </w:rPr>
                    <w:t>prin</w:t>
                  </w:r>
                  <w:proofErr w:type="spellEnd"/>
                  <w:r w:rsidRPr="005C3300">
                    <w:rPr>
                      <w:color w:val="000000" w:themeColor="text1"/>
                      <w:sz w:val="20"/>
                      <w:szCs w:val="20"/>
                    </w:rPr>
                    <w:t xml:space="preserve"> </w:t>
                  </w:r>
                  <w:proofErr w:type="spellStart"/>
                  <w:r w:rsidRPr="005C3300">
                    <w:rPr>
                      <w:color w:val="000000" w:themeColor="text1"/>
                      <w:sz w:val="20"/>
                      <w:szCs w:val="20"/>
                    </w:rPr>
                    <w:t>aplicarea</w:t>
                  </w:r>
                  <w:proofErr w:type="spellEnd"/>
                  <w:r w:rsidRPr="005C3300">
                    <w:rPr>
                      <w:color w:val="000000" w:themeColor="text1"/>
                      <w:sz w:val="20"/>
                      <w:szCs w:val="20"/>
                    </w:rPr>
                    <w:t xml:space="preserve"> </w:t>
                  </w:r>
                  <w:proofErr w:type="spellStart"/>
                  <w:r w:rsidRPr="005C3300">
                    <w:rPr>
                      <w:color w:val="000000" w:themeColor="text1"/>
                      <w:sz w:val="20"/>
                      <w:szCs w:val="20"/>
                    </w:rPr>
                    <w:t>ajustării</w:t>
                  </w:r>
                  <w:proofErr w:type="spellEnd"/>
                  <w:r w:rsidRPr="005C3300">
                    <w:rPr>
                      <w:color w:val="000000" w:themeColor="text1"/>
                      <w:sz w:val="20"/>
                      <w:szCs w:val="20"/>
                    </w:rPr>
                    <w:t xml:space="preserve"> de </w:t>
                  </w:r>
                  <w:proofErr w:type="spellStart"/>
                  <w:r w:rsidRPr="005C3300">
                    <w:rPr>
                      <w:color w:val="000000" w:themeColor="text1"/>
                      <w:sz w:val="20"/>
                      <w:szCs w:val="20"/>
                    </w:rPr>
                    <w:t>volatilitate</w:t>
                  </w:r>
                  <w:proofErr w:type="spellEnd"/>
                  <w:r w:rsidRPr="005C3300">
                    <w:rPr>
                      <w:color w:val="000000" w:themeColor="text1"/>
                      <w:sz w:val="20"/>
                      <w:szCs w:val="20"/>
                    </w:rPr>
                    <w:t xml:space="preserve"> (H</w:t>
                  </w:r>
                  <w:r w:rsidRPr="005C3300">
                    <w:rPr>
                      <w:rStyle w:val="subscript"/>
                      <w:color w:val="000000" w:themeColor="text1"/>
                      <w:sz w:val="20"/>
                      <w:szCs w:val="20"/>
                      <w:vertAlign w:val="subscript"/>
                    </w:rPr>
                    <w:t>E</w:t>
                  </w:r>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conformitate</w:t>
                  </w:r>
                  <w:proofErr w:type="spellEnd"/>
                  <w:r w:rsidRPr="005C3300">
                    <w:rPr>
                      <w:color w:val="000000" w:themeColor="text1"/>
                      <w:sz w:val="20"/>
                      <w:szCs w:val="20"/>
                    </w:rPr>
                    <w:t xml:space="preserve"> cu </w:t>
                  </w:r>
                  <w:proofErr w:type="spellStart"/>
                  <w:r w:rsidRPr="005C3300">
                    <w:rPr>
                      <w:color w:val="000000" w:themeColor="text1"/>
                      <w:sz w:val="20"/>
                      <w:szCs w:val="20"/>
                    </w:rPr>
                    <w:t>secțiunile</w:t>
                  </w:r>
                  <w:proofErr w:type="spellEnd"/>
                  <w:r w:rsidRPr="005C3300">
                    <w:rPr>
                      <w:color w:val="000000" w:themeColor="text1"/>
                      <w:sz w:val="20"/>
                      <w:szCs w:val="20"/>
                    </w:rPr>
                    <w:t xml:space="preserve"> 5 – 8 din </w:t>
                  </w:r>
                  <w:proofErr w:type="spellStart"/>
                  <w:r w:rsidRPr="005C3300">
                    <w:rPr>
                      <w:color w:val="000000" w:themeColor="text1"/>
                      <w:sz w:val="20"/>
                      <w:szCs w:val="20"/>
                    </w:rPr>
                    <w:t>prezentul</w:t>
                  </w:r>
                  <w:proofErr w:type="spellEnd"/>
                  <w:r w:rsidRPr="005C3300">
                    <w:rPr>
                      <w:color w:val="000000" w:themeColor="text1"/>
                      <w:sz w:val="20"/>
                      <w:szCs w:val="20"/>
                    </w:rPr>
                    <w:t xml:space="preserve"> capitol;</w:t>
                  </w:r>
                </w:p>
              </w:tc>
            </w:tr>
          </w:tbl>
          <w:p w14:paraId="30AC9840" w14:textId="77777777" w:rsidR="00185C78" w:rsidRPr="005C3300" w:rsidRDefault="00185C78" w:rsidP="00185C78">
            <w:pPr>
              <w:shd w:val="clear" w:color="auto" w:fill="FFFFFF"/>
              <w:spacing w:after="0" w:line="240" w:lineRule="auto"/>
              <w:rPr>
                <w:rFonts w:ascii="Times New Roman" w:eastAsia="Arial Unicode MS" w:hAnsi="Times New Roman" w:cs="Times New Roman"/>
                <w:vanish/>
                <w:color w:val="000000" w:themeColor="text1"/>
                <w:sz w:val="20"/>
                <w:szCs w:val="20"/>
              </w:rPr>
            </w:pPr>
          </w:p>
          <w:tbl>
            <w:tblPr>
              <w:tblW w:w="5000" w:type="pct"/>
              <w:tblLayout w:type="fixed"/>
              <w:tblCellMar>
                <w:left w:w="0" w:type="dxa"/>
                <w:right w:w="0" w:type="dxa"/>
              </w:tblCellMar>
              <w:tblLook w:val="04A0" w:firstRow="1" w:lastRow="0" w:firstColumn="1" w:lastColumn="0" w:noHBand="0" w:noVBand="1"/>
            </w:tblPr>
            <w:tblGrid>
              <w:gridCol w:w="319"/>
              <w:gridCol w:w="4346"/>
            </w:tblGrid>
            <w:tr w:rsidR="00185C78" w:rsidRPr="005C3300" w14:paraId="6481E49B" w14:textId="77777777" w:rsidTr="00820E52">
              <w:tc>
                <w:tcPr>
                  <w:tcW w:w="324" w:type="dxa"/>
                  <w:hideMark/>
                </w:tcPr>
                <w:p w14:paraId="68599202" w14:textId="77777777" w:rsidR="00185C78" w:rsidRPr="005C3300" w:rsidRDefault="00185C78" w:rsidP="00185C78">
                  <w:pPr>
                    <w:pStyle w:val="dlist-term"/>
                    <w:spacing w:before="0" w:beforeAutospacing="0" w:after="0" w:afterAutospacing="0"/>
                    <w:rPr>
                      <w:color w:val="000000" w:themeColor="text1"/>
                      <w:sz w:val="20"/>
                      <w:szCs w:val="20"/>
                    </w:rPr>
                  </w:pPr>
                  <w:r w:rsidRPr="005C3300">
                    <w:rPr>
                      <w:color w:val="000000" w:themeColor="text1"/>
                      <w:sz w:val="20"/>
                      <w:szCs w:val="20"/>
                    </w:rPr>
                    <w:t>E</w:t>
                  </w:r>
                  <w:r w:rsidRPr="005C3300">
                    <w:rPr>
                      <w:rStyle w:val="subscript"/>
                      <w:color w:val="000000" w:themeColor="text1"/>
                      <w:sz w:val="20"/>
                      <w:szCs w:val="20"/>
                      <w:vertAlign w:val="subscript"/>
                    </w:rPr>
                    <w:t>S</w:t>
                  </w:r>
                </w:p>
              </w:tc>
              <w:tc>
                <w:tcPr>
                  <w:tcW w:w="4423" w:type="dxa"/>
                  <w:hideMark/>
                </w:tcPr>
                <w:p w14:paraId="4F4350DC" w14:textId="295841C9" w:rsidR="00185C78" w:rsidRPr="005C3300" w:rsidRDefault="00185C78" w:rsidP="00185C78">
                  <w:pPr>
                    <w:pStyle w:val="norm"/>
                    <w:spacing w:before="0" w:beforeAutospacing="0" w:after="0" w:afterAutospacing="0"/>
                    <w:jc w:val="both"/>
                    <w:rPr>
                      <w:color w:val="000000" w:themeColor="text1"/>
                      <w:sz w:val="20"/>
                      <w:szCs w:val="20"/>
                    </w:rPr>
                  </w:pPr>
                  <w:r w:rsidRPr="005C3300">
                    <w:rPr>
                      <w:color w:val="000000" w:themeColor="text1"/>
                      <w:sz w:val="20"/>
                      <w:szCs w:val="20"/>
                    </w:rPr>
                    <w:t xml:space="preserve">= </w:t>
                  </w:r>
                  <w:proofErr w:type="spellStart"/>
                  <w:r w:rsidRPr="005C3300">
                    <w:rPr>
                      <w:color w:val="000000" w:themeColor="text1"/>
                      <w:sz w:val="20"/>
                      <w:szCs w:val="20"/>
                    </w:rPr>
                    <w:t>valoarea</w:t>
                  </w:r>
                  <w:proofErr w:type="spellEnd"/>
                  <w:r w:rsidRPr="005C3300">
                    <w:rPr>
                      <w:color w:val="000000" w:themeColor="text1"/>
                      <w:sz w:val="20"/>
                      <w:szCs w:val="20"/>
                    </w:rPr>
                    <w:t xml:space="preserve"> </w:t>
                  </w:r>
                  <w:proofErr w:type="spellStart"/>
                  <w:r w:rsidRPr="005C3300">
                    <w:rPr>
                      <w:color w:val="000000" w:themeColor="text1"/>
                      <w:sz w:val="20"/>
                      <w:szCs w:val="20"/>
                    </w:rPr>
                    <w:t>curentă</w:t>
                  </w:r>
                  <w:proofErr w:type="spellEnd"/>
                  <w:r w:rsidRPr="005C3300">
                    <w:rPr>
                      <w:color w:val="000000" w:themeColor="text1"/>
                      <w:sz w:val="20"/>
                      <w:szCs w:val="20"/>
                    </w:rPr>
                    <w:t xml:space="preserve"> a </w:t>
                  </w:r>
                  <w:proofErr w:type="spellStart"/>
                  <w:r w:rsidRPr="005C3300">
                    <w:rPr>
                      <w:color w:val="000000" w:themeColor="text1"/>
                      <w:sz w:val="20"/>
                      <w:szCs w:val="20"/>
                    </w:rPr>
                    <w:t>protecției</w:t>
                  </w:r>
                  <w:proofErr w:type="spellEnd"/>
                  <w:r w:rsidRPr="005C3300">
                    <w:rPr>
                      <w:color w:val="000000" w:themeColor="text1"/>
                      <w:sz w:val="20"/>
                      <w:szCs w:val="20"/>
                    </w:rPr>
                    <w:t xml:space="preserve"> </w:t>
                  </w:r>
                  <w:proofErr w:type="spellStart"/>
                  <w:r w:rsidRPr="005C3300">
                    <w:rPr>
                      <w:color w:val="000000" w:themeColor="text1"/>
                      <w:sz w:val="20"/>
                      <w:szCs w:val="20"/>
                    </w:rPr>
                    <w:t>finanțate</w:t>
                  </w:r>
                  <w:proofErr w:type="spellEnd"/>
                  <w:r w:rsidRPr="005C3300">
                    <w:rPr>
                      <w:color w:val="000000" w:themeColor="text1"/>
                      <w:sz w:val="20"/>
                      <w:szCs w:val="20"/>
                    </w:rPr>
                    <w:t xml:space="preserve"> a </w:t>
                  </w:r>
                  <w:proofErr w:type="spellStart"/>
                  <w:r w:rsidRPr="005C3300">
                    <w:rPr>
                      <w:color w:val="000000" w:themeColor="text1"/>
                      <w:sz w:val="20"/>
                      <w:szCs w:val="20"/>
                    </w:rPr>
                    <w:t>creditului</w:t>
                  </w:r>
                  <w:proofErr w:type="spellEnd"/>
                  <w:r w:rsidRPr="005C3300">
                    <w:rPr>
                      <w:color w:val="000000" w:themeColor="text1"/>
                      <w:sz w:val="20"/>
                      <w:szCs w:val="20"/>
                    </w:rPr>
                    <w:t xml:space="preserve"> </w:t>
                  </w:r>
                  <w:proofErr w:type="spellStart"/>
                  <w:r w:rsidRPr="005C3300">
                    <w:rPr>
                      <w:color w:val="000000" w:themeColor="text1"/>
                      <w:sz w:val="20"/>
                      <w:szCs w:val="20"/>
                    </w:rPr>
                    <w:t>primite</w:t>
                  </w:r>
                  <w:proofErr w:type="spellEnd"/>
                  <w:r w:rsidRPr="005C3300">
                    <w:rPr>
                      <w:color w:val="000000" w:themeColor="text1"/>
                      <w:sz w:val="20"/>
                      <w:szCs w:val="20"/>
                    </w:rPr>
                    <w:t xml:space="preserve"> </w:t>
                  </w:r>
                  <w:proofErr w:type="spellStart"/>
                  <w:r w:rsidRPr="005C3300">
                    <w:rPr>
                      <w:color w:val="000000" w:themeColor="text1"/>
                      <w:sz w:val="20"/>
                      <w:szCs w:val="20"/>
                    </w:rPr>
                    <w:t>după</w:t>
                  </w:r>
                  <w:proofErr w:type="spellEnd"/>
                  <w:r w:rsidRPr="005C3300">
                    <w:rPr>
                      <w:color w:val="000000" w:themeColor="text1"/>
                      <w:sz w:val="20"/>
                      <w:szCs w:val="20"/>
                    </w:rPr>
                    <w:t xml:space="preserve"> </w:t>
                  </w:r>
                  <w:proofErr w:type="spellStart"/>
                  <w:r w:rsidRPr="005C3300">
                    <w:rPr>
                      <w:color w:val="000000" w:themeColor="text1"/>
                      <w:sz w:val="20"/>
                      <w:szCs w:val="20"/>
                    </w:rPr>
                    <w:t>aplicarea</w:t>
                  </w:r>
                  <w:proofErr w:type="spellEnd"/>
                  <w:r w:rsidRPr="005C3300">
                    <w:rPr>
                      <w:color w:val="000000" w:themeColor="text1"/>
                      <w:sz w:val="20"/>
                      <w:szCs w:val="20"/>
                    </w:rPr>
                    <w:t xml:space="preserve"> </w:t>
                  </w:r>
                  <w:proofErr w:type="spellStart"/>
                  <w:r w:rsidRPr="005C3300">
                    <w:rPr>
                      <w:color w:val="000000" w:themeColor="text1"/>
                      <w:sz w:val="20"/>
                      <w:szCs w:val="20"/>
                    </w:rPr>
                    <w:t>ajustării</w:t>
                  </w:r>
                  <w:proofErr w:type="spellEnd"/>
                  <w:r w:rsidRPr="005C3300">
                    <w:rPr>
                      <w:color w:val="000000" w:themeColor="text1"/>
                      <w:sz w:val="20"/>
                      <w:szCs w:val="20"/>
                    </w:rPr>
                    <w:t xml:space="preserve"> de </w:t>
                  </w:r>
                  <w:proofErr w:type="spellStart"/>
                  <w:r w:rsidRPr="005C3300">
                    <w:rPr>
                      <w:color w:val="000000" w:themeColor="text1"/>
                      <w:sz w:val="20"/>
                      <w:szCs w:val="20"/>
                    </w:rPr>
                    <w:t>volatilitate</w:t>
                  </w:r>
                  <w:proofErr w:type="spellEnd"/>
                  <w:r w:rsidRPr="005C3300">
                    <w:rPr>
                      <w:color w:val="000000" w:themeColor="text1"/>
                      <w:sz w:val="20"/>
                      <w:szCs w:val="20"/>
                    </w:rPr>
                    <w:t xml:space="preserve"> </w:t>
                  </w:r>
                  <w:proofErr w:type="spellStart"/>
                  <w:r w:rsidRPr="005C3300">
                    <w:rPr>
                      <w:color w:val="000000" w:themeColor="text1"/>
                      <w:sz w:val="20"/>
                      <w:szCs w:val="20"/>
                    </w:rPr>
                    <w:t>aplicabile</w:t>
                  </w:r>
                  <w:proofErr w:type="spellEnd"/>
                  <w:r w:rsidRPr="005C3300">
                    <w:rPr>
                      <w:color w:val="000000" w:themeColor="text1"/>
                      <w:sz w:val="20"/>
                      <w:szCs w:val="20"/>
                    </w:rPr>
                    <w:t xml:space="preserve"> </w:t>
                  </w:r>
                  <w:proofErr w:type="spellStart"/>
                  <w:r w:rsidRPr="005C3300">
                    <w:rPr>
                      <w:color w:val="000000" w:themeColor="text1"/>
                      <w:sz w:val="20"/>
                      <w:szCs w:val="20"/>
                    </w:rPr>
                    <w:t>tipului</w:t>
                  </w:r>
                  <w:proofErr w:type="spellEnd"/>
                  <w:r w:rsidRPr="005C3300">
                    <w:rPr>
                      <w:color w:val="000000" w:themeColor="text1"/>
                      <w:sz w:val="20"/>
                      <w:szCs w:val="20"/>
                    </w:rPr>
                    <w:t xml:space="preserve"> </w:t>
                  </w:r>
                  <w:proofErr w:type="spellStart"/>
                  <w:r w:rsidRPr="005C3300">
                    <w:rPr>
                      <w:color w:val="000000" w:themeColor="text1"/>
                      <w:sz w:val="20"/>
                      <w:szCs w:val="20"/>
                    </w:rPr>
                    <w:t>respectiv</w:t>
                  </w:r>
                  <w:proofErr w:type="spellEnd"/>
                  <w:r w:rsidRPr="005C3300">
                    <w:rPr>
                      <w:color w:val="000000" w:themeColor="text1"/>
                      <w:sz w:val="20"/>
                      <w:szCs w:val="20"/>
                    </w:rPr>
                    <w:t xml:space="preserve"> de </w:t>
                  </w:r>
                  <w:proofErr w:type="spellStart"/>
                  <w:r w:rsidRPr="005C3300">
                    <w:rPr>
                      <w:color w:val="000000" w:themeColor="text1"/>
                      <w:sz w:val="20"/>
                      <w:szCs w:val="20"/>
                    </w:rPr>
                    <w:t>protecție</w:t>
                  </w:r>
                  <w:proofErr w:type="spellEnd"/>
                  <w:r w:rsidRPr="005C3300">
                    <w:rPr>
                      <w:color w:val="000000" w:themeColor="text1"/>
                      <w:sz w:val="20"/>
                      <w:szCs w:val="20"/>
                    </w:rPr>
                    <w:t xml:space="preserve"> </w:t>
                  </w:r>
                  <w:proofErr w:type="spellStart"/>
                  <w:r w:rsidRPr="005C3300">
                    <w:rPr>
                      <w:color w:val="000000" w:themeColor="text1"/>
                      <w:sz w:val="20"/>
                      <w:szCs w:val="20"/>
                    </w:rPr>
                    <w:t>finanțată</w:t>
                  </w:r>
                  <w:proofErr w:type="spellEnd"/>
                  <w:r w:rsidRPr="005C3300">
                    <w:rPr>
                      <w:color w:val="000000" w:themeColor="text1"/>
                      <w:sz w:val="20"/>
                      <w:szCs w:val="20"/>
                    </w:rPr>
                    <w:t xml:space="preserve"> a </w:t>
                  </w:r>
                  <w:proofErr w:type="spellStart"/>
                  <w:r w:rsidRPr="005C3300">
                    <w:rPr>
                      <w:color w:val="000000" w:themeColor="text1"/>
                      <w:sz w:val="20"/>
                      <w:szCs w:val="20"/>
                    </w:rPr>
                    <w:t>creditului</w:t>
                  </w:r>
                  <w:proofErr w:type="spellEnd"/>
                  <w:r w:rsidRPr="005C3300">
                    <w:rPr>
                      <w:color w:val="000000" w:themeColor="text1"/>
                      <w:sz w:val="20"/>
                      <w:szCs w:val="20"/>
                    </w:rPr>
                    <w:t xml:space="preserve"> (H</w:t>
                  </w:r>
                  <w:r w:rsidRPr="005C3300">
                    <w:rPr>
                      <w:rStyle w:val="subscript"/>
                      <w:color w:val="000000" w:themeColor="text1"/>
                      <w:sz w:val="20"/>
                      <w:szCs w:val="20"/>
                      <w:vertAlign w:val="subscript"/>
                    </w:rPr>
                    <w:t>C</w:t>
                  </w:r>
                  <w:r w:rsidRPr="005C3300">
                    <w:rPr>
                      <w:color w:val="000000" w:themeColor="text1"/>
                      <w:sz w:val="20"/>
                      <w:szCs w:val="20"/>
                    </w:rPr>
                    <w:t xml:space="preserve">) </w:t>
                  </w:r>
                  <w:proofErr w:type="spellStart"/>
                  <w:r w:rsidRPr="005C3300">
                    <w:rPr>
                      <w:color w:val="000000" w:themeColor="text1"/>
                      <w:sz w:val="20"/>
                      <w:szCs w:val="20"/>
                    </w:rPr>
                    <w:t>și</w:t>
                  </w:r>
                  <w:proofErr w:type="spellEnd"/>
                  <w:r w:rsidRPr="005C3300">
                    <w:rPr>
                      <w:color w:val="000000" w:themeColor="text1"/>
                      <w:sz w:val="20"/>
                      <w:szCs w:val="20"/>
                    </w:rPr>
                    <w:t xml:space="preserve"> </w:t>
                  </w:r>
                  <w:proofErr w:type="gramStart"/>
                  <w:r w:rsidRPr="005C3300">
                    <w:rPr>
                      <w:color w:val="000000" w:themeColor="text1"/>
                      <w:sz w:val="20"/>
                      <w:szCs w:val="20"/>
                    </w:rPr>
                    <w:t>a</w:t>
                  </w:r>
                  <w:proofErr w:type="gramEnd"/>
                  <w:r w:rsidRPr="005C3300">
                    <w:rPr>
                      <w:color w:val="000000" w:themeColor="text1"/>
                      <w:sz w:val="20"/>
                      <w:szCs w:val="20"/>
                    </w:rPr>
                    <w:t xml:space="preserve"> </w:t>
                  </w:r>
                  <w:proofErr w:type="spellStart"/>
                  <w:r w:rsidRPr="005C3300">
                    <w:rPr>
                      <w:color w:val="000000" w:themeColor="text1"/>
                      <w:sz w:val="20"/>
                      <w:szCs w:val="20"/>
                    </w:rPr>
                    <w:t>ajustării</w:t>
                  </w:r>
                  <w:proofErr w:type="spellEnd"/>
                  <w:r w:rsidRPr="005C3300">
                    <w:rPr>
                      <w:color w:val="000000" w:themeColor="text1"/>
                      <w:sz w:val="20"/>
                      <w:szCs w:val="20"/>
                    </w:rPr>
                    <w:t xml:space="preserve"> de </w:t>
                  </w:r>
                  <w:proofErr w:type="spellStart"/>
                  <w:r w:rsidRPr="005C3300">
                    <w:rPr>
                      <w:color w:val="000000" w:themeColor="text1"/>
                      <w:sz w:val="20"/>
                      <w:szCs w:val="20"/>
                    </w:rPr>
                    <w:t>volatilitate</w:t>
                  </w:r>
                  <w:proofErr w:type="spellEnd"/>
                  <w:r w:rsidRPr="005C3300">
                    <w:rPr>
                      <w:color w:val="000000" w:themeColor="text1"/>
                      <w:sz w:val="20"/>
                      <w:szCs w:val="20"/>
                    </w:rPr>
                    <w:t xml:space="preserve"> </w:t>
                  </w:r>
                  <w:proofErr w:type="spellStart"/>
                  <w:r w:rsidRPr="005C3300">
                    <w:rPr>
                      <w:color w:val="000000" w:themeColor="text1"/>
                      <w:sz w:val="20"/>
                      <w:szCs w:val="20"/>
                    </w:rPr>
                    <w:t>pentru</w:t>
                  </w:r>
                  <w:proofErr w:type="spellEnd"/>
                  <w:r w:rsidRPr="005C3300">
                    <w:rPr>
                      <w:color w:val="000000" w:themeColor="text1"/>
                      <w:sz w:val="20"/>
                      <w:szCs w:val="20"/>
                    </w:rPr>
                    <w:t xml:space="preserve"> </w:t>
                  </w:r>
                  <w:proofErr w:type="spellStart"/>
                  <w:r w:rsidRPr="005C3300">
                    <w:rPr>
                      <w:color w:val="000000" w:themeColor="text1"/>
                      <w:sz w:val="20"/>
                      <w:szCs w:val="20"/>
                    </w:rPr>
                    <w:t>neconcordanțele</w:t>
                  </w:r>
                  <w:proofErr w:type="spellEnd"/>
                  <w:r w:rsidRPr="005C3300">
                    <w:rPr>
                      <w:color w:val="000000" w:themeColor="text1"/>
                      <w:sz w:val="20"/>
                      <w:szCs w:val="20"/>
                    </w:rPr>
                    <w:t xml:space="preserve"> de </w:t>
                  </w:r>
                  <w:proofErr w:type="spellStart"/>
                  <w:r w:rsidRPr="005C3300">
                    <w:rPr>
                      <w:color w:val="000000" w:themeColor="text1"/>
                      <w:sz w:val="20"/>
                      <w:szCs w:val="20"/>
                    </w:rPr>
                    <w:t>monede</w:t>
                  </w:r>
                  <w:proofErr w:type="spellEnd"/>
                  <w:r w:rsidRPr="005C3300">
                    <w:rPr>
                      <w:color w:val="000000" w:themeColor="text1"/>
                      <w:sz w:val="20"/>
                      <w:szCs w:val="20"/>
                    </w:rPr>
                    <w:t xml:space="preserve"> (</w:t>
                  </w:r>
                  <w:proofErr w:type="spellStart"/>
                  <w:r w:rsidRPr="005C3300">
                    <w:rPr>
                      <w:color w:val="000000" w:themeColor="text1"/>
                      <w:sz w:val="20"/>
                      <w:szCs w:val="20"/>
                    </w:rPr>
                    <w:t>H</w:t>
                  </w:r>
                  <w:r w:rsidRPr="005C3300">
                    <w:rPr>
                      <w:rStyle w:val="subscript"/>
                      <w:color w:val="000000" w:themeColor="text1"/>
                      <w:sz w:val="20"/>
                      <w:szCs w:val="20"/>
                      <w:vertAlign w:val="subscript"/>
                    </w:rPr>
                    <w:t>fx</w:t>
                  </w:r>
                  <w:proofErr w:type="spellEnd"/>
                  <w:r w:rsidRPr="005C3300">
                    <w:rPr>
                      <w:color w:val="000000" w:themeColor="text1"/>
                      <w:sz w:val="20"/>
                      <w:szCs w:val="20"/>
                    </w:rPr>
                    <w:t xml:space="preserve">) </w:t>
                  </w:r>
                  <w:proofErr w:type="spellStart"/>
                  <w:r w:rsidRPr="005C3300">
                    <w:rPr>
                      <w:color w:val="000000" w:themeColor="text1"/>
                      <w:sz w:val="20"/>
                      <w:szCs w:val="20"/>
                    </w:rPr>
                    <w:t>dintre</w:t>
                  </w:r>
                  <w:proofErr w:type="spellEnd"/>
                  <w:r w:rsidRPr="005C3300">
                    <w:rPr>
                      <w:color w:val="000000" w:themeColor="text1"/>
                      <w:sz w:val="20"/>
                      <w:szCs w:val="20"/>
                    </w:rPr>
                    <w:t xml:space="preserve"> </w:t>
                  </w:r>
                  <w:proofErr w:type="spellStart"/>
                  <w:r w:rsidRPr="005C3300">
                    <w:rPr>
                      <w:color w:val="000000" w:themeColor="text1"/>
                      <w:sz w:val="20"/>
                      <w:szCs w:val="20"/>
                    </w:rPr>
                    <w:t>expunere</w:t>
                  </w:r>
                  <w:proofErr w:type="spellEnd"/>
                  <w:r w:rsidRPr="005C3300">
                    <w:rPr>
                      <w:color w:val="000000" w:themeColor="text1"/>
                      <w:sz w:val="20"/>
                      <w:szCs w:val="20"/>
                    </w:rPr>
                    <w:t xml:space="preserve"> </w:t>
                  </w:r>
                  <w:proofErr w:type="spellStart"/>
                  <w:r w:rsidRPr="005C3300">
                    <w:rPr>
                      <w:color w:val="000000" w:themeColor="text1"/>
                      <w:sz w:val="20"/>
                      <w:szCs w:val="20"/>
                    </w:rPr>
                    <w:t>și</w:t>
                  </w:r>
                  <w:proofErr w:type="spellEnd"/>
                  <w:r w:rsidRPr="005C3300">
                    <w:rPr>
                      <w:color w:val="000000" w:themeColor="text1"/>
                      <w:sz w:val="20"/>
                      <w:szCs w:val="20"/>
                    </w:rPr>
                    <w:t xml:space="preserve"> </w:t>
                  </w:r>
                  <w:proofErr w:type="spellStart"/>
                  <w:r w:rsidRPr="005C3300">
                    <w:rPr>
                      <w:color w:val="000000" w:themeColor="text1"/>
                      <w:sz w:val="20"/>
                      <w:szCs w:val="20"/>
                    </w:rPr>
                    <w:t>protecția</w:t>
                  </w:r>
                  <w:proofErr w:type="spellEnd"/>
                  <w:r w:rsidRPr="005C3300">
                    <w:rPr>
                      <w:color w:val="000000" w:themeColor="text1"/>
                      <w:sz w:val="20"/>
                      <w:szCs w:val="20"/>
                    </w:rPr>
                    <w:t xml:space="preserve"> </w:t>
                  </w:r>
                  <w:proofErr w:type="spellStart"/>
                  <w:r w:rsidRPr="005C3300">
                    <w:rPr>
                      <w:color w:val="000000" w:themeColor="text1"/>
                      <w:sz w:val="20"/>
                      <w:szCs w:val="20"/>
                    </w:rPr>
                    <w:t>finanțată</w:t>
                  </w:r>
                  <w:proofErr w:type="spellEnd"/>
                  <w:r w:rsidRPr="005C3300">
                    <w:rPr>
                      <w:color w:val="000000" w:themeColor="text1"/>
                      <w:sz w:val="20"/>
                      <w:szCs w:val="20"/>
                    </w:rPr>
                    <w:t xml:space="preserve"> a </w:t>
                  </w:r>
                  <w:proofErr w:type="spellStart"/>
                  <w:r w:rsidRPr="005C3300">
                    <w:rPr>
                      <w:color w:val="000000" w:themeColor="text1"/>
                      <w:sz w:val="20"/>
                      <w:szCs w:val="20"/>
                    </w:rPr>
                    <w:t>creditului</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conformitate</w:t>
                  </w:r>
                  <w:proofErr w:type="spellEnd"/>
                  <w:r w:rsidRPr="005C3300">
                    <w:rPr>
                      <w:color w:val="000000" w:themeColor="text1"/>
                      <w:sz w:val="20"/>
                      <w:szCs w:val="20"/>
                    </w:rPr>
                    <w:t xml:space="preserve"> cu </w:t>
                  </w:r>
                  <w:proofErr w:type="spellStart"/>
                  <w:r w:rsidRPr="005C3300">
                    <w:rPr>
                      <w:color w:val="000000" w:themeColor="text1"/>
                      <w:sz w:val="20"/>
                      <w:szCs w:val="20"/>
                    </w:rPr>
                    <w:t>punctele</w:t>
                  </w:r>
                  <w:proofErr w:type="spellEnd"/>
                  <w:r w:rsidRPr="005C3300">
                    <w:rPr>
                      <w:color w:val="000000" w:themeColor="text1"/>
                      <w:sz w:val="20"/>
                      <w:szCs w:val="20"/>
                    </w:rPr>
                    <w:t xml:space="preserve"> 107</w:t>
                  </w:r>
                  <w:r w:rsidRPr="005C3300">
                    <w:rPr>
                      <w:color w:val="000000" w:themeColor="text1"/>
                      <w:sz w:val="20"/>
                      <w:szCs w:val="20"/>
                      <w:vertAlign w:val="superscript"/>
                    </w:rPr>
                    <w:t>7</w:t>
                  </w:r>
                  <w:r w:rsidRPr="005C3300">
                    <w:rPr>
                      <w:color w:val="000000" w:themeColor="text1"/>
                      <w:sz w:val="20"/>
                      <w:szCs w:val="20"/>
                    </w:rPr>
                    <w:t>-107</w:t>
                  </w:r>
                  <w:r w:rsidRPr="005C3300">
                    <w:rPr>
                      <w:color w:val="000000" w:themeColor="text1"/>
                      <w:sz w:val="20"/>
                      <w:szCs w:val="20"/>
                      <w:vertAlign w:val="superscript"/>
                    </w:rPr>
                    <w:t>8</w:t>
                  </w:r>
                  <w:r w:rsidRPr="005C3300">
                    <w:rPr>
                      <w:color w:val="000000" w:themeColor="text1"/>
                      <w:sz w:val="20"/>
                      <w:szCs w:val="20"/>
                    </w:rPr>
                    <w:t>; E</w:t>
                  </w:r>
                  <w:r w:rsidRPr="005C3300">
                    <w:rPr>
                      <w:rStyle w:val="subscript"/>
                      <w:color w:val="000000" w:themeColor="text1"/>
                      <w:sz w:val="20"/>
                      <w:szCs w:val="20"/>
                      <w:vertAlign w:val="subscript"/>
                    </w:rPr>
                    <w:t>S</w:t>
                  </w:r>
                  <w:r w:rsidRPr="005C3300">
                    <w:rPr>
                      <w:color w:val="000000" w:themeColor="text1"/>
                      <w:sz w:val="20"/>
                      <w:szCs w:val="20"/>
                    </w:rPr>
                    <w:t xml:space="preserve"> se </w:t>
                  </w:r>
                  <w:proofErr w:type="spellStart"/>
                  <w:r w:rsidRPr="005C3300">
                    <w:rPr>
                      <w:color w:val="000000" w:themeColor="text1"/>
                      <w:sz w:val="20"/>
                      <w:szCs w:val="20"/>
                    </w:rPr>
                    <w:t>plafonează</w:t>
                  </w:r>
                  <w:proofErr w:type="spellEnd"/>
                  <w:r w:rsidRPr="005C3300">
                    <w:rPr>
                      <w:color w:val="000000" w:themeColor="text1"/>
                      <w:sz w:val="20"/>
                      <w:szCs w:val="20"/>
                    </w:rPr>
                    <w:t xml:space="preserve"> la </w:t>
                  </w:r>
                  <w:proofErr w:type="spellStart"/>
                  <w:r w:rsidRPr="005C3300">
                    <w:rPr>
                      <w:color w:val="000000" w:themeColor="text1"/>
                      <w:sz w:val="20"/>
                      <w:szCs w:val="20"/>
                    </w:rPr>
                    <w:t>următoarea</w:t>
                  </w:r>
                  <w:proofErr w:type="spellEnd"/>
                  <w:r w:rsidRPr="005C3300">
                    <w:rPr>
                      <w:color w:val="000000" w:themeColor="text1"/>
                      <w:sz w:val="20"/>
                      <w:szCs w:val="20"/>
                    </w:rPr>
                    <w:t xml:space="preserve"> </w:t>
                  </w:r>
                  <w:proofErr w:type="spellStart"/>
                  <w:r w:rsidRPr="005C3300">
                    <w:rPr>
                      <w:color w:val="000000" w:themeColor="text1"/>
                      <w:sz w:val="20"/>
                      <w:szCs w:val="20"/>
                    </w:rPr>
                    <w:t>valoare</w:t>
                  </w:r>
                  <w:proofErr w:type="spellEnd"/>
                  <w:r w:rsidRPr="005C3300">
                    <w:rPr>
                      <w:color w:val="000000" w:themeColor="text1"/>
                      <w:sz w:val="20"/>
                      <w:szCs w:val="20"/>
                    </w:rPr>
                    <w:t>: E·(1+H</w:t>
                  </w:r>
                  <w:r w:rsidRPr="005C3300">
                    <w:rPr>
                      <w:rStyle w:val="subscript"/>
                      <w:color w:val="000000" w:themeColor="text1"/>
                      <w:sz w:val="20"/>
                      <w:szCs w:val="20"/>
                      <w:vertAlign w:val="subscript"/>
                    </w:rPr>
                    <w:t>E</w:t>
                  </w:r>
                  <w:r w:rsidRPr="005C3300">
                    <w:rPr>
                      <w:color w:val="000000" w:themeColor="text1"/>
                      <w:sz w:val="20"/>
                      <w:szCs w:val="20"/>
                    </w:rPr>
                    <w:t>);</w:t>
                  </w:r>
                </w:p>
              </w:tc>
            </w:tr>
          </w:tbl>
          <w:p w14:paraId="662C0298" w14:textId="77777777" w:rsidR="00185C78" w:rsidRPr="005C3300" w:rsidRDefault="00185C78" w:rsidP="00185C78">
            <w:pPr>
              <w:shd w:val="clear" w:color="auto" w:fill="FFFFFF"/>
              <w:spacing w:after="0" w:line="240" w:lineRule="auto"/>
              <w:rPr>
                <w:rFonts w:ascii="Times New Roman" w:eastAsia="Arial Unicode MS" w:hAnsi="Times New Roman" w:cs="Times New Roman"/>
                <w:vanish/>
                <w:color w:val="000000" w:themeColor="text1"/>
                <w:sz w:val="20"/>
                <w:szCs w:val="20"/>
              </w:rPr>
            </w:pPr>
          </w:p>
          <w:tbl>
            <w:tblPr>
              <w:tblW w:w="5000" w:type="pct"/>
              <w:tblLayout w:type="fixed"/>
              <w:tblCellMar>
                <w:left w:w="0" w:type="dxa"/>
                <w:right w:w="0" w:type="dxa"/>
              </w:tblCellMar>
              <w:tblLook w:val="04A0" w:firstRow="1" w:lastRow="0" w:firstColumn="1" w:lastColumn="0" w:noHBand="0" w:noVBand="1"/>
            </w:tblPr>
            <w:tblGrid>
              <w:gridCol w:w="354"/>
              <w:gridCol w:w="4311"/>
            </w:tblGrid>
            <w:tr w:rsidR="00185C78" w:rsidRPr="005C3300" w14:paraId="4DF30BEB" w14:textId="77777777" w:rsidTr="005C3300">
              <w:tc>
                <w:tcPr>
                  <w:tcW w:w="379" w:type="pct"/>
                  <w:hideMark/>
                </w:tcPr>
                <w:p w14:paraId="416C7DD3" w14:textId="77777777" w:rsidR="00185C78" w:rsidRPr="005C3300" w:rsidRDefault="00185C78" w:rsidP="00185C78">
                  <w:pPr>
                    <w:pStyle w:val="dlist-term"/>
                    <w:spacing w:before="0" w:beforeAutospacing="0" w:after="0" w:afterAutospacing="0"/>
                    <w:rPr>
                      <w:color w:val="000000" w:themeColor="text1"/>
                      <w:sz w:val="20"/>
                      <w:szCs w:val="20"/>
                    </w:rPr>
                  </w:pPr>
                  <w:r w:rsidRPr="005C3300">
                    <w:rPr>
                      <w:color w:val="000000" w:themeColor="text1"/>
                      <w:sz w:val="20"/>
                      <w:szCs w:val="20"/>
                    </w:rPr>
                    <w:t>E</w:t>
                  </w:r>
                  <w:r w:rsidRPr="005C3300">
                    <w:rPr>
                      <w:rStyle w:val="subscript"/>
                      <w:color w:val="000000" w:themeColor="text1"/>
                      <w:sz w:val="20"/>
                      <w:szCs w:val="20"/>
                      <w:vertAlign w:val="subscript"/>
                    </w:rPr>
                    <w:t>U</w:t>
                  </w:r>
                </w:p>
              </w:tc>
              <w:tc>
                <w:tcPr>
                  <w:tcW w:w="4621" w:type="pct"/>
                  <w:hideMark/>
                </w:tcPr>
                <w:p w14:paraId="7A23E41C" w14:textId="77777777" w:rsidR="00185C78" w:rsidRPr="005C3300" w:rsidRDefault="00185C78" w:rsidP="00185C78">
                  <w:pPr>
                    <w:pStyle w:val="norm"/>
                    <w:spacing w:before="0" w:beforeAutospacing="0" w:after="0" w:afterAutospacing="0"/>
                    <w:jc w:val="both"/>
                    <w:rPr>
                      <w:color w:val="000000" w:themeColor="text1"/>
                      <w:sz w:val="20"/>
                      <w:szCs w:val="20"/>
                    </w:rPr>
                  </w:pPr>
                  <w:r w:rsidRPr="005C3300">
                    <w:rPr>
                      <w:color w:val="000000" w:themeColor="text1"/>
                      <w:sz w:val="20"/>
                      <w:szCs w:val="20"/>
                    </w:rPr>
                    <w:t>= E·(1+H</w:t>
                  </w:r>
                  <w:r w:rsidRPr="005C3300">
                    <w:rPr>
                      <w:rStyle w:val="subscript"/>
                      <w:color w:val="000000" w:themeColor="text1"/>
                      <w:sz w:val="20"/>
                      <w:szCs w:val="20"/>
                      <w:vertAlign w:val="subscript"/>
                    </w:rPr>
                    <w:t>E</w:t>
                  </w:r>
                  <w:r w:rsidRPr="005C3300">
                    <w:rPr>
                      <w:color w:val="000000" w:themeColor="text1"/>
                      <w:sz w:val="20"/>
                      <w:szCs w:val="20"/>
                    </w:rPr>
                    <w:t>) – E</w:t>
                  </w:r>
                  <w:r w:rsidRPr="005C3300">
                    <w:rPr>
                      <w:rStyle w:val="subscript"/>
                      <w:color w:val="000000" w:themeColor="text1"/>
                      <w:sz w:val="20"/>
                      <w:szCs w:val="20"/>
                      <w:vertAlign w:val="subscript"/>
                    </w:rPr>
                    <w:t>S</w:t>
                  </w:r>
                  <w:r w:rsidRPr="005C3300">
                    <w:rPr>
                      <w:color w:val="000000" w:themeColor="text1"/>
                      <w:sz w:val="20"/>
                      <w:szCs w:val="20"/>
                    </w:rPr>
                    <w:t>;</w:t>
                  </w:r>
                </w:p>
              </w:tc>
            </w:tr>
          </w:tbl>
          <w:p w14:paraId="001D190E" w14:textId="77777777" w:rsidR="00185C78" w:rsidRPr="005C3300" w:rsidRDefault="00185C78" w:rsidP="00185C78">
            <w:pPr>
              <w:shd w:val="clear" w:color="auto" w:fill="FFFFFF"/>
              <w:spacing w:after="0" w:line="240" w:lineRule="auto"/>
              <w:rPr>
                <w:rFonts w:ascii="Times New Roman" w:eastAsia="Arial Unicode MS" w:hAnsi="Times New Roman" w:cs="Times New Roman"/>
                <w:vanish/>
                <w:color w:val="000000" w:themeColor="text1"/>
                <w:sz w:val="20"/>
                <w:szCs w:val="20"/>
              </w:rPr>
            </w:pPr>
          </w:p>
          <w:tbl>
            <w:tblPr>
              <w:tblW w:w="5000" w:type="pct"/>
              <w:tblLayout w:type="fixed"/>
              <w:tblCellMar>
                <w:left w:w="0" w:type="dxa"/>
                <w:right w:w="0" w:type="dxa"/>
              </w:tblCellMar>
              <w:tblLook w:val="04A0" w:firstRow="1" w:lastRow="0" w:firstColumn="1" w:lastColumn="0" w:noHBand="0" w:noVBand="1"/>
            </w:tblPr>
            <w:tblGrid>
              <w:gridCol w:w="319"/>
              <w:gridCol w:w="4346"/>
            </w:tblGrid>
            <w:tr w:rsidR="00185C78" w:rsidRPr="005C3300" w14:paraId="7517C30A" w14:textId="77777777" w:rsidTr="00820E52">
              <w:tc>
                <w:tcPr>
                  <w:tcW w:w="324" w:type="dxa"/>
                  <w:hideMark/>
                </w:tcPr>
                <w:p w14:paraId="7756EA07" w14:textId="77777777" w:rsidR="00185C78" w:rsidRPr="005C3300" w:rsidRDefault="00185C78" w:rsidP="00185C78">
                  <w:pPr>
                    <w:pStyle w:val="dlist-term"/>
                    <w:spacing w:before="0" w:beforeAutospacing="0" w:after="0" w:afterAutospacing="0"/>
                    <w:rPr>
                      <w:color w:val="000000" w:themeColor="text1"/>
                      <w:sz w:val="20"/>
                      <w:szCs w:val="20"/>
                    </w:rPr>
                  </w:pPr>
                  <w:r w:rsidRPr="005C3300">
                    <w:rPr>
                      <w:color w:val="000000" w:themeColor="text1"/>
                      <w:sz w:val="20"/>
                      <w:szCs w:val="20"/>
                    </w:rPr>
                    <w:t>LGD</w:t>
                  </w:r>
                  <w:r w:rsidRPr="005C3300">
                    <w:rPr>
                      <w:rStyle w:val="subscript"/>
                      <w:color w:val="000000" w:themeColor="text1"/>
                      <w:sz w:val="20"/>
                      <w:szCs w:val="20"/>
                      <w:vertAlign w:val="subscript"/>
                    </w:rPr>
                    <w:t>U</w:t>
                  </w:r>
                </w:p>
              </w:tc>
              <w:tc>
                <w:tcPr>
                  <w:tcW w:w="4423" w:type="dxa"/>
                  <w:hideMark/>
                </w:tcPr>
                <w:p w14:paraId="5C5CF45F" w14:textId="5863FDFA" w:rsidR="00185C78" w:rsidRPr="005C3300" w:rsidRDefault="00185C78" w:rsidP="00185C78">
                  <w:pPr>
                    <w:pStyle w:val="norm"/>
                    <w:spacing w:before="0" w:beforeAutospacing="0" w:after="0" w:afterAutospacing="0"/>
                    <w:jc w:val="both"/>
                    <w:rPr>
                      <w:color w:val="000000" w:themeColor="text1"/>
                      <w:sz w:val="20"/>
                      <w:szCs w:val="20"/>
                    </w:rPr>
                  </w:pPr>
                  <w:r w:rsidRPr="005C3300">
                    <w:rPr>
                      <w:color w:val="000000" w:themeColor="text1"/>
                      <w:sz w:val="20"/>
                      <w:szCs w:val="20"/>
                    </w:rPr>
                    <w:t xml:space="preserve">= LGD </w:t>
                  </w:r>
                  <w:proofErr w:type="spellStart"/>
                  <w:r w:rsidRPr="005C3300">
                    <w:rPr>
                      <w:color w:val="000000" w:themeColor="text1"/>
                      <w:sz w:val="20"/>
                      <w:szCs w:val="20"/>
                    </w:rPr>
                    <w:t>aplicabilă</w:t>
                  </w:r>
                  <w:proofErr w:type="spellEnd"/>
                  <w:r w:rsidRPr="005C3300">
                    <w:rPr>
                      <w:color w:val="000000" w:themeColor="text1"/>
                      <w:sz w:val="20"/>
                      <w:szCs w:val="20"/>
                    </w:rPr>
                    <w:t xml:space="preserve"> </w:t>
                  </w:r>
                  <w:proofErr w:type="spellStart"/>
                  <w:r w:rsidRPr="005C3300">
                    <w:rPr>
                      <w:color w:val="000000" w:themeColor="text1"/>
                      <w:sz w:val="20"/>
                      <w:szCs w:val="20"/>
                    </w:rPr>
                    <w:t>pentru</w:t>
                  </w:r>
                  <w:proofErr w:type="spellEnd"/>
                  <w:r w:rsidRPr="005C3300">
                    <w:rPr>
                      <w:color w:val="000000" w:themeColor="text1"/>
                      <w:sz w:val="20"/>
                      <w:szCs w:val="20"/>
                    </w:rPr>
                    <w:t xml:space="preserve"> o </w:t>
                  </w:r>
                  <w:proofErr w:type="spellStart"/>
                  <w:r w:rsidRPr="005C3300">
                    <w:rPr>
                      <w:color w:val="000000" w:themeColor="text1"/>
                      <w:sz w:val="20"/>
                      <w:szCs w:val="20"/>
                    </w:rPr>
                    <w:t>expunere</w:t>
                  </w:r>
                  <w:proofErr w:type="spellEnd"/>
                  <w:r w:rsidRPr="005C3300">
                    <w:rPr>
                      <w:color w:val="000000" w:themeColor="text1"/>
                      <w:sz w:val="20"/>
                      <w:szCs w:val="20"/>
                    </w:rPr>
                    <w:t xml:space="preserve"> </w:t>
                  </w:r>
                  <w:proofErr w:type="spellStart"/>
                  <w:r w:rsidRPr="005C3300">
                    <w:rPr>
                      <w:color w:val="000000" w:themeColor="text1"/>
                      <w:sz w:val="20"/>
                      <w:szCs w:val="20"/>
                    </w:rPr>
                    <w:t>negarantată</w:t>
                  </w:r>
                  <w:proofErr w:type="spellEnd"/>
                  <w:r w:rsidRPr="005C3300">
                    <w:rPr>
                      <w:color w:val="000000" w:themeColor="text1"/>
                      <w:sz w:val="20"/>
                      <w:szCs w:val="20"/>
                    </w:rPr>
                    <w:t xml:space="preserve">, </w:t>
                  </w:r>
                  <w:proofErr w:type="spellStart"/>
                  <w:r w:rsidRPr="005C3300">
                    <w:rPr>
                      <w:color w:val="000000" w:themeColor="text1"/>
                      <w:sz w:val="20"/>
                      <w:szCs w:val="20"/>
                    </w:rPr>
                    <w:t>astfel</w:t>
                  </w:r>
                  <w:proofErr w:type="spellEnd"/>
                  <w:r w:rsidRPr="005C3300">
                    <w:rPr>
                      <w:color w:val="000000" w:themeColor="text1"/>
                      <w:sz w:val="20"/>
                      <w:szCs w:val="20"/>
                    </w:rPr>
                    <w:t xml:space="preserve"> cum se </w:t>
                  </w:r>
                  <w:proofErr w:type="spellStart"/>
                  <w:r w:rsidRPr="005C3300">
                    <w:rPr>
                      <w:color w:val="000000" w:themeColor="text1"/>
                      <w:sz w:val="20"/>
                      <w:szCs w:val="20"/>
                    </w:rPr>
                    <w:t>prevede</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bookmarkStart w:id="40" w:name="_Hlk213132908"/>
                  <w:proofErr w:type="spellStart"/>
                  <w:r w:rsidRPr="005C3300">
                    <w:rPr>
                      <w:color w:val="000000" w:themeColor="text1"/>
                      <w:sz w:val="20"/>
                      <w:szCs w:val="20"/>
                    </w:rPr>
                    <w:t>actul</w:t>
                  </w:r>
                  <w:proofErr w:type="spellEnd"/>
                  <w:r w:rsidRPr="005C3300">
                    <w:rPr>
                      <w:color w:val="000000" w:themeColor="text1"/>
                      <w:sz w:val="20"/>
                      <w:szCs w:val="20"/>
                    </w:rPr>
                    <w:t xml:space="preserve"> </w:t>
                  </w:r>
                  <w:proofErr w:type="spellStart"/>
                  <w:r w:rsidRPr="005C3300">
                    <w:rPr>
                      <w:color w:val="000000" w:themeColor="text1"/>
                      <w:sz w:val="20"/>
                      <w:szCs w:val="20"/>
                    </w:rPr>
                    <w:t>normativ</w:t>
                  </w:r>
                  <w:proofErr w:type="spellEnd"/>
                  <w:r w:rsidRPr="005C3300">
                    <w:rPr>
                      <w:color w:val="000000" w:themeColor="text1"/>
                      <w:sz w:val="20"/>
                      <w:szCs w:val="20"/>
                    </w:rPr>
                    <w:t xml:space="preserve"> al Băncii </w:t>
                  </w:r>
                  <w:proofErr w:type="spellStart"/>
                  <w:r w:rsidRPr="005C3300">
                    <w:rPr>
                      <w:color w:val="000000" w:themeColor="text1"/>
                      <w:sz w:val="20"/>
                      <w:szCs w:val="20"/>
                    </w:rPr>
                    <w:t>Naționale</w:t>
                  </w:r>
                  <w:proofErr w:type="spellEnd"/>
                  <w:r w:rsidRPr="005C3300">
                    <w:rPr>
                      <w:color w:val="000000" w:themeColor="text1"/>
                      <w:sz w:val="20"/>
                      <w:szCs w:val="20"/>
                    </w:rPr>
                    <w:t xml:space="preserve"> a </w:t>
                  </w:r>
                  <w:proofErr w:type="spellStart"/>
                  <w:r w:rsidRPr="005C3300">
                    <w:rPr>
                      <w:color w:val="000000" w:themeColor="text1"/>
                      <w:sz w:val="20"/>
                      <w:szCs w:val="20"/>
                    </w:rPr>
                    <w:t>Moldovei</w:t>
                  </w:r>
                  <w:proofErr w:type="spellEnd"/>
                  <w:r w:rsidRPr="005C3300">
                    <w:rPr>
                      <w:color w:val="000000" w:themeColor="text1"/>
                      <w:sz w:val="20"/>
                      <w:szCs w:val="20"/>
                    </w:rPr>
                    <w:t xml:space="preserve"> </w:t>
                  </w:r>
                  <w:proofErr w:type="spellStart"/>
                  <w:r w:rsidRPr="005C3300">
                    <w:rPr>
                      <w:color w:val="000000" w:themeColor="text1"/>
                      <w:sz w:val="20"/>
                      <w:szCs w:val="20"/>
                    </w:rPr>
                    <w:t>aferent</w:t>
                  </w:r>
                  <w:proofErr w:type="spellEnd"/>
                  <w:r w:rsidRPr="005C3300">
                    <w:rPr>
                      <w:color w:val="000000" w:themeColor="text1"/>
                      <w:sz w:val="20"/>
                      <w:szCs w:val="20"/>
                    </w:rPr>
                    <w:t xml:space="preserve"> </w:t>
                  </w:r>
                  <w:proofErr w:type="spellStart"/>
                  <w:r w:rsidRPr="005C3300">
                    <w:rPr>
                      <w:color w:val="000000" w:themeColor="text1"/>
                      <w:sz w:val="20"/>
                      <w:szCs w:val="20"/>
                    </w:rPr>
                    <w:t>tratamentului</w:t>
                  </w:r>
                  <w:proofErr w:type="spellEnd"/>
                  <w:r w:rsidRPr="005C3300">
                    <w:rPr>
                      <w:color w:val="000000" w:themeColor="text1"/>
                      <w:sz w:val="20"/>
                      <w:szCs w:val="20"/>
                    </w:rPr>
                    <w:t xml:space="preserve"> </w:t>
                  </w:r>
                  <w:proofErr w:type="spellStart"/>
                  <w:r w:rsidRPr="005C3300">
                    <w:rPr>
                      <w:color w:val="000000" w:themeColor="text1"/>
                      <w:sz w:val="20"/>
                      <w:szCs w:val="20"/>
                    </w:rPr>
                    <w:t>riscului</w:t>
                  </w:r>
                  <w:proofErr w:type="spellEnd"/>
                  <w:r w:rsidRPr="005C3300">
                    <w:rPr>
                      <w:color w:val="000000" w:themeColor="text1"/>
                      <w:sz w:val="20"/>
                      <w:szCs w:val="20"/>
                    </w:rPr>
                    <w:t xml:space="preserve"> de credit </w:t>
                  </w:r>
                  <w:proofErr w:type="spellStart"/>
                  <w:r w:rsidRPr="005C3300">
                    <w:rPr>
                      <w:color w:val="000000" w:themeColor="text1"/>
                      <w:sz w:val="20"/>
                      <w:szCs w:val="20"/>
                    </w:rPr>
                    <w:t>pentru</w:t>
                  </w:r>
                  <w:proofErr w:type="spellEnd"/>
                  <w:r w:rsidRPr="005C3300">
                    <w:rPr>
                      <w:color w:val="000000" w:themeColor="text1"/>
                      <w:sz w:val="20"/>
                      <w:szCs w:val="20"/>
                    </w:rPr>
                    <w:t xml:space="preserve"> </w:t>
                  </w:r>
                  <w:proofErr w:type="spellStart"/>
                  <w:r w:rsidRPr="005C3300">
                    <w:rPr>
                      <w:color w:val="000000" w:themeColor="text1"/>
                      <w:sz w:val="20"/>
                      <w:szCs w:val="20"/>
                    </w:rPr>
                    <w:t>bănci</w:t>
                  </w:r>
                  <w:proofErr w:type="spellEnd"/>
                  <w:r w:rsidRPr="005C3300">
                    <w:rPr>
                      <w:color w:val="000000" w:themeColor="text1"/>
                      <w:sz w:val="20"/>
                      <w:szCs w:val="20"/>
                    </w:rPr>
                    <w:t xml:space="preserve"> </w:t>
                  </w:r>
                  <w:proofErr w:type="spellStart"/>
                  <w:r w:rsidRPr="005C3300">
                    <w:rPr>
                      <w:color w:val="000000" w:themeColor="text1"/>
                      <w:sz w:val="20"/>
                      <w:szCs w:val="20"/>
                    </w:rPr>
                    <w:t>potrivit</w:t>
                  </w:r>
                  <w:proofErr w:type="spellEnd"/>
                  <w:r w:rsidRPr="005C3300">
                    <w:rPr>
                      <w:color w:val="000000" w:themeColor="text1"/>
                      <w:sz w:val="20"/>
                      <w:szCs w:val="20"/>
                    </w:rPr>
                    <w:t xml:space="preserve"> </w:t>
                  </w:r>
                  <w:proofErr w:type="spellStart"/>
                  <w:r w:rsidRPr="005C3300">
                    <w:rPr>
                      <w:color w:val="000000" w:themeColor="text1"/>
                      <w:sz w:val="20"/>
                      <w:szCs w:val="20"/>
                    </w:rPr>
                    <w:t>abordării</w:t>
                  </w:r>
                  <w:proofErr w:type="spellEnd"/>
                  <w:r w:rsidRPr="005C3300">
                    <w:rPr>
                      <w:color w:val="000000" w:themeColor="text1"/>
                      <w:sz w:val="20"/>
                      <w:szCs w:val="20"/>
                    </w:rPr>
                    <w:t xml:space="preserve"> </w:t>
                  </w:r>
                  <w:proofErr w:type="spellStart"/>
                  <w:r w:rsidRPr="005C3300">
                    <w:rPr>
                      <w:color w:val="000000" w:themeColor="text1"/>
                      <w:sz w:val="20"/>
                      <w:szCs w:val="20"/>
                    </w:rPr>
                    <w:t>bazate</w:t>
                  </w:r>
                  <w:proofErr w:type="spellEnd"/>
                  <w:r w:rsidRPr="005C3300">
                    <w:rPr>
                      <w:color w:val="000000" w:themeColor="text1"/>
                      <w:sz w:val="20"/>
                      <w:szCs w:val="20"/>
                    </w:rPr>
                    <w:t xml:space="preserve"> pe </w:t>
                  </w:r>
                  <w:proofErr w:type="spellStart"/>
                  <w:r w:rsidRPr="005C3300">
                    <w:rPr>
                      <w:color w:val="000000" w:themeColor="text1"/>
                      <w:sz w:val="20"/>
                      <w:szCs w:val="20"/>
                    </w:rPr>
                    <w:t>modele</w:t>
                  </w:r>
                  <w:proofErr w:type="spellEnd"/>
                  <w:r w:rsidRPr="005C3300">
                    <w:rPr>
                      <w:color w:val="000000" w:themeColor="text1"/>
                      <w:sz w:val="20"/>
                      <w:szCs w:val="20"/>
                    </w:rPr>
                    <w:t xml:space="preserve"> interne de rating</w:t>
                  </w:r>
                  <w:bookmarkEnd w:id="40"/>
                  <w:r w:rsidRPr="005C3300">
                    <w:rPr>
                      <w:color w:val="000000" w:themeColor="text1"/>
                      <w:sz w:val="20"/>
                      <w:szCs w:val="20"/>
                    </w:rPr>
                    <w:t>;</w:t>
                  </w:r>
                </w:p>
              </w:tc>
            </w:tr>
          </w:tbl>
          <w:p w14:paraId="2BA2515E" w14:textId="77777777" w:rsidR="00185C78" w:rsidRPr="005C3300" w:rsidRDefault="00185C78" w:rsidP="00185C78">
            <w:pPr>
              <w:shd w:val="clear" w:color="auto" w:fill="FFFFFF"/>
              <w:spacing w:after="0" w:line="240" w:lineRule="auto"/>
              <w:rPr>
                <w:rFonts w:ascii="Times New Roman" w:eastAsia="Arial Unicode MS" w:hAnsi="Times New Roman" w:cs="Times New Roman"/>
                <w:vanish/>
                <w:color w:val="000000" w:themeColor="text1"/>
                <w:sz w:val="20"/>
                <w:szCs w:val="20"/>
              </w:rPr>
            </w:pPr>
          </w:p>
          <w:tbl>
            <w:tblPr>
              <w:tblW w:w="5000" w:type="pct"/>
              <w:tblLayout w:type="fixed"/>
              <w:tblCellMar>
                <w:left w:w="0" w:type="dxa"/>
                <w:right w:w="0" w:type="dxa"/>
              </w:tblCellMar>
              <w:tblLook w:val="04A0" w:firstRow="1" w:lastRow="0" w:firstColumn="1" w:lastColumn="0" w:noHBand="0" w:noVBand="1"/>
            </w:tblPr>
            <w:tblGrid>
              <w:gridCol w:w="597"/>
              <w:gridCol w:w="4068"/>
            </w:tblGrid>
            <w:tr w:rsidR="00185C78" w:rsidRPr="005C3300" w14:paraId="0A5C12C3" w14:textId="77777777" w:rsidTr="00820E52">
              <w:tc>
                <w:tcPr>
                  <w:tcW w:w="607" w:type="dxa"/>
                  <w:hideMark/>
                </w:tcPr>
                <w:p w14:paraId="0D184B02" w14:textId="77777777" w:rsidR="00185C78" w:rsidRPr="005C3300" w:rsidRDefault="00185C78" w:rsidP="00185C78">
                  <w:pPr>
                    <w:pStyle w:val="dlist-term"/>
                    <w:spacing w:before="0" w:beforeAutospacing="0" w:after="0" w:afterAutospacing="0"/>
                    <w:rPr>
                      <w:color w:val="000000" w:themeColor="text1"/>
                      <w:sz w:val="20"/>
                      <w:szCs w:val="20"/>
                    </w:rPr>
                  </w:pPr>
                  <w:r w:rsidRPr="005C3300">
                    <w:rPr>
                      <w:color w:val="000000" w:themeColor="text1"/>
                      <w:sz w:val="20"/>
                      <w:szCs w:val="20"/>
                    </w:rPr>
                    <w:t>LGD</w:t>
                  </w:r>
                  <w:r w:rsidRPr="005C3300">
                    <w:rPr>
                      <w:rStyle w:val="subscript"/>
                      <w:color w:val="000000" w:themeColor="text1"/>
                      <w:sz w:val="20"/>
                      <w:szCs w:val="20"/>
                      <w:vertAlign w:val="subscript"/>
                    </w:rPr>
                    <w:t>S</w:t>
                  </w:r>
                </w:p>
              </w:tc>
              <w:tc>
                <w:tcPr>
                  <w:tcW w:w="4140" w:type="dxa"/>
                  <w:hideMark/>
                </w:tcPr>
                <w:p w14:paraId="5430529A" w14:textId="77777777" w:rsidR="00185C78" w:rsidRDefault="00185C78" w:rsidP="00185C78">
                  <w:pPr>
                    <w:pStyle w:val="norm"/>
                    <w:spacing w:before="0" w:beforeAutospacing="0" w:after="0" w:afterAutospacing="0"/>
                    <w:jc w:val="both"/>
                    <w:rPr>
                      <w:color w:val="000000" w:themeColor="text1"/>
                      <w:sz w:val="20"/>
                      <w:szCs w:val="20"/>
                    </w:rPr>
                  </w:pPr>
                  <w:r w:rsidRPr="005C3300">
                    <w:rPr>
                      <w:color w:val="000000" w:themeColor="text1"/>
                      <w:sz w:val="20"/>
                      <w:szCs w:val="20"/>
                    </w:rPr>
                    <w:t xml:space="preserve">= LGD </w:t>
                  </w:r>
                  <w:proofErr w:type="spellStart"/>
                  <w:r w:rsidRPr="005C3300">
                    <w:rPr>
                      <w:color w:val="000000" w:themeColor="text1"/>
                      <w:sz w:val="20"/>
                      <w:szCs w:val="20"/>
                    </w:rPr>
                    <w:t>aplicabilă</w:t>
                  </w:r>
                  <w:proofErr w:type="spellEnd"/>
                  <w:r w:rsidRPr="005C3300">
                    <w:rPr>
                      <w:color w:val="000000" w:themeColor="text1"/>
                      <w:sz w:val="20"/>
                      <w:szCs w:val="20"/>
                    </w:rPr>
                    <w:t xml:space="preserve"> </w:t>
                  </w:r>
                  <w:proofErr w:type="spellStart"/>
                  <w:r w:rsidRPr="005C3300">
                    <w:rPr>
                      <w:color w:val="000000" w:themeColor="text1"/>
                      <w:sz w:val="20"/>
                      <w:szCs w:val="20"/>
                    </w:rPr>
                    <w:t>expunerilor</w:t>
                  </w:r>
                  <w:proofErr w:type="spellEnd"/>
                  <w:r w:rsidRPr="005C3300">
                    <w:rPr>
                      <w:color w:val="000000" w:themeColor="text1"/>
                      <w:sz w:val="20"/>
                      <w:szCs w:val="20"/>
                    </w:rPr>
                    <w:t xml:space="preserve"> </w:t>
                  </w:r>
                  <w:proofErr w:type="spellStart"/>
                  <w:r w:rsidRPr="005C3300">
                    <w:rPr>
                      <w:color w:val="000000" w:themeColor="text1"/>
                      <w:sz w:val="20"/>
                      <w:szCs w:val="20"/>
                    </w:rPr>
                    <w:t>garantate</w:t>
                  </w:r>
                  <w:proofErr w:type="spellEnd"/>
                  <w:r w:rsidRPr="005C3300">
                    <w:rPr>
                      <w:color w:val="000000" w:themeColor="text1"/>
                      <w:sz w:val="20"/>
                      <w:szCs w:val="20"/>
                    </w:rPr>
                    <w:t xml:space="preserve"> de </w:t>
                  </w:r>
                  <w:proofErr w:type="spellStart"/>
                  <w:r w:rsidRPr="005C3300">
                    <w:rPr>
                      <w:color w:val="000000" w:themeColor="text1"/>
                      <w:sz w:val="20"/>
                      <w:szCs w:val="20"/>
                    </w:rPr>
                    <w:t>tipul</w:t>
                  </w:r>
                  <w:proofErr w:type="spellEnd"/>
                  <w:r w:rsidRPr="005C3300">
                    <w:rPr>
                      <w:color w:val="000000" w:themeColor="text1"/>
                      <w:sz w:val="20"/>
                      <w:szCs w:val="20"/>
                    </w:rPr>
                    <w:t xml:space="preserve"> de FCP </w:t>
                  </w:r>
                  <w:proofErr w:type="spellStart"/>
                  <w:r w:rsidRPr="005C3300">
                    <w:rPr>
                      <w:color w:val="000000" w:themeColor="text1"/>
                      <w:sz w:val="20"/>
                      <w:szCs w:val="20"/>
                    </w:rPr>
                    <w:t>eligibilă</w:t>
                  </w:r>
                  <w:proofErr w:type="spellEnd"/>
                  <w:r w:rsidRPr="005C3300">
                    <w:rPr>
                      <w:color w:val="000000" w:themeColor="text1"/>
                      <w:sz w:val="20"/>
                      <w:szCs w:val="20"/>
                    </w:rPr>
                    <w:t xml:space="preserve"> </w:t>
                  </w:r>
                  <w:proofErr w:type="spellStart"/>
                  <w:r w:rsidRPr="005C3300">
                    <w:rPr>
                      <w:color w:val="000000" w:themeColor="text1"/>
                      <w:sz w:val="20"/>
                      <w:szCs w:val="20"/>
                    </w:rPr>
                    <w:t>utilizată</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tranzacție</w:t>
                  </w:r>
                  <w:proofErr w:type="spellEnd"/>
                  <w:r w:rsidRPr="005C3300">
                    <w:rPr>
                      <w:color w:val="000000" w:themeColor="text1"/>
                      <w:sz w:val="20"/>
                      <w:szCs w:val="20"/>
                    </w:rPr>
                    <w:t xml:space="preserve">, </w:t>
                  </w:r>
                  <w:proofErr w:type="spellStart"/>
                  <w:r w:rsidRPr="005C3300">
                    <w:rPr>
                      <w:color w:val="000000" w:themeColor="text1"/>
                      <w:sz w:val="20"/>
                      <w:szCs w:val="20"/>
                    </w:rPr>
                    <w:t>astfel</w:t>
                  </w:r>
                  <w:proofErr w:type="spellEnd"/>
                  <w:r w:rsidRPr="005C3300">
                    <w:rPr>
                      <w:color w:val="000000" w:themeColor="text1"/>
                      <w:sz w:val="20"/>
                      <w:szCs w:val="20"/>
                    </w:rPr>
                    <w:t xml:space="preserve"> cum se </w:t>
                  </w:r>
                  <w:proofErr w:type="spellStart"/>
                  <w:r w:rsidRPr="005C3300">
                    <w:rPr>
                      <w:color w:val="000000" w:themeColor="text1"/>
                      <w:sz w:val="20"/>
                      <w:szCs w:val="20"/>
                    </w:rPr>
                    <w:t>specifică</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tabelul</w:t>
                  </w:r>
                  <w:proofErr w:type="spellEnd"/>
                  <w:r w:rsidRPr="005C3300">
                    <w:rPr>
                      <w:color w:val="000000" w:themeColor="text1"/>
                      <w:sz w:val="20"/>
                      <w:szCs w:val="20"/>
                    </w:rPr>
                    <w:t> nr.5.</w:t>
                  </w:r>
                </w:p>
                <w:p w14:paraId="04A5FDB0" w14:textId="77777777" w:rsidR="00820E52" w:rsidRDefault="00820E52" w:rsidP="00185C78">
                  <w:pPr>
                    <w:pStyle w:val="norm"/>
                    <w:spacing w:before="0" w:beforeAutospacing="0" w:after="0" w:afterAutospacing="0"/>
                    <w:jc w:val="both"/>
                    <w:rPr>
                      <w:color w:val="000000" w:themeColor="text1"/>
                      <w:sz w:val="20"/>
                      <w:szCs w:val="20"/>
                    </w:rPr>
                  </w:pPr>
                </w:p>
                <w:p w14:paraId="434D4FC2" w14:textId="77777777" w:rsidR="00185C78" w:rsidRDefault="00185C78" w:rsidP="00185C78">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p w14:paraId="7802469E" w14:textId="000B5D36" w:rsidR="00185C78" w:rsidRPr="005C3300" w:rsidRDefault="00185C78" w:rsidP="00185C78">
                  <w:pPr>
                    <w:pStyle w:val="norm"/>
                    <w:spacing w:before="0" w:beforeAutospacing="0" w:after="0" w:afterAutospacing="0"/>
                    <w:jc w:val="both"/>
                    <w:rPr>
                      <w:color w:val="000000" w:themeColor="text1"/>
                      <w:sz w:val="20"/>
                      <w:szCs w:val="20"/>
                    </w:rPr>
                  </w:pPr>
                </w:p>
              </w:tc>
            </w:tr>
          </w:tbl>
          <w:p w14:paraId="2DF7D659" w14:textId="77777777" w:rsidR="00D62F3C" w:rsidRPr="002C32BA" w:rsidRDefault="00D62F3C" w:rsidP="00185C78">
            <w:pPr>
              <w:spacing w:after="0" w:line="240" w:lineRule="auto"/>
              <w:rPr>
                <w:rFonts w:ascii="Times New Roman" w:hAnsi="Times New Roman" w:cs="Times New Roman"/>
                <w:b/>
                <w:sz w:val="20"/>
                <w:szCs w:val="20"/>
                <w:lang w:val="ro-RO"/>
              </w:rPr>
            </w:pPr>
          </w:p>
        </w:tc>
        <w:tc>
          <w:tcPr>
            <w:tcW w:w="562" w:type="pct"/>
          </w:tcPr>
          <w:p w14:paraId="17E6E58F" w14:textId="63AC3F64" w:rsidR="00D62F3C" w:rsidRPr="002C32BA" w:rsidRDefault="004C6A38" w:rsidP="00D62F3C">
            <w:pPr>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885" w:type="pct"/>
          </w:tcPr>
          <w:p w14:paraId="10014E88" w14:textId="3E4EBED3" w:rsidR="00D62F3C" w:rsidRPr="002C32BA" w:rsidRDefault="00D62F3C" w:rsidP="00D62F3C">
            <w:pPr>
              <w:rPr>
                <w:rFonts w:ascii="Times New Roman" w:hAnsi="Times New Roman" w:cs="Times New Roman"/>
                <w:sz w:val="20"/>
                <w:szCs w:val="20"/>
                <w:lang w:val="ro-RO"/>
              </w:rPr>
            </w:pPr>
          </w:p>
        </w:tc>
      </w:tr>
      <w:tr w:rsidR="00894803" w:rsidRPr="002C32BA" w14:paraId="2E3B91B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2D2DC29D" w14:textId="127C5623" w:rsidR="00894803" w:rsidRPr="00894803" w:rsidRDefault="00894803" w:rsidP="00894803">
            <w:pPr>
              <w:shd w:val="clear" w:color="auto" w:fill="FFFFFF"/>
              <w:spacing w:after="0" w:line="240" w:lineRule="auto"/>
              <w:rPr>
                <w:rFonts w:ascii="Times New Roman" w:eastAsia="Arial Unicode MS" w:hAnsi="Times New Roman" w:cs="Times New Roman"/>
                <w:color w:val="000000" w:themeColor="text1"/>
                <w:sz w:val="20"/>
                <w:szCs w:val="20"/>
                <w:lang w:val="ro-MD" w:eastAsia="ro-MD"/>
              </w:rPr>
            </w:pPr>
            <w:r w:rsidRPr="00894803">
              <w:rPr>
                <w:rFonts w:ascii="Times New Roman" w:eastAsia="Arial Unicode MS" w:hAnsi="Times New Roman" w:cs="Times New Roman"/>
                <w:color w:val="000000" w:themeColor="text1"/>
                <w:sz w:val="20"/>
                <w:szCs w:val="20"/>
                <w:lang w:val="ro-MD" w:eastAsia="ro-MD"/>
              </w:rPr>
              <w:t>(2)   În tabelul 1 se specifică valorile LGD</w:t>
            </w:r>
            <w:r w:rsidRPr="00894803">
              <w:rPr>
                <w:rFonts w:ascii="Times New Roman" w:eastAsia="Arial Unicode MS" w:hAnsi="Times New Roman" w:cs="Times New Roman"/>
                <w:color w:val="000000" w:themeColor="text1"/>
                <w:sz w:val="20"/>
                <w:szCs w:val="20"/>
                <w:vertAlign w:val="subscript"/>
                <w:lang w:val="ro-MD" w:eastAsia="ro-MD"/>
              </w:rPr>
              <w:t>S</w:t>
            </w:r>
            <w:r w:rsidRPr="00894803">
              <w:rPr>
                <w:rFonts w:ascii="Times New Roman" w:eastAsia="Arial Unicode MS" w:hAnsi="Times New Roman" w:cs="Times New Roman"/>
                <w:color w:val="000000" w:themeColor="text1"/>
                <w:sz w:val="20"/>
                <w:szCs w:val="20"/>
                <w:lang w:val="ro-MD" w:eastAsia="ro-MD"/>
              </w:rPr>
              <w:t> și H</w:t>
            </w:r>
            <w:r w:rsidRPr="00894803">
              <w:rPr>
                <w:rFonts w:ascii="Times New Roman" w:eastAsia="Arial Unicode MS" w:hAnsi="Times New Roman" w:cs="Times New Roman"/>
                <w:color w:val="000000" w:themeColor="text1"/>
                <w:sz w:val="20"/>
                <w:szCs w:val="20"/>
                <w:vertAlign w:val="subscript"/>
                <w:lang w:val="ro-MD" w:eastAsia="ro-MD"/>
              </w:rPr>
              <w:t>c</w:t>
            </w:r>
            <w:r w:rsidRPr="00894803">
              <w:rPr>
                <w:rFonts w:ascii="Times New Roman" w:eastAsia="Arial Unicode MS" w:hAnsi="Times New Roman" w:cs="Times New Roman"/>
                <w:color w:val="000000" w:themeColor="text1"/>
                <w:sz w:val="20"/>
                <w:szCs w:val="20"/>
                <w:lang w:val="ro-MD" w:eastAsia="ro-MD"/>
              </w:rPr>
              <w:t> aplicabile în formula stabilită la alineatul (1).</w:t>
            </w:r>
          </w:p>
          <w:p w14:paraId="5CEC339F" w14:textId="77777777" w:rsidR="00894803" w:rsidRPr="00894803" w:rsidRDefault="00894803" w:rsidP="00894803">
            <w:pPr>
              <w:shd w:val="clear" w:color="auto" w:fill="FFFFFF"/>
              <w:spacing w:after="0" w:line="240" w:lineRule="auto"/>
              <w:jc w:val="center"/>
              <w:rPr>
                <w:rFonts w:ascii="Times New Roman" w:eastAsia="Arial Unicode MS" w:hAnsi="Times New Roman" w:cs="Times New Roman"/>
                <w:color w:val="000000" w:themeColor="text1"/>
                <w:sz w:val="20"/>
                <w:szCs w:val="20"/>
                <w:lang w:val="ro-MD" w:eastAsia="ro-MD"/>
              </w:rPr>
            </w:pPr>
          </w:p>
          <w:p w14:paraId="6C85538B" w14:textId="77777777" w:rsidR="00894803" w:rsidRPr="00894803" w:rsidRDefault="00894803" w:rsidP="00894803">
            <w:pPr>
              <w:shd w:val="clear" w:color="auto" w:fill="FFFFFF"/>
              <w:spacing w:after="120" w:line="240" w:lineRule="auto"/>
              <w:jc w:val="center"/>
              <w:rPr>
                <w:rFonts w:ascii="Times New Roman" w:eastAsia="Arial Unicode MS" w:hAnsi="Times New Roman" w:cs="Times New Roman"/>
                <w:b/>
                <w:bCs/>
                <w:color w:val="000000" w:themeColor="text1"/>
                <w:sz w:val="20"/>
                <w:szCs w:val="20"/>
                <w:lang w:val="ro-MD" w:eastAsia="ro-MD"/>
              </w:rPr>
            </w:pPr>
            <w:r w:rsidRPr="00894803">
              <w:rPr>
                <w:rFonts w:ascii="Times New Roman" w:eastAsia="Arial Unicode MS" w:hAnsi="Times New Roman" w:cs="Times New Roman"/>
                <w:b/>
                <w:bCs/>
                <w:color w:val="000000" w:themeColor="text1"/>
                <w:sz w:val="20"/>
                <w:szCs w:val="20"/>
                <w:lang w:val="ro-MD" w:eastAsia="ro-MD"/>
              </w:rPr>
              <w:t>Tabelul 1</w:t>
            </w:r>
          </w:p>
          <w:tbl>
            <w:tblPr>
              <w:tblW w:w="555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85"/>
              <w:gridCol w:w="638"/>
              <w:gridCol w:w="2836"/>
            </w:tblGrid>
            <w:tr w:rsidR="00894803" w:rsidRPr="00894803" w14:paraId="414013B6" w14:textId="77777777" w:rsidTr="00894803">
              <w:trPr>
                <w:trHeight w:val="376"/>
                <w:jc w:val="center"/>
              </w:trPr>
              <w:tc>
                <w:tcPr>
                  <w:tcW w:w="2085" w:type="dxa"/>
                  <w:tcBorders>
                    <w:top w:val="outset" w:sz="6" w:space="0" w:color="auto"/>
                    <w:left w:val="outset" w:sz="6" w:space="0" w:color="auto"/>
                    <w:bottom w:val="outset" w:sz="6" w:space="0" w:color="auto"/>
                    <w:right w:val="outset" w:sz="6" w:space="0" w:color="auto"/>
                  </w:tcBorders>
                  <w:shd w:val="clear" w:color="auto" w:fill="auto"/>
                  <w:hideMark/>
                </w:tcPr>
                <w:p w14:paraId="51E2F434" w14:textId="77777777" w:rsidR="00894803" w:rsidRPr="00894803" w:rsidRDefault="00894803" w:rsidP="00894803">
                  <w:pPr>
                    <w:spacing w:before="60" w:after="60" w:line="240" w:lineRule="auto"/>
                    <w:jc w:val="both"/>
                    <w:rPr>
                      <w:rFonts w:ascii="Times New Roman" w:eastAsia="Times New Roman" w:hAnsi="Times New Roman" w:cs="Times New Roman"/>
                      <w:b/>
                      <w:bCs/>
                      <w:color w:val="000000" w:themeColor="text1"/>
                      <w:sz w:val="20"/>
                      <w:szCs w:val="20"/>
                      <w:lang w:val="ro-MD" w:eastAsia="ro-MD"/>
                    </w:rPr>
                  </w:pPr>
                  <w:r w:rsidRPr="00894803">
                    <w:rPr>
                      <w:rFonts w:ascii="Times New Roman" w:eastAsia="Times New Roman" w:hAnsi="Times New Roman" w:cs="Times New Roman"/>
                      <w:b/>
                      <w:bCs/>
                      <w:color w:val="000000" w:themeColor="text1"/>
                      <w:sz w:val="20"/>
                      <w:szCs w:val="20"/>
                      <w:lang w:val="ro-MD" w:eastAsia="ro-MD"/>
                    </w:rPr>
                    <w:t>Tipul de FCP</w:t>
                  </w:r>
                </w:p>
              </w:tc>
              <w:tc>
                <w:tcPr>
                  <w:tcW w:w="638" w:type="dxa"/>
                  <w:tcBorders>
                    <w:top w:val="outset" w:sz="6" w:space="0" w:color="auto"/>
                    <w:left w:val="outset" w:sz="6" w:space="0" w:color="auto"/>
                    <w:bottom w:val="outset" w:sz="6" w:space="0" w:color="auto"/>
                    <w:right w:val="outset" w:sz="6" w:space="0" w:color="auto"/>
                  </w:tcBorders>
                  <w:shd w:val="clear" w:color="auto" w:fill="auto"/>
                  <w:hideMark/>
                </w:tcPr>
                <w:p w14:paraId="0ABF60B6" w14:textId="77777777" w:rsidR="00894803" w:rsidRPr="00894803" w:rsidRDefault="00894803" w:rsidP="00894803">
                  <w:pPr>
                    <w:spacing w:before="60" w:after="60" w:line="240" w:lineRule="auto"/>
                    <w:jc w:val="both"/>
                    <w:rPr>
                      <w:rFonts w:ascii="Times New Roman" w:eastAsia="Times New Roman" w:hAnsi="Times New Roman" w:cs="Times New Roman"/>
                      <w:b/>
                      <w:bCs/>
                      <w:color w:val="000000" w:themeColor="text1"/>
                      <w:sz w:val="20"/>
                      <w:szCs w:val="20"/>
                      <w:lang w:val="ro-MD" w:eastAsia="ro-MD"/>
                    </w:rPr>
                  </w:pPr>
                  <w:r w:rsidRPr="00894803">
                    <w:rPr>
                      <w:rFonts w:ascii="Times New Roman" w:eastAsia="Times New Roman" w:hAnsi="Times New Roman" w:cs="Times New Roman"/>
                      <w:b/>
                      <w:bCs/>
                      <w:color w:val="000000" w:themeColor="text1"/>
                      <w:sz w:val="20"/>
                      <w:szCs w:val="20"/>
                      <w:lang w:val="ro-MD" w:eastAsia="ro-MD"/>
                    </w:rPr>
                    <w:t>LGD</w:t>
                  </w:r>
                  <w:r w:rsidRPr="00894803">
                    <w:rPr>
                      <w:rFonts w:ascii="Times New Roman" w:eastAsia="Times New Roman" w:hAnsi="Times New Roman" w:cs="Times New Roman"/>
                      <w:b/>
                      <w:bCs/>
                      <w:color w:val="000000" w:themeColor="text1"/>
                      <w:sz w:val="20"/>
                      <w:szCs w:val="20"/>
                      <w:vertAlign w:val="subscript"/>
                      <w:lang w:val="ro-MD" w:eastAsia="ro-MD"/>
                    </w:rPr>
                    <w:t>S</w:t>
                  </w:r>
                </w:p>
              </w:tc>
              <w:tc>
                <w:tcPr>
                  <w:tcW w:w="2836" w:type="dxa"/>
                  <w:tcBorders>
                    <w:top w:val="outset" w:sz="6" w:space="0" w:color="auto"/>
                    <w:left w:val="outset" w:sz="6" w:space="0" w:color="auto"/>
                    <w:bottom w:val="outset" w:sz="6" w:space="0" w:color="auto"/>
                    <w:right w:val="outset" w:sz="6" w:space="0" w:color="auto"/>
                  </w:tcBorders>
                  <w:shd w:val="clear" w:color="auto" w:fill="auto"/>
                  <w:hideMark/>
                </w:tcPr>
                <w:p w14:paraId="6AEDD638" w14:textId="77777777" w:rsidR="00894803" w:rsidRPr="00894803" w:rsidRDefault="00894803" w:rsidP="00894803">
                  <w:pPr>
                    <w:spacing w:before="60" w:after="60" w:line="240" w:lineRule="auto"/>
                    <w:jc w:val="both"/>
                    <w:rPr>
                      <w:rFonts w:ascii="Times New Roman" w:eastAsia="Times New Roman" w:hAnsi="Times New Roman" w:cs="Times New Roman"/>
                      <w:b/>
                      <w:bCs/>
                      <w:color w:val="000000" w:themeColor="text1"/>
                      <w:sz w:val="20"/>
                      <w:szCs w:val="20"/>
                      <w:lang w:val="ro-MD" w:eastAsia="ro-MD"/>
                    </w:rPr>
                  </w:pPr>
                  <w:r w:rsidRPr="00894803">
                    <w:rPr>
                      <w:rFonts w:ascii="Times New Roman" w:eastAsia="Times New Roman" w:hAnsi="Times New Roman" w:cs="Times New Roman"/>
                      <w:b/>
                      <w:bCs/>
                      <w:color w:val="000000" w:themeColor="text1"/>
                      <w:sz w:val="20"/>
                      <w:szCs w:val="20"/>
                      <w:lang w:val="ro-MD" w:eastAsia="ro-MD"/>
                    </w:rPr>
                    <w:t>Ajustarea de volatilitate (H</w:t>
                  </w:r>
                  <w:r w:rsidRPr="00894803">
                    <w:rPr>
                      <w:rFonts w:ascii="Times New Roman" w:eastAsia="Times New Roman" w:hAnsi="Times New Roman" w:cs="Times New Roman"/>
                      <w:b/>
                      <w:bCs/>
                      <w:color w:val="000000" w:themeColor="text1"/>
                      <w:sz w:val="20"/>
                      <w:szCs w:val="20"/>
                      <w:vertAlign w:val="subscript"/>
                      <w:lang w:val="ro-MD" w:eastAsia="ro-MD"/>
                    </w:rPr>
                    <w:t>c</w:t>
                  </w:r>
                  <w:r w:rsidRPr="00894803">
                    <w:rPr>
                      <w:rFonts w:ascii="Times New Roman" w:eastAsia="Times New Roman" w:hAnsi="Times New Roman" w:cs="Times New Roman"/>
                      <w:b/>
                      <w:bCs/>
                      <w:color w:val="000000" w:themeColor="text1"/>
                      <w:sz w:val="20"/>
                      <w:szCs w:val="20"/>
                      <w:lang w:val="ro-MD" w:eastAsia="ro-MD"/>
                    </w:rPr>
                    <w:t>)</w:t>
                  </w:r>
                </w:p>
              </w:tc>
            </w:tr>
            <w:tr w:rsidR="00894803" w:rsidRPr="00894803" w14:paraId="4DFC9423" w14:textId="77777777" w:rsidTr="00894803">
              <w:trPr>
                <w:trHeight w:val="394"/>
                <w:jc w:val="center"/>
              </w:trPr>
              <w:tc>
                <w:tcPr>
                  <w:tcW w:w="2085" w:type="dxa"/>
                  <w:tcBorders>
                    <w:top w:val="outset" w:sz="6" w:space="0" w:color="auto"/>
                    <w:left w:val="outset" w:sz="6" w:space="0" w:color="auto"/>
                    <w:bottom w:val="outset" w:sz="6" w:space="0" w:color="auto"/>
                    <w:right w:val="outset" w:sz="6" w:space="0" w:color="auto"/>
                  </w:tcBorders>
                  <w:shd w:val="clear" w:color="auto" w:fill="auto"/>
                  <w:hideMark/>
                </w:tcPr>
                <w:p w14:paraId="52410036"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Garanții financiare</w:t>
                  </w:r>
                </w:p>
              </w:tc>
              <w:tc>
                <w:tcPr>
                  <w:tcW w:w="638" w:type="dxa"/>
                  <w:tcBorders>
                    <w:top w:val="outset" w:sz="6" w:space="0" w:color="auto"/>
                    <w:left w:val="outset" w:sz="6" w:space="0" w:color="auto"/>
                    <w:bottom w:val="outset" w:sz="6" w:space="0" w:color="auto"/>
                    <w:right w:val="outset" w:sz="6" w:space="0" w:color="auto"/>
                  </w:tcBorders>
                  <w:shd w:val="clear" w:color="auto" w:fill="auto"/>
                  <w:hideMark/>
                </w:tcPr>
                <w:p w14:paraId="22B20251"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0 %</w:t>
                  </w:r>
                </w:p>
              </w:tc>
              <w:tc>
                <w:tcPr>
                  <w:tcW w:w="2836" w:type="dxa"/>
                  <w:tcBorders>
                    <w:top w:val="outset" w:sz="6" w:space="0" w:color="auto"/>
                    <w:left w:val="outset" w:sz="6" w:space="0" w:color="auto"/>
                    <w:bottom w:val="outset" w:sz="6" w:space="0" w:color="auto"/>
                    <w:right w:val="outset" w:sz="6" w:space="0" w:color="auto"/>
                  </w:tcBorders>
                  <w:shd w:val="clear" w:color="auto" w:fill="auto"/>
                  <w:hideMark/>
                </w:tcPr>
                <w:p w14:paraId="220FAA14"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Ajustarea de volatilitate H</w:t>
                  </w:r>
                  <w:r w:rsidRPr="00894803">
                    <w:rPr>
                      <w:rFonts w:ascii="Times New Roman" w:eastAsia="Times New Roman" w:hAnsi="Times New Roman" w:cs="Times New Roman"/>
                      <w:color w:val="000000" w:themeColor="text1"/>
                      <w:sz w:val="20"/>
                      <w:szCs w:val="20"/>
                      <w:vertAlign w:val="subscript"/>
                      <w:lang w:val="ro-MD" w:eastAsia="ro-MD"/>
                    </w:rPr>
                    <w:t>c</w:t>
                  </w:r>
                  <w:r w:rsidRPr="00894803">
                    <w:rPr>
                      <w:rFonts w:ascii="Times New Roman" w:eastAsia="Times New Roman" w:hAnsi="Times New Roman" w:cs="Times New Roman"/>
                      <w:color w:val="000000" w:themeColor="text1"/>
                      <w:sz w:val="20"/>
                      <w:szCs w:val="20"/>
                      <w:lang w:val="ro-MD" w:eastAsia="ro-MD"/>
                    </w:rPr>
                    <w:t> stabilită la articolele 224-227</w:t>
                  </w:r>
                </w:p>
              </w:tc>
            </w:tr>
            <w:tr w:rsidR="00894803" w:rsidRPr="00894803" w14:paraId="7E688F6C" w14:textId="77777777" w:rsidTr="00894803">
              <w:trPr>
                <w:trHeight w:val="376"/>
                <w:jc w:val="center"/>
              </w:trPr>
              <w:tc>
                <w:tcPr>
                  <w:tcW w:w="2085" w:type="dxa"/>
                  <w:tcBorders>
                    <w:top w:val="outset" w:sz="6" w:space="0" w:color="auto"/>
                    <w:left w:val="outset" w:sz="6" w:space="0" w:color="auto"/>
                    <w:bottom w:val="outset" w:sz="6" w:space="0" w:color="auto"/>
                    <w:right w:val="outset" w:sz="6" w:space="0" w:color="auto"/>
                  </w:tcBorders>
                  <w:shd w:val="clear" w:color="auto" w:fill="auto"/>
                  <w:hideMark/>
                </w:tcPr>
                <w:p w14:paraId="6DCBD881"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Creanțe</w:t>
                  </w:r>
                </w:p>
              </w:tc>
              <w:tc>
                <w:tcPr>
                  <w:tcW w:w="638" w:type="dxa"/>
                  <w:tcBorders>
                    <w:top w:val="outset" w:sz="6" w:space="0" w:color="auto"/>
                    <w:left w:val="outset" w:sz="6" w:space="0" w:color="auto"/>
                    <w:bottom w:val="outset" w:sz="6" w:space="0" w:color="auto"/>
                    <w:right w:val="outset" w:sz="6" w:space="0" w:color="auto"/>
                  </w:tcBorders>
                  <w:shd w:val="clear" w:color="auto" w:fill="auto"/>
                  <w:hideMark/>
                </w:tcPr>
                <w:p w14:paraId="403DCC3E"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20 %</w:t>
                  </w:r>
                </w:p>
              </w:tc>
              <w:tc>
                <w:tcPr>
                  <w:tcW w:w="2836" w:type="dxa"/>
                  <w:tcBorders>
                    <w:top w:val="outset" w:sz="6" w:space="0" w:color="auto"/>
                    <w:left w:val="outset" w:sz="6" w:space="0" w:color="auto"/>
                    <w:bottom w:val="outset" w:sz="6" w:space="0" w:color="auto"/>
                    <w:right w:val="outset" w:sz="6" w:space="0" w:color="auto"/>
                  </w:tcBorders>
                  <w:shd w:val="clear" w:color="auto" w:fill="auto"/>
                  <w:hideMark/>
                </w:tcPr>
                <w:p w14:paraId="1DD13846"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40 %</w:t>
                  </w:r>
                </w:p>
              </w:tc>
            </w:tr>
            <w:tr w:rsidR="00894803" w:rsidRPr="00894803" w14:paraId="62B10718" w14:textId="77777777" w:rsidTr="00894803">
              <w:trPr>
                <w:trHeight w:val="376"/>
                <w:jc w:val="center"/>
              </w:trPr>
              <w:tc>
                <w:tcPr>
                  <w:tcW w:w="2085" w:type="dxa"/>
                  <w:tcBorders>
                    <w:top w:val="outset" w:sz="6" w:space="0" w:color="auto"/>
                    <w:left w:val="outset" w:sz="6" w:space="0" w:color="auto"/>
                    <w:bottom w:val="outset" w:sz="6" w:space="0" w:color="auto"/>
                    <w:right w:val="outset" w:sz="6" w:space="0" w:color="auto"/>
                  </w:tcBorders>
                  <w:shd w:val="clear" w:color="auto" w:fill="auto"/>
                  <w:hideMark/>
                </w:tcPr>
                <w:p w14:paraId="0C5312B5"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Bunuri imobile locative și comerciale</w:t>
                  </w:r>
                </w:p>
              </w:tc>
              <w:tc>
                <w:tcPr>
                  <w:tcW w:w="638" w:type="dxa"/>
                  <w:tcBorders>
                    <w:top w:val="outset" w:sz="6" w:space="0" w:color="auto"/>
                    <w:left w:val="outset" w:sz="6" w:space="0" w:color="auto"/>
                    <w:bottom w:val="outset" w:sz="6" w:space="0" w:color="auto"/>
                    <w:right w:val="outset" w:sz="6" w:space="0" w:color="auto"/>
                  </w:tcBorders>
                  <w:shd w:val="clear" w:color="auto" w:fill="auto"/>
                  <w:hideMark/>
                </w:tcPr>
                <w:p w14:paraId="6A014F97"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20 %</w:t>
                  </w:r>
                </w:p>
              </w:tc>
              <w:tc>
                <w:tcPr>
                  <w:tcW w:w="2836" w:type="dxa"/>
                  <w:tcBorders>
                    <w:top w:val="outset" w:sz="6" w:space="0" w:color="auto"/>
                    <w:left w:val="outset" w:sz="6" w:space="0" w:color="auto"/>
                    <w:bottom w:val="outset" w:sz="6" w:space="0" w:color="auto"/>
                    <w:right w:val="outset" w:sz="6" w:space="0" w:color="auto"/>
                  </w:tcBorders>
                  <w:shd w:val="clear" w:color="auto" w:fill="auto"/>
                  <w:hideMark/>
                </w:tcPr>
                <w:p w14:paraId="4F5749A4"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40 %</w:t>
                  </w:r>
                </w:p>
              </w:tc>
            </w:tr>
            <w:tr w:rsidR="00894803" w:rsidRPr="00894803" w14:paraId="149B76E6" w14:textId="77777777" w:rsidTr="00894803">
              <w:trPr>
                <w:trHeight w:val="394"/>
                <w:jc w:val="center"/>
              </w:trPr>
              <w:tc>
                <w:tcPr>
                  <w:tcW w:w="2085" w:type="dxa"/>
                  <w:tcBorders>
                    <w:top w:val="outset" w:sz="6" w:space="0" w:color="auto"/>
                    <w:left w:val="outset" w:sz="6" w:space="0" w:color="auto"/>
                    <w:bottom w:val="outset" w:sz="6" w:space="0" w:color="auto"/>
                    <w:right w:val="outset" w:sz="6" w:space="0" w:color="auto"/>
                  </w:tcBorders>
                  <w:shd w:val="clear" w:color="auto" w:fill="auto"/>
                  <w:hideMark/>
                </w:tcPr>
                <w:p w14:paraId="3C6A20D9"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Alte garanții reale corporale</w:t>
                  </w:r>
                </w:p>
              </w:tc>
              <w:tc>
                <w:tcPr>
                  <w:tcW w:w="638" w:type="dxa"/>
                  <w:tcBorders>
                    <w:top w:val="outset" w:sz="6" w:space="0" w:color="auto"/>
                    <w:left w:val="outset" w:sz="6" w:space="0" w:color="auto"/>
                    <w:bottom w:val="outset" w:sz="6" w:space="0" w:color="auto"/>
                    <w:right w:val="outset" w:sz="6" w:space="0" w:color="auto"/>
                  </w:tcBorders>
                  <w:shd w:val="clear" w:color="auto" w:fill="auto"/>
                  <w:hideMark/>
                </w:tcPr>
                <w:p w14:paraId="4E7B0BB5"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25 %</w:t>
                  </w:r>
                </w:p>
              </w:tc>
              <w:tc>
                <w:tcPr>
                  <w:tcW w:w="2836" w:type="dxa"/>
                  <w:tcBorders>
                    <w:top w:val="outset" w:sz="6" w:space="0" w:color="auto"/>
                    <w:left w:val="outset" w:sz="6" w:space="0" w:color="auto"/>
                    <w:bottom w:val="outset" w:sz="6" w:space="0" w:color="auto"/>
                    <w:right w:val="outset" w:sz="6" w:space="0" w:color="auto"/>
                  </w:tcBorders>
                  <w:shd w:val="clear" w:color="auto" w:fill="auto"/>
                  <w:hideMark/>
                </w:tcPr>
                <w:p w14:paraId="617D07A7"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40 %</w:t>
                  </w:r>
                </w:p>
              </w:tc>
            </w:tr>
            <w:tr w:rsidR="00894803" w:rsidRPr="00894803" w14:paraId="4C3841EB" w14:textId="77777777" w:rsidTr="00894803">
              <w:trPr>
                <w:trHeight w:val="376"/>
                <w:jc w:val="center"/>
              </w:trPr>
              <w:tc>
                <w:tcPr>
                  <w:tcW w:w="2085" w:type="dxa"/>
                  <w:tcBorders>
                    <w:top w:val="outset" w:sz="6" w:space="0" w:color="auto"/>
                    <w:left w:val="outset" w:sz="6" w:space="0" w:color="auto"/>
                    <w:bottom w:val="outset" w:sz="6" w:space="0" w:color="auto"/>
                    <w:right w:val="outset" w:sz="6" w:space="0" w:color="auto"/>
                  </w:tcBorders>
                  <w:shd w:val="clear" w:color="auto" w:fill="auto"/>
                  <w:hideMark/>
                </w:tcPr>
                <w:p w14:paraId="2B2D183E"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Protecție finanțată a creditului neeligibilă</w:t>
                  </w:r>
                </w:p>
              </w:tc>
              <w:tc>
                <w:tcPr>
                  <w:tcW w:w="638" w:type="dxa"/>
                  <w:tcBorders>
                    <w:top w:val="outset" w:sz="6" w:space="0" w:color="auto"/>
                    <w:left w:val="outset" w:sz="6" w:space="0" w:color="auto"/>
                    <w:bottom w:val="outset" w:sz="6" w:space="0" w:color="auto"/>
                    <w:right w:val="outset" w:sz="6" w:space="0" w:color="auto"/>
                  </w:tcBorders>
                  <w:shd w:val="clear" w:color="auto" w:fill="auto"/>
                  <w:hideMark/>
                </w:tcPr>
                <w:p w14:paraId="7C07CF52"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nu se aplică</w:t>
                  </w:r>
                </w:p>
              </w:tc>
              <w:tc>
                <w:tcPr>
                  <w:tcW w:w="2836" w:type="dxa"/>
                  <w:tcBorders>
                    <w:top w:val="outset" w:sz="6" w:space="0" w:color="auto"/>
                    <w:left w:val="outset" w:sz="6" w:space="0" w:color="auto"/>
                    <w:bottom w:val="outset" w:sz="6" w:space="0" w:color="auto"/>
                    <w:right w:val="outset" w:sz="6" w:space="0" w:color="auto"/>
                  </w:tcBorders>
                  <w:shd w:val="clear" w:color="auto" w:fill="auto"/>
                  <w:hideMark/>
                </w:tcPr>
                <w:p w14:paraId="52A983F5" w14:textId="77777777" w:rsidR="00894803" w:rsidRPr="00894803" w:rsidRDefault="00894803" w:rsidP="00894803">
                  <w:pPr>
                    <w:spacing w:before="60" w:after="60" w:line="240" w:lineRule="auto"/>
                    <w:jc w:val="both"/>
                    <w:rPr>
                      <w:rFonts w:ascii="Times New Roman" w:eastAsia="Times New Roman" w:hAnsi="Times New Roman" w:cs="Times New Roman"/>
                      <w:color w:val="000000" w:themeColor="text1"/>
                      <w:sz w:val="20"/>
                      <w:szCs w:val="20"/>
                      <w:lang w:val="ro-MD" w:eastAsia="ro-MD"/>
                    </w:rPr>
                  </w:pPr>
                  <w:r w:rsidRPr="00894803">
                    <w:rPr>
                      <w:rFonts w:ascii="Times New Roman" w:eastAsia="Times New Roman" w:hAnsi="Times New Roman" w:cs="Times New Roman"/>
                      <w:color w:val="000000" w:themeColor="text1"/>
                      <w:sz w:val="20"/>
                      <w:szCs w:val="20"/>
                      <w:lang w:val="ro-MD" w:eastAsia="ro-MD"/>
                    </w:rPr>
                    <w:t>100 %</w:t>
                  </w:r>
                </w:p>
              </w:tc>
            </w:tr>
          </w:tbl>
          <w:p w14:paraId="5BEB79C7" w14:textId="2A6C92CD" w:rsidR="00894803" w:rsidRPr="00894803" w:rsidRDefault="00894803" w:rsidP="00894803">
            <w:pPr>
              <w:shd w:val="clear" w:color="auto" w:fill="FFFFFF"/>
              <w:spacing w:after="0" w:line="240" w:lineRule="auto"/>
              <w:rPr>
                <w:rFonts w:ascii="Times New Roman" w:eastAsia="Arial Unicode MS" w:hAnsi="Times New Roman" w:cs="Times New Roman"/>
                <w:color w:val="000000" w:themeColor="text1"/>
                <w:sz w:val="20"/>
                <w:szCs w:val="20"/>
                <w:lang w:val="ro-MD" w:eastAsia="ro-MD"/>
              </w:rPr>
            </w:pPr>
          </w:p>
        </w:tc>
        <w:tc>
          <w:tcPr>
            <w:tcW w:w="1636" w:type="pct"/>
          </w:tcPr>
          <w:p w14:paraId="3C78915D" w14:textId="5A2EF3A1" w:rsidR="00820E52" w:rsidRDefault="00820E52" w:rsidP="00820E52">
            <w:pPr>
              <w:shd w:val="clear" w:color="auto" w:fill="FFFFFF"/>
              <w:spacing w:after="0" w:line="240" w:lineRule="auto"/>
              <w:rPr>
                <w:rFonts w:ascii="Times New Roman" w:eastAsia="Arial Unicode MS" w:hAnsi="Times New Roman" w:cs="Times New Roman"/>
                <w:color w:val="000000" w:themeColor="text1"/>
                <w:sz w:val="20"/>
                <w:szCs w:val="20"/>
              </w:rPr>
            </w:pPr>
            <w:r w:rsidRPr="005C3300">
              <w:rPr>
                <w:rFonts w:ascii="Times New Roman" w:hAnsi="Times New Roman" w:cs="Times New Roman"/>
                <w:b/>
                <w:bCs/>
                <w:color w:val="000000" w:themeColor="text1"/>
                <w:sz w:val="20"/>
                <w:szCs w:val="20"/>
                <w:lang w:val="ro-RO"/>
              </w:rPr>
              <w:t>107</w:t>
            </w:r>
            <w:r w:rsidRPr="005C3300">
              <w:rPr>
                <w:rFonts w:ascii="Times New Roman" w:hAnsi="Times New Roman" w:cs="Times New Roman"/>
                <w:b/>
                <w:bCs/>
                <w:color w:val="000000" w:themeColor="text1"/>
                <w:sz w:val="20"/>
                <w:szCs w:val="20"/>
                <w:vertAlign w:val="superscript"/>
                <w:lang w:val="ro-RO"/>
              </w:rPr>
              <w:t>7</w:t>
            </w:r>
            <w:r w:rsidRPr="005C3300">
              <w:rPr>
                <w:rFonts w:ascii="Times New Roman" w:hAnsi="Times New Roman" w:cs="Times New Roman"/>
                <w:b/>
                <w:bCs/>
                <w:color w:val="000000" w:themeColor="text1"/>
                <w:sz w:val="20"/>
                <w:szCs w:val="20"/>
                <w:lang w:val="ro-RO"/>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tabelul</w:t>
            </w:r>
            <w:proofErr w:type="spellEnd"/>
            <w:r w:rsidRPr="005C3300">
              <w:rPr>
                <w:rFonts w:ascii="Times New Roman" w:eastAsia="Arial Unicode MS" w:hAnsi="Times New Roman" w:cs="Times New Roman"/>
                <w:color w:val="000000" w:themeColor="text1"/>
                <w:sz w:val="20"/>
                <w:szCs w:val="20"/>
              </w:rPr>
              <w:t xml:space="preserve"> nr.5 se </w:t>
            </w:r>
            <w:proofErr w:type="spellStart"/>
            <w:r w:rsidRPr="005C3300">
              <w:rPr>
                <w:rFonts w:ascii="Times New Roman" w:eastAsia="Arial Unicode MS" w:hAnsi="Times New Roman" w:cs="Times New Roman"/>
                <w:color w:val="000000" w:themeColor="text1"/>
                <w:sz w:val="20"/>
                <w:szCs w:val="20"/>
              </w:rPr>
              <w:t>specifică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valorile</w:t>
            </w:r>
            <w:proofErr w:type="spellEnd"/>
            <w:r w:rsidRPr="005C3300">
              <w:rPr>
                <w:rFonts w:ascii="Times New Roman" w:eastAsia="Arial Unicode MS" w:hAnsi="Times New Roman" w:cs="Times New Roman"/>
                <w:color w:val="000000" w:themeColor="text1"/>
                <w:sz w:val="20"/>
                <w:szCs w:val="20"/>
              </w:rPr>
              <w:t xml:space="preserve"> LGD</w:t>
            </w:r>
            <w:r w:rsidRPr="005C3300">
              <w:rPr>
                <w:rStyle w:val="subscript"/>
                <w:rFonts w:ascii="Times New Roman" w:eastAsia="Arial Unicode MS" w:hAnsi="Times New Roman" w:cs="Times New Roman"/>
                <w:color w:val="000000" w:themeColor="text1"/>
                <w:sz w:val="20"/>
                <w:szCs w:val="20"/>
                <w:vertAlign w:val="subscript"/>
              </w:rPr>
              <w:t>S</w:t>
            </w:r>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și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H</w:t>
            </w:r>
            <w:r w:rsidRPr="005C3300">
              <w:rPr>
                <w:rStyle w:val="subscript"/>
                <w:rFonts w:ascii="Times New Roman" w:eastAsia="Arial Unicode MS" w:hAnsi="Times New Roman" w:cs="Times New Roman"/>
                <w:color w:val="000000" w:themeColor="text1"/>
                <w:sz w:val="20"/>
                <w:szCs w:val="20"/>
                <w:vertAlign w:val="subscript"/>
              </w:rPr>
              <w:t>c</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aplicabile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formula </w:t>
            </w:r>
            <w:proofErr w:type="spellStart"/>
            <w:r w:rsidRPr="005C3300">
              <w:rPr>
                <w:rFonts w:ascii="Times New Roman" w:eastAsia="Arial Unicode MS" w:hAnsi="Times New Roman" w:cs="Times New Roman"/>
                <w:color w:val="000000" w:themeColor="text1"/>
                <w:sz w:val="20"/>
                <w:szCs w:val="20"/>
              </w:rPr>
              <w:t>stabilită</w:t>
            </w:r>
            <w:proofErr w:type="spellEnd"/>
            <w:r w:rsidRPr="005C3300">
              <w:rPr>
                <w:rFonts w:ascii="Times New Roman" w:eastAsia="Arial Unicode MS" w:hAnsi="Times New Roman" w:cs="Times New Roman"/>
                <w:color w:val="000000" w:themeColor="text1"/>
                <w:sz w:val="20"/>
                <w:szCs w:val="20"/>
              </w:rPr>
              <w:t xml:space="preserve"> la </w:t>
            </w:r>
            <w:proofErr w:type="spellStart"/>
            <w:r w:rsidRPr="005C3300">
              <w:rPr>
                <w:rFonts w:ascii="Times New Roman" w:eastAsia="Arial Unicode MS" w:hAnsi="Times New Roman" w:cs="Times New Roman"/>
                <w:color w:val="000000" w:themeColor="text1"/>
                <w:sz w:val="20"/>
                <w:szCs w:val="20"/>
              </w:rPr>
              <w:t>punctul</w:t>
            </w:r>
            <w:proofErr w:type="spellEnd"/>
            <w:r w:rsidRPr="005C3300">
              <w:rPr>
                <w:rFonts w:ascii="Times New Roman" w:eastAsia="Arial Unicode MS" w:hAnsi="Times New Roman" w:cs="Times New Roman"/>
                <w:color w:val="000000" w:themeColor="text1"/>
                <w:sz w:val="20"/>
                <w:szCs w:val="20"/>
              </w:rPr>
              <w:t xml:space="preserve"> 107</w:t>
            </w:r>
            <w:r w:rsidRPr="005C3300">
              <w:rPr>
                <w:rFonts w:ascii="Times New Roman" w:eastAsia="Arial Unicode MS" w:hAnsi="Times New Roman" w:cs="Times New Roman"/>
                <w:color w:val="000000" w:themeColor="text1"/>
                <w:sz w:val="20"/>
                <w:szCs w:val="20"/>
                <w:vertAlign w:val="superscript"/>
              </w:rPr>
              <w:t>6</w:t>
            </w:r>
            <w:r w:rsidRPr="005C3300">
              <w:rPr>
                <w:rFonts w:ascii="Times New Roman" w:eastAsia="Arial Unicode MS" w:hAnsi="Times New Roman" w:cs="Times New Roman"/>
                <w:color w:val="000000" w:themeColor="text1"/>
                <w:sz w:val="20"/>
                <w:szCs w:val="20"/>
              </w:rPr>
              <w:t>.</w:t>
            </w:r>
          </w:p>
          <w:p w14:paraId="786D7A25" w14:textId="77777777" w:rsidR="00820E52" w:rsidRPr="005C3300" w:rsidRDefault="00820E52" w:rsidP="00820E52">
            <w:pPr>
              <w:pStyle w:val="title-table"/>
              <w:shd w:val="clear" w:color="auto" w:fill="FFFFFF"/>
              <w:ind w:right="566"/>
              <w:jc w:val="right"/>
              <w:rPr>
                <w:rFonts w:eastAsia="Arial Unicode MS"/>
                <w:b w:val="0"/>
                <w:bCs w:val="0"/>
                <w:color w:val="000000" w:themeColor="text1"/>
                <w:sz w:val="20"/>
                <w:szCs w:val="20"/>
              </w:rPr>
            </w:pPr>
            <w:proofErr w:type="spellStart"/>
            <w:r w:rsidRPr="005C3300">
              <w:rPr>
                <w:rFonts w:eastAsia="Arial Unicode MS"/>
                <w:color w:val="000000" w:themeColor="text1"/>
                <w:sz w:val="20"/>
                <w:szCs w:val="20"/>
              </w:rPr>
              <w:t>Tabelul</w:t>
            </w:r>
            <w:proofErr w:type="spellEnd"/>
            <w:r w:rsidRPr="005C3300">
              <w:rPr>
                <w:rFonts w:eastAsia="Arial Unicode MS"/>
                <w:color w:val="000000" w:themeColor="text1"/>
                <w:sz w:val="20"/>
                <w:szCs w:val="20"/>
              </w:rPr>
              <w:t xml:space="preserve"> nr.5</w:t>
            </w:r>
          </w:p>
          <w:tbl>
            <w:tblPr>
              <w:tblW w:w="441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58"/>
              <w:gridCol w:w="708"/>
              <w:gridCol w:w="1847"/>
            </w:tblGrid>
            <w:tr w:rsidR="00820E52" w:rsidRPr="005C3300" w14:paraId="463A7B8E" w14:textId="77777777" w:rsidTr="00820E52">
              <w:trPr>
                <w:trHeight w:val="496"/>
                <w:jc w:val="center"/>
              </w:trPr>
              <w:tc>
                <w:tcPr>
                  <w:tcW w:w="1858" w:type="dxa"/>
                  <w:tcBorders>
                    <w:top w:val="outset" w:sz="6" w:space="0" w:color="auto"/>
                    <w:left w:val="outset" w:sz="6" w:space="0" w:color="auto"/>
                    <w:bottom w:val="outset" w:sz="6" w:space="0" w:color="auto"/>
                    <w:right w:val="outset" w:sz="6" w:space="0" w:color="auto"/>
                  </w:tcBorders>
                  <w:hideMark/>
                </w:tcPr>
                <w:p w14:paraId="1AF3C3B9" w14:textId="77777777" w:rsidR="00820E52" w:rsidRPr="005C3300" w:rsidRDefault="00820E52" w:rsidP="00820E52">
                  <w:pPr>
                    <w:pStyle w:val="tbl-norm"/>
                    <w:spacing w:before="0" w:after="0"/>
                    <w:rPr>
                      <w:b/>
                      <w:bCs/>
                      <w:color w:val="000000" w:themeColor="text1"/>
                      <w:sz w:val="20"/>
                      <w:szCs w:val="20"/>
                    </w:rPr>
                  </w:pPr>
                  <w:proofErr w:type="spellStart"/>
                  <w:r w:rsidRPr="005C3300">
                    <w:rPr>
                      <w:b/>
                      <w:bCs/>
                      <w:color w:val="000000" w:themeColor="text1"/>
                      <w:sz w:val="20"/>
                      <w:szCs w:val="20"/>
                    </w:rPr>
                    <w:t>Tipul</w:t>
                  </w:r>
                  <w:proofErr w:type="spellEnd"/>
                  <w:r w:rsidRPr="005C3300">
                    <w:rPr>
                      <w:b/>
                      <w:bCs/>
                      <w:color w:val="000000" w:themeColor="text1"/>
                      <w:sz w:val="20"/>
                      <w:szCs w:val="20"/>
                    </w:rPr>
                    <w:t xml:space="preserve"> de FCP</w:t>
                  </w:r>
                </w:p>
              </w:tc>
              <w:tc>
                <w:tcPr>
                  <w:tcW w:w="708" w:type="dxa"/>
                  <w:tcBorders>
                    <w:top w:val="outset" w:sz="6" w:space="0" w:color="auto"/>
                    <w:left w:val="outset" w:sz="6" w:space="0" w:color="auto"/>
                    <w:bottom w:val="outset" w:sz="6" w:space="0" w:color="auto"/>
                    <w:right w:val="outset" w:sz="6" w:space="0" w:color="auto"/>
                  </w:tcBorders>
                  <w:hideMark/>
                </w:tcPr>
                <w:p w14:paraId="14A84170" w14:textId="77777777" w:rsidR="00820E52" w:rsidRPr="005C3300" w:rsidRDefault="00820E52" w:rsidP="00820E52">
                  <w:pPr>
                    <w:pStyle w:val="tbl-norm"/>
                    <w:spacing w:before="0" w:after="0"/>
                    <w:rPr>
                      <w:b/>
                      <w:bCs/>
                      <w:color w:val="000000" w:themeColor="text1"/>
                      <w:sz w:val="20"/>
                      <w:szCs w:val="20"/>
                    </w:rPr>
                  </w:pPr>
                  <w:r w:rsidRPr="005C3300">
                    <w:rPr>
                      <w:b/>
                      <w:bCs/>
                      <w:color w:val="000000" w:themeColor="text1"/>
                      <w:sz w:val="20"/>
                      <w:szCs w:val="20"/>
                    </w:rPr>
                    <w:t>LGD</w:t>
                  </w:r>
                  <w:r w:rsidRPr="005C3300">
                    <w:rPr>
                      <w:rStyle w:val="subscript"/>
                      <w:b/>
                      <w:bCs/>
                      <w:color w:val="000000" w:themeColor="text1"/>
                      <w:sz w:val="20"/>
                      <w:szCs w:val="20"/>
                      <w:vertAlign w:val="subscript"/>
                    </w:rPr>
                    <w:t>S</w:t>
                  </w:r>
                </w:p>
              </w:tc>
              <w:tc>
                <w:tcPr>
                  <w:tcW w:w="1847" w:type="dxa"/>
                  <w:tcBorders>
                    <w:top w:val="outset" w:sz="6" w:space="0" w:color="auto"/>
                    <w:left w:val="outset" w:sz="6" w:space="0" w:color="auto"/>
                    <w:bottom w:val="outset" w:sz="6" w:space="0" w:color="auto"/>
                    <w:right w:val="outset" w:sz="6" w:space="0" w:color="auto"/>
                  </w:tcBorders>
                  <w:hideMark/>
                </w:tcPr>
                <w:p w14:paraId="15E32621" w14:textId="77777777" w:rsidR="00820E52" w:rsidRPr="005C3300" w:rsidRDefault="00820E52" w:rsidP="00820E52">
                  <w:pPr>
                    <w:pStyle w:val="tbl-norm"/>
                    <w:spacing w:before="0" w:after="0"/>
                    <w:rPr>
                      <w:b/>
                      <w:bCs/>
                      <w:color w:val="000000" w:themeColor="text1"/>
                      <w:sz w:val="20"/>
                      <w:szCs w:val="20"/>
                    </w:rPr>
                  </w:pPr>
                  <w:proofErr w:type="spellStart"/>
                  <w:r w:rsidRPr="005C3300">
                    <w:rPr>
                      <w:b/>
                      <w:bCs/>
                      <w:color w:val="000000" w:themeColor="text1"/>
                      <w:sz w:val="20"/>
                      <w:szCs w:val="20"/>
                    </w:rPr>
                    <w:t>Ajustarea</w:t>
                  </w:r>
                  <w:proofErr w:type="spellEnd"/>
                  <w:r w:rsidRPr="005C3300">
                    <w:rPr>
                      <w:b/>
                      <w:bCs/>
                      <w:color w:val="000000" w:themeColor="text1"/>
                      <w:sz w:val="20"/>
                      <w:szCs w:val="20"/>
                    </w:rPr>
                    <w:t xml:space="preserve"> de </w:t>
                  </w:r>
                  <w:proofErr w:type="spellStart"/>
                  <w:r w:rsidRPr="005C3300">
                    <w:rPr>
                      <w:b/>
                      <w:bCs/>
                      <w:color w:val="000000" w:themeColor="text1"/>
                      <w:sz w:val="20"/>
                      <w:szCs w:val="20"/>
                    </w:rPr>
                    <w:t>volatilitate</w:t>
                  </w:r>
                  <w:proofErr w:type="spellEnd"/>
                  <w:r w:rsidRPr="005C3300">
                    <w:rPr>
                      <w:b/>
                      <w:bCs/>
                      <w:color w:val="000000" w:themeColor="text1"/>
                      <w:sz w:val="20"/>
                      <w:szCs w:val="20"/>
                    </w:rPr>
                    <w:t xml:space="preserve"> (</w:t>
                  </w:r>
                  <w:proofErr w:type="spellStart"/>
                  <w:r w:rsidRPr="005C3300">
                    <w:rPr>
                      <w:b/>
                      <w:bCs/>
                      <w:color w:val="000000" w:themeColor="text1"/>
                      <w:sz w:val="20"/>
                      <w:szCs w:val="20"/>
                    </w:rPr>
                    <w:t>H</w:t>
                  </w:r>
                  <w:r w:rsidRPr="005C3300">
                    <w:rPr>
                      <w:rStyle w:val="subscript"/>
                      <w:b/>
                      <w:bCs/>
                      <w:color w:val="000000" w:themeColor="text1"/>
                      <w:sz w:val="20"/>
                      <w:szCs w:val="20"/>
                      <w:vertAlign w:val="subscript"/>
                    </w:rPr>
                    <w:t>c</w:t>
                  </w:r>
                  <w:proofErr w:type="spellEnd"/>
                  <w:r w:rsidRPr="005C3300">
                    <w:rPr>
                      <w:b/>
                      <w:bCs/>
                      <w:color w:val="000000" w:themeColor="text1"/>
                      <w:sz w:val="20"/>
                      <w:szCs w:val="20"/>
                    </w:rPr>
                    <w:t>)</w:t>
                  </w:r>
                </w:p>
              </w:tc>
            </w:tr>
            <w:tr w:rsidR="00820E52" w:rsidRPr="005C3300" w14:paraId="18BC4FB4" w14:textId="77777777" w:rsidTr="00820E52">
              <w:trPr>
                <w:trHeight w:val="670"/>
                <w:jc w:val="center"/>
              </w:trPr>
              <w:tc>
                <w:tcPr>
                  <w:tcW w:w="1858" w:type="dxa"/>
                  <w:tcBorders>
                    <w:top w:val="outset" w:sz="6" w:space="0" w:color="auto"/>
                    <w:left w:val="outset" w:sz="6" w:space="0" w:color="auto"/>
                    <w:bottom w:val="outset" w:sz="6" w:space="0" w:color="auto"/>
                    <w:right w:val="outset" w:sz="6" w:space="0" w:color="auto"/>
                  </w:tcBorders>
                  <w:hideMark/>
                </w:tcPr>
                <w:p w14:paraId="4CA2DFEF" w14:textId="77777777" w:rsidR="00820E52" w:rsidRPr="005C3300" w:rsidRDefault="00820E52" w:rsidP="00820E52">
                  <w:pPr>
                    <w:pStyle w:val="tbl-norm"/>
                    <w:spacing w:before="0" w:after="0"/>
                    <w:rPr>
                      <w:color w:val="000000" w:themeColor="text1"/>
                      <w:sz w:val="20"/>
                      <w:szCs w:val="20"/>
                    </w:rPr>
                  </w:pPr>
                  <w:proofErr w:type="spellStart"/>
                  <w:r w:rsidRPr="005C3300">
                    <w:rPr>
                      <w:color w:val="000000" w:themeColor="text1"/>
                      <w:sz w:val="20"/>
                      <w:szCs w:val="20"/>
                    </w:rPr>
                    <w:t>Garanții</w:t>
                  </w:r>
                  <w:proofErr w:type="spellEnd"/>
                  <w:r w:rsidRPr="005C3300">
                    <w:rPr>
                      <w:color w:val="000000" w:themeColor="text1"/>
                      <w:sz w:val="20"/>
                      <w:szCs w:val="20"/>
                    </w:rPr>
                    <w:t xml:space="preserve"> </w:t>
                  </w:r>
                  <w:proofErr w:type="spellStart"/>
                  <w:r w:rsidRPr="005C3300">
                    <w:rPr>
                      <w:color w:val="000000" w:themeColor="text1"/>
                      <w:sz w:val="20"/>
                      <w:szCs w:val="20"/>
                    </w:rPr>
                    <w:t>financiare</w:t>
                  </w:r>
                  <w:proofErr w:type="spellEnd"/>
                </w:p>
              </w:tc>
              <w:tc>
                <w:tcPr>
                  <w:tcW w:w="708" w:type="dxa"/>
                  <w:tcBorders>
                    <w:top w:val="outset" w:sz="6" w:space="0" w:color="auto"/>
                    <w:left w:val="outset" w:sz="6" w:space="0" w:color="auto"/>
                    <w:bottom w:val="outset" w:sz="6" w:space="0" w:color="auto"/>
                    <w:right w:val="outset" w:sz="6" w:space="0" w:color="auto"/>
                  </w:tcBorders>
                  <w:hideMark/>
                </w:tcPr>
                <w:p w14:paraId="1F75BC80"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0 %</w:t>
                  </w:r>
                </w:p>
              </w:tc>
              <w:tc>
                <w:tcPr>
                  <w:tcW w:w="1847" w:type="dxa"/>
                  <w:tcBorders>
                    <w:top w:val="outset" w:sz="6" w:space="0" w:color="auto"/>
                    <w:left w:val="outset" w:sz="6" w:space="0" w:color="auto"/>
                    <w:bottom w:val="outset" w:sz="6" w:space="0" w:color="auto"/>
                    <w:right w:val="outset" w:sz="6" w:space="0" w:color="auto"/>
                  </w:tcBorders>
                  <w:hideMark/>
                </w:tcPr>
                <w:p w14:paraId="02CD4AD4" w14:textId="77777777" w:rsidR="00820E52" w:rsidRPr="005C3300" w:rsidRDefault="00820E52" w:rsidP="00820E52">
                  <w:pPr>
                    <w:pStyle w:val="tbl-norm"/>
                    <w:spacing w:before="0" w:after="0"/>
                    <w:rPr>
                      <w:color w:val="000000" w:themeColor="text1"/>
                      <w:sz w:val="20"/>
                      <w:szCs w:val="20"/>
                    </w:rPr>
                  </w:pPr>
                  <w:proofErr w:type="spellStart"/>
                  <w:r w:rsidRPr="005C3300">
                    <w:rPr>
                      <w:color w:val="000000" w:themeColor="text1"/>
                      <w:sz w:val="20"/>
                      <w:szCs w:val="20"/>
                    </w:rPr>
                    <w:t>Ajustarea</w:t>
                  </w:r>
                  <w:proofErr w:type="spellEnd"/>
                  <w:r w:rsidRPr="005C3300">
                    <w:rPr>
                      <w:color w:val="000000" w:themeColor="text1"/>
                      <w:sz w:val="20"/>
                      <w:szCs w:val="20"/>
                    </w:rPr>
                    <w:t xml:space="preserve"> de </w:t>
                  </w:r>
                  <w:proofErr w:type="spellStart"/>
                  <w:r w:rsidRPr="005C3300">
                    <w:rPr>
                      <w:color w:val="000000" w:themeColor="text1"/>
                      <w:sz w:val="20"/>
                      <w:szCs w:val="20"/>
                    </w:rPr>
                    <w:t>volatilitate</w:t>
                  </w:r>
                  <w:proofErr w:type="spellEnd"/>
                  <w:r w:rsidRPr="005C3300">
                    <w:rPr>
                      <w:color w:val="000000" w:themeColor="text1"/>
                      <w:sz w:val="20"/>
                      <w:szCs w:val="20"/>
                    </w:rPr>
                    <w:t xml:space="preserve"> </w:t>
                  </w:r>
                  <w:proofErr w:type="spellStart"/>
                  <w:r w:rsidRPr="005C3300">
                    <w:rPr>
                      <w:color w:val="000000" w:themeColor="text1"/>
                      <w:sz w:val="20"/>
                      <w:szCs w:val="20"/>
                    </w:rPr>
                    <w:t>H</w:t>
                  </w:r>
                  <w:r w:rsidRPr="005C3300">
                    <w:rPr>
                      <w:rStyle w:val="subscript"/>
                      <w:color w:val="000000" w:themeColor="text1"/>
                      <w:sz w:val="20"/>
                      <w:szCs w:val="20"/>
                      <w:vertAlign w:val="subscript"/>
                    </w:rPr>
                    <w:t>c</w:t>
                  </w:r>
                  <w:proofErr w:type="spellEnd"/>
                  <w:r w:rsidRPr="005C3300">
                    <w:rPr>
                      <w:color w:val="000000" w:themeColor="text1"/>
                      <w:sz w:val="20"/>
                      <w:szCs w:val="20"/>
                    </w:rPr>
                    <w:t> </w:t>
                  </w:r>
                  <w:proofErr w:type="spellStart"/>
                  <w:r w:rsidRPr="005C3300">
                    <w:rPr>
                      <w:color w:val="000000" w:themeColor="text1"/>
                      <w:sz w:val="20"/>
                      <w:szCs w:val="20"/>
                    </w:rPr>
                    <w:t>stabilită</w:t>
                  </w:r>
                  <w:proofErr w:type="spellEnd"/>
                  <w:r w:rsidRPr="005C3300">
                    <w:rPr>
                      <w:color w:val="000000" w:themeColor="text1"/>
                      <w:sz w:val="20"/>
                      <w:szCs w:val="20"/>
                    </w:rPr>
                    <w:t xml:space="preserve"> la</w:t>
                  </w:r>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punctele</w:t>
                  </w:r>
                  <w:proofErr w:type="spellEnd"/>
                  <w:r w:rsidRPr="005C3300">
                    <w:rPr>
                      <w:rFonts w:eastAsia="Arial Unicode MS"/>
                      <w:color w:val="000000" w:themeColor="text1"/>
                      <w:sz w:val="20"/>
                      <w:szCs w:val="20"/>
                    </w:rPr>
                    <w:t xml:space="preserve"> 95-105</w:t>
                  </w:r>
                </w:p>
              </w:tc>
            </w:tr>
            <w:tr w:rsidR="00820E52" w:rsidRPr="005C3300" w14:paraId="7D3AB8DC" w14:textId="77777777" w:rsidTr="008C0E7E">
              <w:trPr>
                <w:trHeight w:val="245"/>
                <w:jc w:val="center"/>
              </w:trPr>
              <w:tc>
                <w:tcPr>
                  <w:tcW w:w="1858" w:type="dxa"/>
                  <w:tcBorders>
                    <w:top w:val="outset" w:sz="6" w:space="0" w:color="auto"/>
                    <w:left w:val="outset" w:sz="6" w:space="0" w:color="auto"/>
                    <w:bottom w:val="outset" w:sz="6" w:space="0" w:color="auto"/>
                    <w:right w:val="outset" w:sz="6" w:space="0" w:color="auto"/>
                  </w:tcBorders>
                  <w:hideMark/>
                </w:tcPr>
                <w:p w14:paraId="0B4A7813" w14:textId="77777777" w:rsidR="00820E52" w:rsidRPr="005C3300" w:rsidRDefault="00820E52" w:rsidP="00820E52">
                  <w:pPr>
                    <w:pStyle w:val="tbl-norm"/>
                    <w:spacing w:before="0" w:after="0"/>
                    <w:rPr>
                      <w:color w:val="000000" w:themeColor="text1"/>
                      <w:sz w:val="20"/>
                      <w:szCs w:val="20"/>
                    </w:rPr>
                  </w:pPr>
                  <w:proofErr w:type="spellStart"/>
                  <w:r w:rsidRPr="005C3300">
                    <w:rPr>
                      <w:color w:val="000000" w:themeColor="text1"/>
                      <w:sz w:val="20"/>
                      <w:szCs w:val="20"/>
                    </w:rPr>
                    <w:t>Creanțe</w:t>
                  </w:r>
                  <w:proofErr w:type="spellEnd"/>
                </w:p>
              </w:tc>
              <w:tc>
                <w:tcPr>
                  <w:tcW w:w="708" w:type="dxa"/>
                  <w:tcBorders>
                    <w:top w:val="outset" w:sz="6" w:space="0" w:color="auto"/>
                    <w:left w:val="outset" w:sz="6" w:space="0" w:color="auto"/>
                    <w:bottom w:val="outset" w:sz="6" w:space="0" w:color="auto"/>
                    <w:right w:val="outset" w:sz="6" w:space="0" w:color="auto"/>
                  </w:tcBorders>
                  <w:hideMark/>
                </w:tcPr>
                <w:p w14:paraId="42ED268D"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20 %</w:t>
                  </w:r>
                </w:p>
              </w:tc>
              <w:tc>
                <w:tcPr>
                  <w:tcW w:w="1847" w:type="dxa"/>
                  <w:tcBorders>
                    <w:top w:val="outset" w:sz="6" w:space="0" w:color="auto"/>
                    <w:left w:val="outset" w:sz="6" w:space="0" w:color="auto"/>
                    <w:bottom w:val="outset" w:sz="6" w:space="0" w:color="auto"/>
                    <w:right w:val="outset" w:sz="6" w:space="0" w:color="auto"/>
                  </w:tcBorders>
                  <w:hideMark/>
                </w:tcPr>
                <w:p w14:paraId="1EECCB29"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40 %</w:t>
                  </w:r>
                </w:p>
              </w:tc>
            </w:tr>
            <w:tr w:rsidR="00820E52" w:rsidRPr="005C3300" w14:paraId="748F9416" w14:textId="77777777" w:rsidTr="008C0E7E">
              <w:trPr>
                <w:trHeight w:val="529"/>
                <w:jc w:val="center"/>
              </w:trPr>
              <w:tc>
                <w:tcPr>
                  <w:tcW w:w="1858" w:type="dxa"/>
                  <w:tcBorders>
                    <w:top w:val="outset" w:sz="6" w:space="0" w:color="auto"/>
                    <w:left w:val="outset" w:sz="6" w:space="0" w:color="auto"/>
                    <w:bottom w:val="outset" w:sz="6" w:space="0" w:color="auto"/>
                    <w:right w:val="outset" w:sz="6" w:space="0" w:color="auto"/>
                  </w:tcBorders>
                  <w:hideMark/>
                </w:tcPr>
                <w:p w14:paraId="50D2CF60" w14:textId="77777777" w:rsidR="00820E52" w:rsidRPr="005C3300" w:rsidRDefault="00820E52" w:rsidP="00820E52">
                  <w:pPr>
                    <w:pStyle w:val="tbl-norm"/>
                    <w:spacing w:before="0" w:after="0"/>
                    <w:rPr>
                      <w:color w:val="000000" w:themeColor="text1"/>
                      <w:sz w:val="20"/>
                      <w:szCs w:val="20"/>
                    </w:rPr>
                  </w:pPr>
                  <w:proofErr w:type="spellStart"/>
                  <w:r w:rsidRPr="005C3300">
                    <w:rPr>
                      <w:color w:val="000000" w:themeColor="text1"/>
                      <w:sz w:val="20"/>
                      <w:szCs w:val="20"/>
                    </w:rPr>
                    <w:t>Bunuri</w:t>
                  </w:r>
                  <w:proofErr w:type="spellEnd"/>
                  <w:r w:rsidRPr="005C3300">
                    <w:rPr>
                      <w:color w:val="000000" w:themeColor="text1"/>
                      <w:sz w:val="20"/>
                      <w:szCs w:val="20"/>
                    </w:rPr>
                    <w:t xml:space="preserve"> </w:t>
                  </w:r>
                  <w:proofErr w:type="spellStart"/>
                  <w:r w:rsidRPr="005C3300">
                    <w:rPr>
                      <w:color w:val="000000" w:themeColor="text1"/>
                      <w:sz w:val="20"/>
                      <w:szCs w:val="20"/>
                    </w:rPr>
                    <w:t>imobile</w:t>
                  </w:r>
                  <w:proofErr w:type="spellEnd"/>
                  <w:r w:rsidRPr="005C3300">
                    <w:rPr>
                      <w:color w:val="000000" w:themeColor="text1"/>
                      <w:sz w:val="20"/>
                      <w:szCs w:val="20"/>
                    </w:rPr>
                    <w:t xml:space="preserve"> locative </w:t>
                  </w:r>
                  <w:proofErr w:type="spellStart"/>
                  <w:r w:rsidRPr="005C3300">
                    <w:rPr>
                      <w:color w:val="000000" w:themeColor="text1"/>
                      <w:sz w:val="20"/>
                      <w:szCs w:val="20"/>
                    </w:rPr>
                    <w:t>și</w:t>
                  </w:r>
                  <w:proofErr w:type="spellEnd"/>
                  <w:r w:rsidRPr="005C3300">
                    <w:rPr>
                      <w:color w:val="000000" w:themeColor="text1"/>
                      <w:sz w:val="20"/>
                      <w:szCs w:val="20"/>
                    </w:rPr>
                    <w:t xml:space="preserve"> </w:t>
                  </w:r>
                  <w:proofErr w:type="spellStart"/>
                  <w:r w:rsidRPr="005C3300">
                    <w:rPr>
                      <w:color w:val="000000" w:themeColor="text1"/>
                      <w:sz w:val="20"/>
                      <w:szCs w:val="20"/>
                    </w:rPr>
                    <w:t>comerciale</w:t>
                  </w:r>
                  <w:proofErr w:type="spellEnd"/>
                </w:p>
              </w:tc>
              <w:tc>
                <w:tcPr>
                  <w:tcW w:w="708" w:type="dxa"/>
                  <w:tcBorders>
                    <w:top w:val="outset" w:sz="6" w:space="0" w:color="auto"/>
                    <w:left w:val="outset" w:sz="6" w:space="0" w:color="auto"/>
                    <w:bottom w:val="outset" w:sz="6" w:space="0" w:color="auto"/>
                    <w:right w:val="outset" w:sz="6" w:space="0" w:color="auto"/>
                  </w:tcBorders>
                  <w:hideMark/>
                </w:tcPr>
                <w:p w14:paraId="426A6EAA"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20 %</w:t>
                  </w:r>
                </w:p>
              </w:tc>
              <w:tc>
                <w:tcPr>
                  <w:tcW w:w="1847" w:type="dxa"/>
                  <w:tcBorders>
                    <w:top w:val="outset" w:sz="6" w:space="0" w:color="auto"/>
                    <w:left w:val="outset" w:sz="6" w:space="0" w:color="auto"/>
                    <w:bottom w:val="outset" w:sz="6" w:space="0" w:color="auto"/>
                    <w:right w:val="outset" w:sz="6" w:space="0" w:color="auto"/>
                  </w:tcBorders>
                  <w:hideMark/>
                </w:tcPr>
                <w:p w14:paraId="082452F7"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40 %</w:t>
                  </w:r>
                </w:p>
              </w:tc>
            </w:tr>
            <w:tr w:rsidR="00820E52" w:rsidRPr="005C3300" w14:paraId="2279F2BD" w14:textId="77777777" w:rsidTr="00820E52">
              <w:trPr>
                <w:trHeight w:val="430"/>
                <w:jc w:val="center"/>
              </w:trPr>
              <w:tc>
                <w:tcPr>
                  <w:tcW w:w="1858" w:type="dxa"/>
                  <w:tcBorders>
                    <w:top w:val="outset" w:sz="6" w:space="0" w:color="auto"/>
                    <w:left w:val="outset" w:sz="6" w:space="0" w:color="auto"/>
                    <w:bottom w:val="outset" w:sz="6" w:space="0" w:color="auto"/>
                    <w:right w:val="outset" w:sz="6" w:space="0" w:color="auto"/>
                  </w:tcBorders>
                  <w:hideMark/>
                </w:tcPr>
                <w:p w14:paraId="4330FF56"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 xml:space="preserve">Alte </w:t>
                  </w:r>
                  <w:proofErr w:type="spellStart"/>
                  <w:r w:rsidRPr="005C3300">
                    <w:rPr>
                      <w:color w:val="000000" w:themeColor="text1"/>
                      <w:sz w:val="20"/>
                      <w:szCs w:val="20"/>
                    </w:rPr>
                    <w:t>garanții</w:t>
                  </w:r>
                  <w:proofErr w:type="spellEnd"/>
                  <w:r w:rsidRPr="005C3300">
                    <w:rPr>
                      <w:color w:val="000000" w:themeColor="text1"/>
                      <w:sz w:val="20"/>
                      <w:szCs w:val="20"/>
                    </w:rPr>
                    <w:t xml:space="preserve"> </w:t>
                  </w:r>
                  <w:proofErr w:type="spellStart"/>
                  <w:r w:rsidRPr="005C3300">
                    <w:rPr>
                      <w:color w:val="000000" w:themeColor="text1"/>
                      <w:sz w:val="20"/>
                      <w:szCs w:val="20"/>
                    </w:rPr>
                    <w:t>reale</w:t>
                  </w:r>
                  <w:proofErr w:type="spellEnd"/>
                  <w:r w:rsidRPr="005C3300">
                    <w:rPr>
                      <w:color w:val="000000" w:themeColor="text1"/>
                      <w:sz w:val="20"/>
                      <w:szCs w:val="20"/>
                    </w:rPr>
                    <w:t xml:space="preserve"> </w:t>
                  </w:r>
                  <w:proofErr w:type="spellStart"/>
                  <w:r w:rsidRPr="005C3300">
                    <w:rPr>
                      <w:color w:val="000000" w:themeColor="text1"/>
                      <w:sz w:val="20"/>
                      <w:szCs w:val="20"/>
                    </w:rPr>
                    <w:t>corporale</w:t>
                  </w:r>
                  <w:proofErr w:type="spellEnd"/>
                </w:p>
              </w:tc>
              <w:tc>
                <w:tcPr>
                  <w:tcW w:w="708" w:type="dxa"/>
                  <w:tcBorders>
                    <w:top w:val="outset" w:sz="6" w:space="0" w:color="auto"/>
                    <w:left w:val="outset" w:sz="6" w:space="0" w:color="auto"/>
                    <w:bottom w:val="outset" w:sz="6" w:space="0" w:color="auto"/>
                    <w:right w:val="outset" w:sz="6" w:space="0" w:color="auto"/>
                  </w:tcBorders>
                  <w:hideMark/>
                </w:tcPr>
                <w:p w14:paraId="49C05D15"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25 %</w:t>
                  </w:r>
                </w:p>
              </w:tc>
              <w:tc>
                <w:tcPr>
                  <w:tcW w:w="1847" w:type="dxa"/>
                  <w:tcBorders>
                    <w:top w:val="outset" w:sz="6" w:space="0" w:color="auto"/>
                    <w:left w:val="outset" w:sz="6" w:space="0" w:color="auto"/>
                    <w:bottom w:val="outset" w:sz="6" w:space="0" w:color="auto"/>
                    <w:right w:val="outset" w:sz="6" w:space="0" w:color="auto"/>
                  </w:tcBorders>
                  <w:hideMark/>
                </w:tcPr>
                <w:p w14:paraId="73BFDC79"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40 %</w:t>
                  </w:r>
                </w:p>
              </w:tc>
            </w:tr>
            <w:tr w:rsidR="00820E52" w:rsidRPr="005C3300" w14:paraId="1CA4C453" w14:textId="77777777" w:rsidTr="00820E52">
              <w:trPr>
                <w:trHeight w:val="750"/>
                <w:jc w:val="center"/>
              </w:trPr>
              <w:tc>
                <w:tcPr>
                  <w:tcW w:w="1858" w:type="dxa"/>
                  <w:tcBorders>
                    <w:top w:val="outset" w:sz="6" w:space="0" w:color="auto"/>
                    <w:left w:val="outset" w:sz="6" w:space="0" w:color="auto"/>
                    <w:bottom w:val="outset" w:sz="6" w:space="0" w:color="auto"/>
                    <w:right w:val="outset" w:sz="6" w:space="0" w:color="auto"/>
                  </w:tcBorders>
                  <w:hideMark/>
                </w:tcPr>
                <w:p w14:paraId="3B61FBFA" w14:textId="77777777" w:rsidR="00820E52" w:rsidRPr="005C3300" w:rsidRDefault="00820E52" w:rsidP="00820E52">
                  <w:pPr>
                    <w:pStyle w:val="tbl-norm"/>
                    <w:spacing w:before="0" w:after="0"/>
                    <w:rPr>
                      <w:color w:val="000000" w:themeColor="text1"/>
                      <w:sz w:val="20"/>
                      <w:szCs w:val="20"/>
                    </w:rPr>
                  </w:pPr>
                  <w:proofErr w:type="spellStart"/>
                  <w:r w:rsidRPr="005C3300">
                    <w:rPr>
                      <w:color w:val="000000" w:themeColor="text1"/>
                      <w:sz w:val="20"/>
                      <w:szCs w:val="20"/>
                    </w:rPr>
                    <w:t>Protecție</w:t>
                  </w:r>
                  <w:proofErr w:type="spellEnd"/>
                  <w:r w:rsidRPr="005C3300">
                    <w:rPr>
                      <w:color w:val="000000" w:themeColor="text1"/>
                      <w:sz w:val="20"/>
                      <w:szCs w:val="20"/>
                    </w:rPr>
                    <w:t xml:space="preserve"> </w:t>
                  </w:r>
                  <w:proofErr w:type="spellStart"/>
                  <w:r w:rsidRPr="005C3300">
                    <w:rPr>
                      <w:color w:val="000000" w:themeColor="text1"/>
                      <w:sz w:val="20"/>
                      <w:szCs w:val="20"/>
                    </w:rPr>
                    <w:t>finanțată</w:t>
                  </w:r>
                  <w:proofErr w:type="spellEnd"/>
                  <w:r w:rsidRPr="005C3300">
                    <w:rPr>
                      <w:color w:val="000000" w:themeColor="text1"/>
                      <w:sz w:val="20"/>
                      <w:szCs w:val="20"/>
                    </w:rPr>
                    <w:t xml:space="preserve"> a </w:t>
                  </w:r>
                  <w:proofErr w:type="spellStart"/>
                  <w:r w:rsidRPr="005C3300">
                    <w:rPr>
                      <w:color w:val="000000" w:themeColor="text1"/>
                      <w:sz w:val="20"/>
                      <w:szCs w:val="20"/>
                    </w:rPr>
                    <w:t>creditului</w:t>
                  </w:r>
                  <w:proofErr w:type="spellEnd"/>
                  <w:r w:rsidRPr="005C3300">
                    <w:rPr>
                      <w:color w:val="000000" w:themeColor="text1"/>
                      <w:sz w:val="20"/>
                      <w:szCs w:val="20"/>
                    </w:rPr>
                    <w:t xml:space="preserve"> </w:t>
                  </w:r>
                  <w:proofErr w:type="spellStart"/>
                  <w:r w:rsidRPr="005C3300">
                    <w:rPr>
                      <w:color w:val="000000" w:themeColor="text1"/>
                      <w:sz w:val="20"/>
                      <w:szCs w:val="20"/>
                    </w:rPr>
                    <w:t>neeligibilă</w:t>
                  </w:r>
                  <w:proofErr w:type="spellEnd"/>
                </w:p>
              </w:tc>
              <w:tc>
                <w:tcPr>
                  <w:tcW w:w="708" w:type="dxa"/>
                  <w:tcBorders>
                    <w:top w:val="outset" w:sz="6" w:space="0" w:color="auto"/>
                    <w:left w:val="outset" w:sz="6" w:space="0" w:color="auto"/>
                    <w:bottom w:val="outset" w:sz="6" w:space="0" w:color="auto"/>
                    <w:right w:val="outset" w:sz="6" w:space="0" w:color="auto"/>
                  </w:tcBorders>
                  <w:hideMark/>
                </w:tcPr>
                <w:p w14:paraId="390C6BF4"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N/A</w:t>
                  </w:r>
                </w:p>
              </w:tc>
              <w:tc>
                <w:tcPr>
                  <w:tcW w:w="1847" w:type="dxa"/>
                  <w:tcBorders>
                    <w:top w:val="outset" w:sz="6" w:space="0" w:color="auto"/>
                    <w:left w:val="outset" w:sz="6" w:space="0" w:color="auto"/>
                    <w:bottom w:val="outset" w:sz="6" w:space="0" w:color="auto"/>
                    <w:right w:val="outset" w:sz="6" w:space="0" w:color="auto"/>
                  </w:tcBorders>
                  <w:hideMark/>
                </w:tcPr>
                <w:p w14:paraId="2C964A15" w14:textId="77777777" w:rsidR="00820E52" w:rsidRPr="005C3300" w:rsidRDefault="00820E52" w:rsidP="00820E52">
                  <w:pPr>
                    <w:pStyle w:val="tbl-norm"/>
                    <w:spacing w:before="0" w:after="0"/>
                    <w:rPr>
                      <w:color w:val="000000" w:themeColor="text1"/>
                      <w:sz w:val="20"/>
                      <w:szCs w:val="20"/>
                    </w:rPr>
                  </w:pPr>
                  <w:r w:rsidRPr="005C3300">
                    <w:rPr>
                      <w:color w:val="000000" w:themeColor="text1"/>
                      <w:sz w:val="20"/>
                      <w:szCs w:val="20"/>
                    </w:rPr>
                    <w:t>100 %</w:t>
                  </w:r>
                </w:p>
              </w:tc>
            </w:tr>
          </w:tbl>
          <w:p w14:paraId="5E3AFE94" w14:textId="77777777" w:rsidR="00894803" w:rsidRDefault="00894803" w:rsidP="00820E52">
            <w:pPr>
              <w:spacing w:after="0" w:line="240" w:lineRule="auto"/>
              <w:rPr>
                <w:rFonts w:ascii="Times New Roman" w:hAnsi="Times New Roman" w:cs="Times New Roman"/>
                <w:b/>
                <w:bCs/>
                <w:color w:val="000000" w:themeColor="text1"/>
                <w:sz w:val="20"/>
                <w:szCs w:val="20"/>
                <w:lang w:val="ro-RO"/>
              </w:rPr>
            </w:pPr>
          </w:p>
          <w:p w14:paraId="1B19A006" w14:textId="77777777" w:rsidR="00820E52" w:rsidRDefault="00820E52" w:rsidP="00820E52">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p w14:paraId="73ABB8F5" w14:textId="40AEF29D" w:rsidR="00820E52" w:rsidRPr="00820E52" w:rsidRDefault="00820E52" w:rsidP="00820E52">
            <w:pPr>
              <w:spacing w:after="0" w:line="240" w:lineRule="auto"/>
              <w:rPr>
                <w:rFonts w:ascii="Times New Roman" w:hAnsi="Times New Roman" w:cs="Times New Roman"/>
                <w:b/>
                <w:sz w:val="20"/>
                <w:szCs w:val="20"/>
              </w:rPr>
            </w:pPr>
          </w:p>
        </w:tc>
        <w:tc>
          <w:tcPr>
            <w:tcW w:w="562" w:type="pct"/>
          </w:tcPr>
          <w:p w14:paraId="1DE37DE6" w14:textId="6208DCD5" w:rsidR="00894803" w:rsidRPr="002C32BA" w:rsidDel="00326BF0" w:rsidRDefault="004C6A38" w:rsidP="00D62F3C">
            <w:pPr>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885" w:type="pct"/>
          </w:tcPr>
          <w:p w14:paraId="3B61B3CD" w14:textId="77777777" w:rsidR="00894803" w:rsidRPr="002C32BA" w:rsidRDefault="00894803" w:rsidP="00D62F3C">
            <w:pPr>
              <w:rPr>
                <w:rFonts w:ascii="Times New Roman" w:hAnsi="Times New Roman" w:cs="Times New Roman"/>
                <w:sz w:val="20"/>
                <w:szCs w:val="20"/>
                <w:lang w:val="ro-RO"/>
              </w:rPr>
            </w:pPr>
          </w:p>
        </w:tc>
      </w:tr>
      <w:tr w:rsidR="00894803" w:rsidRPr="002C32BA" w14:paraId="2F2D35C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3ED7D945" w14:textId="4D1071AE" w:rsidR="00894803" w:rsidRPr="00894803" w:rsidRDefault="00894803" w:rsidP="00894803">
            <w:pPr>
              <w:pStyle w:val="CM4"/>
              <w:tabs>
                <w:tab w:val="left" w:pos="150"/>
              </w:tabs>
              <w:ind w:left="-43"/>
              <w:jc w:val="both"/>
              <w:rPr>
                <w:rFonts w:ascii="Times New Roman" w:hAnsi="Times New Roman"/>
                <w:color w:val="000000" w:themeColor="text1"/>
                <w:sz w:val="20"/>
                <w:szCs w:val="20"/>
                <w:lang w:val="ro-RO" w:eastAsia="ru-RU"/>
              </w:rPr>
            </w:pPr>
            <w:r w:rsidRPr="00894803">
              <w:rPr>
                <w:rFonts w:ascii="Times New Roman" w:hAnsi="Times New Roman"/>
                <w:color w:val="000000" w:themeColor="text1"/>
                <w:sz w:val="20"/>
                <w:szCs w:val="20"/>
                <w:lang w:val="ro-RO" w:eastAsia="ru-RU"/>
              </w:rPr>
              <w:t>(3)   În cazul în care o protecție finanțată a creditului eligibilă este denominată într-o monedă diferită de cea a expunerii, ajustarea de volatilitate pentru neconcordanța de monede (</w:t>
            </w:r>
            <w:proofErr w:type="spellStart"/>
            <w:r w:rsidRPr="00894803">
              <w:rPr>
                <w:rFonts w:ascii="Times New Roman" w:hAnsi="Times New Roman"/>
                <w:color w:val="000000" w:themeColor="text1"/>
                <w:sz w:val="20"/>
                <w:szCs w:val="20"/>
                <w:lang w:val="ro-RO" w:eastAsia="ru-RU"/>
              </w:rPr>
              <w:t>Hfx</w:t>
            </w:r>
            <w:proofErr w:type="spellEnd"/>
            <w:r w:rsidRPr="00894803">
              <w:rPr>
                <w:rFonts w:ascii="Times New Roman" w:hAnsi="Times New Roman"/>
                <w:color w:val="000000" w:themeColor="text1"/>
                <w:sz w:val="20"/>
                <w:szCs w:val="20"/>
                <w:lang w:val="ro-RO" w:eastAsia="ru-RU"/>
              </w:rPr>
              <w:t>) este aceeași cu cea care se aplică în temeiul articolelor 224-227.</w:t>
            </w:r>
          </w:p>
        </w:tc>
        <w:tc>
          <w:tcPr>
            <w:tcW w:w="1636" w:type="pct"/>
          </w:tcPr>
          <w:p w14:paraId="02DF49CF" w14:textId="77777777" w:rsidR="00894803" w:rsidRDefault="004C4797" w:rsidP="00D62F3C">
            <w:pPr>
              <w:spacing w:after="0" w:line="240" w:lineRule="auto"/>
              <w:rPr>
                <w:rFonts w:ascii="Times New Roman" w:eastAsia="Arial Unicode MS" w:hAnsi="Times New Roman" w:cs="Times New Roman"/>
                <w:color w:val="000000" w:themeColor="text1"/>
                <w:sz w:val="20"/>
                <w:szCs w:val="20"/>
              </w:rPr>
            </w:pPr>
            <w:r w:rsidRPr="005C3300">
              <w:rPr>
                <w:rFonts w:ascii="Times New Roman" w:hAnsi="Times New Roman" w:cs="Times New Roman"/>
                <w:b/>
                <w:bCs/>
                <w:color w:val="000000" w:themeColor="text1"/>
                <w:sz w:val="20"/>
                <w:szCs w:val="20"/>
                <w:lang w:val="ro-RO"/>
              </w:rPr>
              <w:t>107</w:t>
            </w:r>
            <w:r w:rsidRPr="005C3300">
              <w:rPr>
                <w:rFonts w:ascii="Times New Roman" w:hAnsi="Times New Roman" w:cs="Times New Roman"/>
                <w:b/>
                <w:bCs/>
                <w:color w:val="000000" w:themeColor="text1"/>
                <w:sz w:val="20"/>
                <w:szCs w:val="20"/>
                <w:vertAlign w:val="superscript"/>
                <w:lang w:val="ro-RO"/>
              </w:rPr>
              <w:t>8</w:t>
            </w:r>
            <w:r w:rsidRPr="005C3300">
              <w:rPr>
                <w:rFonts w:ascii="Times New Roman" w:hAnsi="Times New Roman" w:cs="Times New Roman"/>
                <w:b/>
                <w:bCs/>
                <w:color w:val="000000" w:themeColor="text1"/>
                <w:sz w:val="20"/>
                <w:szCs w:val="20"/>
                <w:lang w:val="ro-RO"/>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cazul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care o </w:t>
            </w:r>
            <w:proofErr w:type="spellStart"/>
            <w:r w:rsidRPr="005C3300">
              <w:rPr>
                <w:rFonts w:ascii="Times New Roman" w:eastAsia="Arial Unicode MS" w:hAnsi="Times New Roman" w:cs="Times New Roman"/>
                <w:color w:val="000000" w:themeColor="text1"/>
                <w:sz w:val="20"/>
                <w:szCs w:val="20"/>
              </w:rPr>
              <w:t>protecție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finanțată</w:t>
            </w:r>
            <w:proofErr w:type="spellEnd"/>
            <w:r w:rsidRPr="005C3300">
              <w:rPr>
                <w:rFonts w:ascii="Times New Roman" w:eastAsia="Arial Unicode MS" w:hAnsi="Times New Roman" w:cs="Times New Roman"/>
                <w:color w:val="000000" w:themeColor="text1"/>
                <w:sz w:val="20"/>
                <w:szCs w:val="20"/>
              </w:rPr>
              <w:t xml:space="preserve"> a </w:t>
            </w:r>
            <w:proofErr w:type="spellStart"/>
            <w:r w:rsidRPr="005C3300">
              <w:rPr>
                <w:rFonts w:ascii="Times New Roman" w:eastAsia="Arial Unicode MS" w:hAnsi="Times New Roman" w:cs="Times New Roman"/>
                <w:color w:val="000000" w:themeColor="text1"/>
                <w:sz w:val="20"/>
                <w:szCs w:val="20"/>
              </w:rPr>
              <w:t>creditului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eligibilă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exprimată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într</w:t>
            </w:r>
            <w:proofErr w:type="spellEnd"/>
            <w:r w:rsidRPr="005C3300">
              <w:rPr>
                <w:rFonts w:ascii="Times New Roman" w:eastAsia="Arial Unicode MS" w:hAnsi="Times New Roman" w:cs="Times New Roman"/>
                <w:color w:val="000000" w:themeColor="text1"/>
                <w:sz w:val="20"/>
                <w:szCs w:val="20"/>
              </w:rPr>
              <w:t xml:space="preserve">-o </w:t>
            </w:r>
            <w:proofErr w:type="spellStart"/>
            <w:r w:rsidRPr="005C3300">
              <w:rPr>
                <w:rFonts w:ascii="Times New Roman" w:eastAsia="Arial Unicode MS" w:hAnsi="Times New Roman" w:cs="Times New Roman"/>
                <w:color w:val="000000" w:themeColor="text1"/>
                <w:sz w:val="20"/>
                <w:szCs w:val="20"/>
              </w:rPr>
              <w:t>monedă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diferită</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cea</w:t>
            </w:r>
            <w:proofErr w:type="spellEnd"/>
            <w:r w:rsidRPr="005C3300">
              <w:rPr>
                <w:rFonts w:ascii="Times New Roman" w:eastAsia="Arial Unicode MS" w:hAnsi="Times New Roman" w:cs="Times New Roman"/>
                <w:color w:val="000000" w:themeColor="text1"/>
                <w:sz w:val="20"/>
                <w:szCs w:val="20"/>
              </w:rPr>
              <w:t xml:space="preserve"> </w:t>
            </w:r>
            <w:proofErr w:type="gramStart"/>
            <w:r w:rsidRPr="005C3300">
              <w:rPr>
                <w:rFonts w:ascii="Times New Roman" w:eastAsia="Arial Unicode MS" w:hAnsi="Times New Roman" w:cs="Times New Roman"/>
                <w:color w:val="000000" w:themeColor="text1"/>
                <w:sz w:val="20"/>
                <w:szCs w:val="20"/>
              </w:rPr>
              <w:t>a</w:t>
            </w:r>
            <w:proofErr w:type="gramEnd"/>
            <w:r w:rsidRPr="005C3300">
              <w:rPr>
                <w:rFonts w:ascii="Times New Roman" w:eastAsia="Arial Unicode MS" w:hAnsi="Times New Roman" w:cs="Times New Roman"/>
                <w:color w:val="000000" w:themeColor="text1"/>
                <w:sz w:val="20"/>
                <w:szCs w:val="20"/>
              </w:rPr>
              <w:t> </w:t>
            </w:r>
            <w:proofErr w:type="spellStart"/>
            <w:r w:rsidRPr="005C3300">
              <w:rPr>
                <w:rFonts w:ascii="Times New Roman" w:eastAsia="Arial Unicode MS" w:hAnsi="Times New Roman" w:cs="Times New Roman"/>
                <w:color w:val="000000" w:themeColor="text1"/>
                <w:sz w:val="20"/>
                <w:szCs w:val="20"/>
              </w:rPr>
              <w:t>expunerii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ajustarea</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volatilitate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neconcordanța</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monede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H</w:t>
            </w:r>
            <w:r w:rsidRPr="005C3300">
              <w:rPr>
                <w:rStyle w:val="subscript"/>
                <w:rFonts w:ascii="Times New Roman" w:eastAsia="Arial Unicode MS" w:hAnsi="Times New Roman" w:cs="Times New Roman"/>
                <w:color w:val="000000" w:themeColor="text1"/>
                <w:sz w:val="20"/>
                <w:szCs w:val="20"/>
                <w:vertAlign w:val="subscript"/>
              </w:rPr>
              <w:t>fx</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aceeași</w:t>
            </w:r>
            <w:proofErr w:type="spellEnd"/>
            <w:r w:rsidRPr="005C3300">
              <w:rPr>
                <w:rFonts w:ascii="Times New Roman" w:eastAsia="Arial Unicode MS" w:hAnsi="Times New Roman" w:cs="Times New Roman"/>
                <w:color w:val="000000" w:themeColor="text1"/>
                <w:sz w:val="20"/>
                <w:szCs w:val="20"/>
              </w:rPr>
              <w:t xml:space="preserve"> cu </w:t>
            </w:r>
            <w:proofErr w:type="spellStart"/>
            <w:r w:rsidRPr="005C3300">
              <w:rPr>
                <w:rFonts w:ascii="Times New Roman" w:eastAsia="Arial Unicode MS" w:hAnsi="Times New Roman" w:cs="Times New Roman"/>
                <w:color w:val="000000" w:themeColor="text1"/>
                <w:sz w:val="20"/>
                <w:szCs w:val="20"/>
              </w:rPr>
              <w:t>cea</w:t>
            </w:r>
            <w:proofErr w:type="spellEnd"/>
            <w:r w:rsidRPr="005C3300">
              <w:rPr>
                <w:rFonts w:ascii="Times New Roman" w:eastAsia="Arial Unicode MS" w:hAnsi="Times New Roman" w:cs="Times New Roman"/>
                <w:color w:val="000000" w:themeColor="text1"/>
                <w:sz w:val="20"/>
                <w:szCs w:val="20"/>
              </w:rPr>
              <w:t xml:space="preserve"> care se </w:t>
            </w:r>
            <w:proofErr w:type="spellStart"/>
            <w:r w:rsidRPr="005C3300">
              <w:rPr>
                <w:rFonts w:ascii="Times New Roman" w:eastAsia="Arial Unicode MS" w:hAnsi="Times New Roman" w:cs="Times New Roman"/>
                <w:color w:val="000000" w:themeColor="text1"/>
                <w:sz w:val="20"/>
                <w:szCs w:val="20"/>
              </w:rPr>
              <w:t>aplică</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temeiul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punctelor</w:t>
            </w:r>
            <w:proofErr w:type="spellEnd"/>
            <w:r w:rsidRPr="005C3300">
              <w:rPr>
                <w:rFonts w:ascii="Times New Roman" w:eastAsia="Arial Unicode MS" w:hAnsi="Times New Roman" w:cs="Times New Roman"/>
                <w:color w:val="000000" w:themeColor="text1"/>
                <w:sz w:val="20"/>
                <w:szCs w:val="20"/>
              </w:rPr>
              <w:t xml:space="preserve"> 95-105</w:t>
            </w:r>
            <w:r>
              <w:rPr>
                <w:rFonts w:ascii="Times New Roman" w:eastAsia="Arial Unicode MS" w:hAnsi="Times New Roman" w:cs="Times New Roman"/>
                <w:color w:val="000000" w:themeColor="text1"/>
                <w:sz w:val="20"/>
                <w:szCs w:val="20"/>
              </w:rPr>
              <w:t>.</w:t>
            </w:r>
          </w:p>
          <w:p w14:paraId="79B6F2F2" w14:textId="0582EA93" w:rsidR="004C4797" w:rsidRPr="004C4797" w:rsidRDefault="004C4797" w:rsidP="004C4797">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7A9327AB" w14:textId="090CBABD" w:rsidR="00894803" w:rsidRPr="002C32BA" w:rsidDel="00326BF0" w:rsidRDefault="004C6A38" w:rsidP="00D62F3C">
            <w:pPr>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885" w:type="pct"/>
          </w:tcPr>
          <w:p w14:paraId="7A65D1C4" w14:textId="77777777" w:rsidR="00894803" w:rsidRPr="002C32BA" w:rsidRDefault="00894803" w:rsidP="00D62F3C">
            <w:pPr>
              <w:rPr>
                <w:rFonts w:ascii="Times New Roman" w:hAnsi="Times New Roman" w:cs="Times New Roman"/>
                <w:sz w:val="20"/>
                <w:szCs w:val="20"/>
                <w:lang w:val="ro-RO"/>
              </w:rPr>
            </w:pPr>
          </w:p>
        </w:tc>
      </w:tr>
      <w:tr w:rsidR="004C6A38" w:rsidRPr="002C32BA" w14:paraId="7B75222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7661648F" w14:textId="77777777" w:rsidR="004C6A38" w:rsidRDefault="004C6A38" w:rsidP="004C6A38">
            <w:pPr>
              <w:pStyle w:val="CM4"/>
              <w:tabs>
                <w:tab w:val="left" w:pos="150"/>
              </w:tabs>
              <w:ind w:left="-43"/>
              <w:jc w:val="both"/>
              <w:rPr>
                <w:rFonts w:ascii="Times New Roman" w:hAnsi="Times New Roman"/>
                <w:color w:val="000000" w:themeColor="text1"/>
                <w:sz w:val="20"/>
                <w:szCs w:val="20"/>
                <w:lang w:val="ro-RO" w:eastAsia="ru-RU"/>
              </w:rPr>
            </w:pPr>
            <w:r w:rsidRPr="00894803">
              <w:rPr>
                <w:rFonts w:ascii="Times New Roman" w:hAnsi="Times New Roman"/>
                <w:color w:val="000000" w:themeColor="text1"/>
                <w:sz w:val="20"/>
                <w:szCs w:val="20"/>
                <w:lang w:val="ro-RO" w:eastAsia="ru-RU"/>
              </w:rPr>
              <w:t>(4)   Ca alternativă la tratamentul prevăzut la alineatele (1) și (2) de la prezentul articol și sub rezerva articolului 124 alineatul (9), instituțiile pot atribui o pondere de risc de 50 % pentru partea din expunere care este, în limitele stabilite la articolul 125 alineatul (1) primul paragraf și, respectiv, la articolul 126 alineatul (1) primul paragraf, garantată integral cu bunuri imobile locative sau comerciale situate pe teritoriul unui stat membru, dacă sunt îndeplinite toate condițiile prevăzute la articolul 199 alineatul (3) sau (4).</w:t>
            </w:r>
          </w:p>
          <w:p w14:paraId="7D849F50" w14:textId="3FBF0FBA" w:rsidR="004C4797" w:rsidRPr="004C4797" w:rsidRDefault="004C4797" w:rsidP="004C4797">
            <w:pPr>
              <w:rPr>
                <w:lang w:val="ro-RO" w:eastAsia="ru-RU"/>
              </w:rPr>
            </w:pPr>
          </w:p>
        </w:tc>
        <w:tc>
          <w:tcPr>
            <w:tcW w:w="1636" w:type="pct"/>
          </w:tcPr>
          <w:p w14:paraId="14D7E6C0" w14:textId="77777777" w:rsidR="004C4797" w:rsidRDefault="004C4797" w:rsidP="004C6A38">
            <w:pPr>
              <w:spacing w:after="0" w:line="240" w:lineRule="auto"/>
              <w:rPr>
                <w:rFonts w:ascii="Times New Roman" w:eastAsia="Arial Unicode MS" w:hAnsi="Times New Roman" w:cs="Times New Roman"/>
                <w:color w:val="000000" w:themeColor="text1"/>
                <w:sz w:val="20"/>
                <w:szCs w:val="20"/>
              </w:rPr>
            </w:pPr>
            <w:r w:rsidRPr="005C3300">
              <w:rPr>
                <w:rFonts w:ascii="Times New Roman" w:hAnsi="Times New Roman" w:cs="Times New Roman"/>
                <w:b/>
                <w:bCs/>
                <w:color w:val="000000" w:themeColor="text1"/>
                <w:sz w:val="20"/>
                <w:szCs w:val="20"/>
                <w:lang w:val="ro-RO"/>
              </w:rPr>
              <w:t>107</w:t>
            </w:r>
            <w:r w:rsidRPr="005C3300">
              <w:rPr>
                <w:rFonts w:ascii="Times New Roman" w:hAnsi="Times New Roman" w:cs="Times New Roman"/>
                <w:b/>
                <w:bCs/>
                <w:color w:val="000000" w:themeColor="text1"/>
                <w:sz w:val="20"/>
                <w:szCs w:val="20"/>
                <w:vertAlign w:val="superscript"/>
                <w:lang w:val="ro-RO"/>
              </w:rPr>
              <w:t>9</w:t>
            </w:r>
            <w:r w:rsidRPr="005C3300">
              <w:rPr>
                <w:rFonts w:ascii="Times New Roman" w:hAnsi="Times New Roman" w:cs="Times New Roman"/>
                <w:b/>
                <w:bCs/>
                <w:color w:val="000000" w:themeColor="text1"/>
                <w:sz w:val="20"/>
                <w:szCs w:val="20"/>
                <w:lang w:val="ro-RO"/>
              </w:rPr>
              <w:t xml:space="preserve">. </w:t>
            </w:r>
            <w:r w:rsidRPr="005C3300">
              <w:rPr>
                <w:rFonts w:ascii="Times New Roman" w:eastAsia="Arial Unicode MS" w:hAnsi="Times New Roman" w:cs="Times New Roman"/>
                <w:color w:val="000000" w:themeColor="text1"/>
                <w:sz w:val="20"/>
                <w:szCs w:val="20"/>
              </w:rPr>
              <w:t xml:space="preserve">Ca </w:t>
            </w:r>
            <w:proofErr w:type="spellStart"/>
            <w:r w:rsidRPr="005C3300">
              <w:rPr>
                <w:rFonts w:ascii="Times New Roman" w:eastAsia="Arial Unicode MS" w:hAnsi="Times New Roman" w:cs="Times New Roman"/>
                <w:color w:val="000000" w:themeColor="text1"/>
                <w:sz w:val="20"/>
                <w:szCs w:val="20"/>
              </w:rPr>
              <w:t>alternativă</w:t>
            </w:r>
            <w:proofErr w:type="spellEnd"/>
            <w:r w:rsidRPr="005C3300">
              <w:rPr>
                <w:rFonts w:ascii="Times New Roman" w:eastAsia="Arial Unicode MS" w:hAnsi="Times New Roman" w:cs="Times New Roman"/>
                <w:color w:val="000000" w:themeColor="text1"/>
                <w:sz w:val="20"/>
                <w:szCs w:val="20"/>
              </w:rPr>
              <w:t xml:space="preserve"> la </w:t>
            </w:r>
            <w:proofErr w:type="spellStart"/>
            <w:r w:rsidRPr="005C3300">
              <w:rPr>
                <w:rFonts w:ascii="Times New Roman" w:eastAsia="Arial Unicode MS" w:hAnsi="Times New Roman" w:cs="Times New Roman"/>
                <w:color w:val="000000" w:themeColor="text1"/>
                <w:sz w:val="20"/>
                <w:szCs w:val="20"/>
              </w:rPr>
              <w:t>tratamentul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prevăzut</w:t>
            </w:r>
            <w:proofErr w:type="spellEnd"/>
            <w:r w:rsidRPr="005C3300">
              <w:rPr>
                <w:rFonts w:ascii="Times New Roman" w:eastAsia="Arial Unicode MS" w:hAnsi="Times New Roman" w:cs="Times New Roman"/>
                <w:color w:val="000000" w:themeColor="text1"/>
                <w:sz w:val="20"/>
                <w:szCs w:val="20"/>
              </w:rPr>
              <w:t xml:space="preserve"> la </w:t>
            </w:r>
            <w:proofErr w:type="spellStart"/>
            <w:r w:rsidRPr="005C3300">
              <w:rPr>
                <w:rFonts w:ascii="Times New Roman" w:eastAsia="Arial Unicode MS" w:hAnsi="Times New Roman" w:cs="Times New Roman"/>
                <w:color w:val="000000" w:themeColor="text1"/>
                <w:sz w:val="20"/>
                <w:szCs w:val="20"/>
              </w:rPr>
              <w:t>punctele</w:t>
            </w:r>
            <w:proofErr w:type="spellEnd"/>
            <w:r w:rsidRPr="005C3300">
              <w:rPr>
                <w:rFonts w:ascii="Times New Roman" w:eastAsia="Arial Unicode MS" w:hAnsi="Times New Roman" w:cs="Times New Roman"/>
                <w:color w:val="000000" w:themeColor="text1"/>
                <w:sz w:val="20"/>
                <w:szCs w:val="20"/>
              </w:rPr>
              <w:t xml:space="preserve"> 107</w:t>
            </w:r>
            <w:r w:rsidRPr="005C3300">
              <w:rPr>
                <w:rFonts w:ascii="Times New Roman" w:eastAsia="Arial Unicode MS" w:hAnsi="Times New Roman" w:cs="Times New Roman"/>
                <w:color w:val="000000" w:themeColor="text1"/>
                <w:sz w:val="20"/>
                <w:szCs w:val="20"/>
                <w:vertAlign w:val="superscript"/>
              </w:rPr>
              <w:t>6</w:t>
            </w:r>
            <w:r w:rsidRPr="005C3300">
              <w:rPr>
                <w:rFonts w:ascii="Times New Roman" w:eastAsia="Arial Unicode MS" w:hAnsi="Times New Roman" w:cs="Times New Roman"/>
                <w:color w:val="000000" w:themeColor="text1"/>
                <w:sz w:val="20"/>
                <w:szCs w:val="20"/>
              </w:rPr>
              <w:t>-107</w:t>
            </w:r>
            <w:r w:rsidRPr="005C3300">
              <w:rPr>
                <w:rFonts w:ascii="Times New Roman" w:eastAsia="Arial Unicode MS" w:hAnsi="Times New Roman" w:cs="Times New Roman"/>
                <w:color w:val="000000" w:themeColor="text1"/>
                <w:sz w:val="20"/>
                <w:szCs w:val="20"/>
                <w:vertAlign w:val="superscript"/>
              </w:rPr>
              <w:t>7</w:t>
            </w:r>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și</w:t>
            </w:r>
            <w:proofErr w:type="spellEnd"/>
            <w:r w:rsidRPr="005C3300">
              <w:rPr>
                <w:rFonts w:ascii="Times New Roman" w:eastAsia="Arial Unicode MS" w:hAnsi="Times New Roman" w:cs="Times New Roman"/>
                <w:color w:val="000000" w:themeColor="text1"/>
                <w:sz w:val="20"/>
                <w:szCs w:val="20"/>
              </w:rPr>
              <w:t xml:space="preserve"> sub </w:t>
            </w:r>
            <w:proofErr w:type="spellStart"/>
            <w:r w:rsidRPr="005C3300">
              <w:rPr>
                <w:rFonts w:ascii="Times New Roman" w:eastAsia="Arial Unicode MS" w:hAnsi="Times New Roman" w:cs="Times New Roman"/>
                <w:color w:val="000000" w:themeColor="text1"/>
                <w:sz w:val="20"/>
                <w:szCs w:val="20"/>
              </w:rPr>
              <w:t>rezerva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punctelor</w:t>
            </w:r>
            <w:proofErr w:type="spellEnd"/>
            <w:r w:rsidRPr="005C3300">
              <w:rPr>
                <w:rFonts w:ascii="Times New Roman" w:eastAsia="Arial Unicode MS" w:hAnsi="Times New Roman" w:cs="Times New Roman"/>
                <w:color w:val="000000" w:themeColor="text1"/>
                <w:sz w:val="20"/>
                <w:szCs w:val="20"/>
              </w:rPr>
              <w:t xml:space="preserve"> 683-686 din </w:t>
            </w:r>
            <w:proofErr w:type="spellStart"/>
            <w:r w:rsidRPr="005C3300">
              <w:rPr>
                <w:rFonts w:ascii="Times New Roman" w:eastAsia="Arial Unicode MS" w:hAnsi="Times New Roman" w:cs="Times New Roman"/>
                <w:color w:val="000000" w:themeColor="text1"/>
                <w:sz w:val="20"/>
                <w:szCs w:val="20"/>
              </w:rPr>
              <w:t>regulamentul</w:t>
            </w:r>
            <w:proofErr w:type="spellEnd"/>
            <w:r w:rsidRPr="005C3300">
              <w:rPr>
                <w:rFonts w:ascii="Times New Roman" w:eastAsia="Arial Unicode MS" w:hAnsi="Times New Roman" w:cs="Times New Roman"/>
                <w:color w:val="000000" w:themeColor="text1"/>
                <w:sz w:val="20"/>
                <w:szCs w:val="20"/>
              </w:rPr>
              <w:t xml:space="preserve"> nr.111/2018, </w:t>
            </w:r>
            <w:proofErr w:type="spellStart"/>
            <w:r w:rsidRPr="005C3300">
              <w:rPr>
                <w:rFonts w:ascii="Times New Roman" w:eastAsia="Arial Unicode MS" w:hAnsi="Times New Roman" w:cs="Times New Roman"/>
                <w:color w:val="000000" w:themeColor="text1"/>
                <w:sz w:val="20"/>
                <w:szCs w:val="20"/>
              </w:rPr>
              <w:t>băncile</w:t>
            </w:r>
            <w:proofErr w:type="spellEnd"/>
            <w:r w:rsidRPr="005C3300">
              <w:rPr>
                <w:rFonts w:ascii="Times New Roman" w:eastAsia="Arial Unicode MS" w:hAnsi="Times New Roman" w:cs="Times New Roman"/>
                <w:color w:val="000000" w:themeColor="text1"/>
                <w:sz w:val="20"/>
                <w:szCs w:val="20"/>
              </w:rPr>
              <w:t xml:space="preserve"> pot </w:t>
            </w:r>
            <w:proofErr w:type="spellStart"/>
            <w:r w:rsidRPr="005C3300">
              <w:rPr>
                <w:rFonts w:ascii="Times New Roman" w:eastAsia="Arial Unicode MS" w:hAnsi="Times New Roman" w:cs="Times New Roman"/>
                <w:color w:val="000000" w:themeColor="text1"/>
                <w:sz w:val="20"/>
                <w:szCs w:val="20"/>
              </w:rPr>
              <w:t>atribui</w:t>
            </w:r>
            <w:proofErr w:type="spellEnd"/>
            <w:r w:rsidRPr="005C3300">
              <w:rPr>
                <w:rFonts w:ascii="Times New Roman" w:eastAsia="Arial Unicode MS" w:hAnsi="Times New Roman" w:cs="Times New Roman"/>
                <w:color w:val="000000" w:themeColor="text1"/>
                <w:sz w:val="20"/>
                <w:szCs w:val="20"/>
              </w:rPr>
              <w:t xml:space="preserve"> o </w:t>
            </w:r>
            <w:proofErr w:type="spellStart"/>
            <w:r w:rsidRPr="005C3300">
              <w:rPr>
                <w:rFonts w:ascii="Times New Roman" w:eastAsia="Arial Unicode MS" w:hAnsi="Times New Roman" w:cs="Times New Roman"/>
                <w:color w:val="000000" w:themeColor="text1"/>
                <w:sz w:val="20"/>
                <w:szCs w:val="20"/>
              </w:rPr>
              <w:t>pondere</w:t>
            </w:r>
            <w:proofErr w:type="spellEnd"/>
            <w:r w:rsidRPr="005C3300">
              <w:rPr>
                <w:rFonts w:ascii="Times New Roman" w:eastAsia="Arial Unicode MS" w:hAnsi="Times New Roman" w:cs="Times New Roman"/>
                <w:color w:val="000000" w:themeColor="text1"/>
                <w:sz w:val="20"/>
                <w:szCs w:val="20"/>
              </w:rPr>
              <w:t xml:space="preserve"> de </w:t>
            </w:r>
            <w:proofErr w:type="spellStart"/>
            <w:r w:rsidRPr="005C3300">
              <w:rPr>
                <w:rFonts w:ascii="Times New Roman" w:eastAsia="Arial Unicode MS" w:hAnsi="Times New Roman" w:cs="Times New Roman"/>
                <w:color w:val="000000" w:themeColor="text1"/>
                <w:sz w:val="20"/>
                <w:szCs w:val="20"/>
              </w:rPr>
              <w:t>risc</w:t>
            </w:r>
            <w:proofErr w:type="spellEnd"/>
            <w:r w:rsidRPr="005C3300">
              <w:rPr>
                <w:rFonts w:ascii="Times New Roman" w:eastAsia="Arial Unicode MS" w:hAnsi="Times New Roman" w:cs="Times New Roman"/>
                <w:color w:val="000000" w:themeColor="text1"/>
                <w:sz w:val="20"/>
                <w:szCs w:val="20"/>
              </w:rPr>
              <w:t xml:space="preserve"> de 50 %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partea</w:t>
            </w:r>
            <w:proofErr w:type="spellEnd"/>
            <w:r w:rsidRPr="005C3300">
              <w:rPr>
                <w:rFonts w:ascii="Times New Roman" w:eastAsia="Arial Unicode MS" w:hAnsi="Times New Roman" w:cs="Times New Roman"/>
                <w:color w:val="000000" w:themeColor="text1"/>
                <w:sz w:val="20"/>
                <w:szCs w:val="20"/>
              </w:rPr>
              <w:t xml:space="preserve"> din </w:t>
            </w:r>
            <w:proofErr w:type="spellStart"/>
            <w:r w:rsidRPr="005C3300">
              <w:rPr>
                <w:rFonts w:ascii="Times New Roman" w:eastAsia="Arial Unicode MS" w:hAnsi="Times New Roman" w:cs="Times New Roman"/>
                <w:color w:val="000000" w:themeColor="text1"/>
                <w:sz w:val="20"/>
                <w:szCs w:val="20"/>
              </w:rPr>
              <w:t>expunere</w:t>
            </w:r>
            <w:proofErr w:type="spellEnd"/>
            <w:r w:rsidRPr="005C3300">
              <w:rPr>
                <w:rFonts w:ascii="Times New Roman" w:eastAsia="Arial Unicode MS" w:hAnsi="Times New Roman" w:cs="Times New Roman"/>
                <w:color w:val="000000" w:themeColor="text1"/>
                <w:sz w:val="20"/>
                <w:szCs w:val="20"/>
              </w:rPr>
              <w:t xml:space="preserve"> care </w:t>
            </w:r>
            <w:proofErr w:type="spellStart"/>
            <w:r w:rsidRPr="005C3300">
              <w:rPr>
                <w:rFonts w:ascii="Times New Roman" w:eastAsia="Arial Unicode MS" w:hAnsi="Times New Roman" w:cs="Times New Roman"/>
                <w:color w:val="000000" w:themeColor="text1"/>
                <w:sz w:val="20"/>
                <w:szCs w:val="20"/>
              </w:rPr>
              <w:t>este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limitele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stabilite</w:t>
            </w:r>
            <w:proofErr w:type="spellEnd"/>
            <w:r w:rsidRPr="005C3300">
              <w:rPr>
                <w:rFonts w:ascii="Times New Roman" w:eastAsia="Arial Unicode MS" w:hAnsi="Times New Roman" w:cs="Times New Roman"/>
                <w:color w:val="000000" w:themeColor="text1"/>
                <w:sz w:val="20"/>
                <w:szCs w:val="20"/>
              </w:rPr>
              <w:t xml:space="preserve"> la </w:t>
            </w:r>
            <w:proofErr w:type="spellStart"/>
            <w:r w:rsidRPr="005C3300">
              <w:rPr>
                <w:rFonts w:ascii="Times New Roman" w:eastAsia="Arial Unicode MS" w:hAnsi="Times New Roman" w:cs="Times New Roman"/>
                <w:color w:val="000000" w:themeColor="text1"/>
                <w:sz w:val="20"/>
                <w:szCs w:val="20"/>
              </w:rPr>
              <w:t>punctele</w:t>
            </w:r>
            <w:proofErr w:type="spellEnd"/>
            <w:r w:rsidRPr="005C3300">
              <w:rPr>
                <w:rFonts w:ascii="Times New Roman" w:eastAsia="Arial Unicode MS" w:hAnsi="Times New Roman" w:cs="Times New Roman"/>
                <w:color w:val="000000" w:themeColor="text1"/>
                <w:sz w:val="20"/>
                <w:szCs w:val="20"/>
              </w:rPr>
              <w:t xml:space="preserve"> 69 </w:t>
            </w:r>
            <w:proofErr w:type="spellStart"/>
            <w:r w:rsidRPr="005C3300">
              <w:rPr>
                <w:rFonts w:ascii="Times New Roman" w:eastAsia="Arial Unicode MS" w:hAnsi="Times New Roman" w:cs="Times New Roman"/>
                <w:color w:val="000000" w:themeColor="text1"/>
                <w:sz w:val="20"/>
                <w:szCs w:val="20"/>
              </w:rPr>
              <w:t>și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respectiv</w:t>
            </w:r>
            <w:proofErr w:type="spellEnd"/>
            <w:r w:rsidRPr="005C3300">
              <w:rPr>
                <w:rFonts w:ascii="Times New Roman" w:eastAsia="Arial Unicode MS" w:hAnsi="Times New Roman" w:cs="Times New Roman"/>
                <w:color w:val="000000" w:themeColor="text1"/>
                <w:sz w:val="20"/>
                <w:szCs w:val="20"/>
              </w:rPr>
              <w:t xml:space="preserve">, 71 din </w:t>
            </w:r>
            <w:proofErr w:type="spellStart"/>
            <w:r w:rsidRPr="005C3300">
              <w:rPr>
                <w:rFonts w:ascii="Times New Roman" w:eastAsia="Arial Unicode MS" w:hAnsi="Times New Roman" w:cs="Times New Roman"/>
                <w:color w:val="000000" w:themeColor="text1"/>
                <w:sz w:val="20"/>
                <w:szCs w:val="20"/>
              </w:rPr>
              <w:t>Regulamentul</w:t>
            </w:r>
            <w:proofErr w:type="spellEnd"/>
            <w:r w:rsidRPr="005C3300">
              <w:rPr>
                <w:rFonts w:ascii="Times New Roman" w:eastAsia="Arial Unicode MS" w:hAnsi="Times New Roman" w:cs="Times New Roman"/>
                <w:color w:val="000000" w:themeColor="text1"/>
                <w:sz w:val="20"/>
                <w:szCs w:val="20"/>
              </w:rPr>
              <w:t xml:space="preserve"> nr.111/2018, </w:t>
            </w:r>
            <w:proofErr w:type="spellStart"/>
            <w:r w:rsidRPr="005C3300">
              <w:rPr>
                <w:rFonts w:ascii="Times New Roman" w:eastAsia="Arial Unicode MS" w:hAnsi="Times New Roman" w:cs="Times New Roman"/>
                <w:color w:val="000000" w:themeColor="text1"/>
                <w:sz w:val="20"/>
                <w:szCs w:val="20"/>
              </w:rPr>
              <w:t>garantată</w:t>
            </w:r>
            <w:proofErr w:type="spellEnd"/>
            <w:r w:rsidRPr="005C3300">
              <w:rPr>
                <w:rFonts w:ascii="Times New Roman" w:eastAsia="Arial Unicode MS" w:hAnsi="Times New Roman" w:cs="Times New Roman"/>
                <w:color w:val="000000" w:themeColor="text1"/>
                <w:sz w:val="20"/>
                <w:szCs w:val="20"/>
              </w:rPr>
              <w:t xml:space="preserve"> integral cu </w:t>
            </w:r>
            <w:proofErr w:type="spellStart"/>
            <w:r w:rsidRPr="005C3300">
              <w:rPr>
                <w:rFonts w:ascii="Times New Roman" w:eastAsia="Arial Unicode MS" w:hAnsi="Times New Roman" w:cs="Times New Roman"/>
                <w:color w:val="000000" w:themeColor="text1"/>
                <w:sz w:val="20"/>
                <w:szCs w:val="20"/>
              </w:rPr>
              <w:t>bunuri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imobile</w:t>
            </w:r>
            <w:proofErr w:type="spellEnd"/>
            <w:r w:rsidRPr="005C3300">
              <w:rPr>
                <w:rFonts w:ascii="Times New Roman" w:eastAsia="Arial Unicode MS" w:hAnsi="Times New Roman" w:cs="Times New Roman"/>
                <w:color w:val="000000" w:themeColor="text1"/>
                <w:sz w:val="20"/>
                <w:szCs w:val="20"/>
              </w:rPr>
              <w:t xml:space="preserve"> locative </w:t>
            </w:r>
            <w:proofErr w:type="spellStart"/>
            <w:r w:rsidRPr="005C3300">
              <w:rPr>
                <w:rFonts w:ascii="Times New Roman" w:eastAsia="Arial Unicode MS" w:hAnsi="Times New Roman" w:cs="Times New Roman"/>
                <w:color w:val="000000" w:themeColor="text1"/>
                <w:sz w:val="20"/>
                <w:szCs w:val="20"/>
              </w:rPr>
              <w:t>sau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comerciale</w:t>
            </w:r>
            <w:proofErr w:type="spellEnd"/>
            <w:r w:rsidRPr="005C3300">
              <w:rPr>
                <w:rFonts w:ascii="Times New Roman" w:eastAsia="Arial Unicode MS" w:hAnsi="Times New Roman" w:cs="Times New Roman"/>
                <w:color w:val="000000" w:themeColor="text1"/>
                <w:sz w:val="20"/>
                <w:szCs w:val="20"/>
              </w:rPr>
              <w:t xml:space="preserve"> situate pe </w:t>
            </w:r>
            <w:proofErr w:type="spellStart"/>
            <w:r w:rsidRPr="005C3300">
              <w:rPr>
                <w:rFonts w:ascii="Times New Roman" w:eastAsia="Arial Unicode MS" w:hAnsi="Times New Roman" w:cs="Times New Roman"/>
                <w:color w:val="000000" w:themeColor="text1"/>
                <w:sz w:val="20"/>
                <w:szCs w:val="20"/>
              </w:rPr>
              <w:t>teritoriul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unui</w:t>
            </w:r>
            <w:proofErr w:type="spellEnd"/>
            <w:r w:rsidRPr="005C3300">
              <w:rPr>
                <w:rFonts w:ascii="Times New Roman" w:eastAsia="Arial Unicode MS" w:hAnsi="Times New Roman" w:cs="Times New Roman"/>
                <w:color w:val="000000" w:themeColor="text1"/>
                <w:sz w:val="20"/>
                <w:szCs w:val="20"/>
              </w:rPr>
              <w:t xml:space="preserve"> stat </w:t>
            </w:r>
            <w:proofErr w:type="spellStart"/>
            <w:r w:rsidRPr="005C3300">
              <w:rPr>
                <w:rFonts w:ascii="Times New Roman" w:eastAsia="Arial Unicode MS" w:hAnsi="Times New Roman" w:cs="Times New Roman"/>
                <w:color w:val="000000" w:themeColor="text1"/>
                <w:sz w:val="20"/>
                <w:szCs w:val="20"/>
              </w:rPr>
              <w:t>membru</w:t>
            </w:r>
            <w:proofErr w:type="spellEnd"/>
            <w:r w:rsidRPr="005C3300">
              <w:rPr>
                <w:rFonts w:ascii="Times New Roman" w:eastAsia="Arial Unicode MS" w:hAnsi="Times New Roman" w:cs="Times New Roman"/>
                <w:color w:val="000000" w:themeColor="text1"/>
                <w:sz w:val="20"/>
                <w:szCs w:val="20"/>
              </w:rPr>
              <w:t xml:space="preserve"> al </w:t>
            </w:r>
            <w:proofErr w:type="spellStart"/>
            <w:r w:rsidRPr="005C3300">
              <w:rPr>
                <w:rFonts w:ascii="Times New Roman" w:eastAsia="Arial Unicode MS" w:hAnsi="Times New Roman" w:cs="Times New Roman"/>
                <w:color w:val="000000" w:themeColor="text1"/>
                <w:sz w:val="20"/>
                <w:szCs w:val="20"/>
              </w:rPr>
              <w:t>Uniunii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Europene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dacă</w:t>
            </w:r>
            <w:proofErr w:type="spellEnd"/>
            <w:r w:rsidRPr="005C3300">
              <w:rPr>
                <w:rFonts w:ascii="Times New Roman" w:eastAsia="Arial Unicode MS" w:hAnsi="Times New Roman" w:cs="Times New Roman"/>
                <w:color w:val="000000" w:themeColor="text1"/>
                <w:sz w:val="20"/>
                <w:szCs w:val="20"/>
              </w:rPr>
              <w:t xml:space="preserve"> sunt </w:t>
            </w:r>
            <w:proofErr w:type="spellStart"/>
            <w:r w:rsidRPr="005C3300">
              <w:rPr>
                <w:rFonts w:ascii="Times New Roman" w:eastAsia="Arial Unicode MS" w:hAnsi="Times New Roman" w:cs="Times New Roman"/>
                <w:color w:val="000000" w:themeColor="text1"/>
                <w:sz w:val="20"/>
                <w:szCs w:val="20"/>
              </w:rPr>
              <w:t>îndeplinite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toate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condițiile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prevăzute</w:t>
            </w:r>
            <w:proofErr w:type="spellEnd"/>
            <w:r w:rsidRPr="005C3300">
              <w:rPr>
                <w:rFonts w:ascii="Times New Roman" w:eastAsia="Arial Unicode MS" w:hAnsi="Times New Roman" w:cs="Times New Roman"/>
                <w:color w:val="000000" w:themeColor="text1"/>
                <w:sz w:val="20"/>
                <w:szCs w:val="20"/>
              </w:rPr>
              <w:t xml:space="preserve"> la </w:t>
            </w:r>
            <w:proofErr w:type="spellStart"/>
            <w:r w:rsidRPr="005C3300">
              <w:rPr>
                <w:rFonts w:ascii="Times New Roman" w:eastAsia="Arial Unicode MS" w:hAnsi="Times New Roman" w:cs="Times New Roman"/>
                <w:color w:val="000000" w:themeColor="text1"/>
                <w:sz w:val="20"/>
                <w:szCs w:val="20"/>
              </w:rPr>
              <w:t>punctele</w:t>
            </w:r>
            <w:proofErr w:type="spellEnd"/>
            <w:r w:rsidRPr="005C3300">
              <w:rPr>
                <w:rFonts w:ascii="Times New Roman" w:eastAsia="Arial Unicode MS" w:hAnsi="Times New Roman" w:cs="Times New Roman"/>
                <w:color w:val="000000" w:themeColor="text1"/>
                <w:sz w:val="20"/>
                <w:szCs w:val="20"/>
              </w:rPr>
              <w:t xml:space="preserve"> 34</w:t>
            </w:r>
            <w:r w:rsidRPr="005C3300">
              <w:rPr>
                <w:rFonts w:ascii="Times New Roman" w:eastAsia="Arial Unicode MS" w:hAnsi="Times New Roman" w:cs="Times New Roman"/>
                <w:color w:val="000000" w:themeColor="text1"/>
                <w:sz w:val="20"/>
                <w:szCs w:val="20"/>
                <w:vertAlign w:val="superscript"/>
              </w:rPr>
              <w:t>4</w:t>
            </w:r>
            <w:r w:rsidRPr="005C3300">
              <w:rPr>
                <w:rFonts w:ascii="Times New Roman" w:eastAsia="Arial Unicode MS" w:hAnsi="Times New Roman" w:cs="Times New Roman"/>
                <w:color w:val="000000" w:themeColor="text1"/>
                <w:sz w:val="20"/>
                <w:szCs w:val="20"/>
              </w:rPr>
              <w:t>-34</w:t>
            </w:r>
            <w:r w:rsidRPr="005C3300">
              <w:rPr>
                <w:rFonts w:ascii="Times New Roman" w:eastAsia="Arial Unicode MS" w:hAnsi="Times New Roman" w:cs="Times New Roman"/>
                <w:color w:val="000000" w:themeColor="text1"/>
                <w:sz w:val="20"/>
                <w:szCs w:val="20"/>
                <w:vertAlign w:val="superscript"/>
              </w:rPr>
              <w:t>5</w:t>
            </w:r>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sau</w:t>
            </w:r>
            <w:proofErr w:type="spellEnd"/>
            <w:r w:rsidRPr="005C3300">
              <w:rPr>
                <w:rFonts w:ascii="Times New Roman" w:eastAsia="Arial Unicode MS" w:hAnsi="Times New Roman" w:cs="Times New Roman"/>
                <w:color w:val="000000" w:themeColor="text1"/>
                <w:sz w:val="20"/>
                <w:szCs w:val="20"/>
              </w:rPr>
              <w:t xml:space="preserve"> 34</w:t>
            </w:r>
            <w:r w:rsidRPr="005C3300">
              <w:rPr>
                <w:rFonts w:ascii="Times New Roman" w:eastAsia="Arial Unicode MS" w:hAnsi="Times New Roman" w:cs="Times New Roman"/>
                <w:color w:val="000000" w:themeColor="text1"/>
                <w:sz w:val="20"/>
                <w:szCs w:val="20"/>
                <w:vertAlign w:val="superscript"/>
              </w:rPr>
              <w:t>6</w:t>
            </w:r>
            <w:r w:rsidRPr="005C3300">
              <w:rPr>
                <w:rFonts w:ascii="Times New Roman" w:eastAsia="Arial Unicode MS" w:hAnsi="Times New Roman" w:cs="Times New Roman"/>
                <w:color w:val="000000" w:themeColor="text1"/>
                <w:sz w:val="20"/>
                <w:szCs w:val="20"/>
              </w:rPr>
              <w:t>-34</w:t>
            </w:r>
            <w:r w:rsidRPr="005C3300">
              <w:rPr>
                <w:rFonts w:ascii="Times New Roman" w:eastAsia="Arial Unicode MS" w:hAnsi="Times New Roman" w:cs="Times New Roman"/>
                <w:color w:val="000000" w:themeColor="text1"/>
                <w:sz w:val="20"/>
                <w:szCs w:val="20"/>
                <w:vertAlign w:val="superscript"/>
              </w:rPr>
              <w:t xml:space="preserve">7 </w:t>
            </w:r>
            <w:r w:rsidRPr="005C3300">
              <w:rPr>
                <w:rFonts w:ascii="Times New Roman" w:eastAsia="Arial Unicode MS" w:hAnsi="Times New Roman" w:cs="Times New Roman"/>
                <w:color w:val="000000" w:themeColor="text1"/>
                <w:sz w:val="20"/>
                <w:szCs w:val="20"/>
              </w:rPr>
              <w:t xml:space="preserve">din </w:t>
            </w:r>
            <w:proofErr w:type="spellStart"/>
            <w:r w:rsidRPr="005C3300">
              <w:rPr>
                <w:rFonts w:ascii="Times New Roman" w:eastAsia="Arial Unicode MS" w:hAnsi="Times New Roman" w:cs="Times New Roman"/>
                <w:color w:val="000000" w:themeColor="text1"/>
                <w:sz w:val="20"/>
                <w:szCs w:val="20"/>
              </w:rPr>
              <w:t>prezentul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regulament</w:t>
            </w:r>
            <w:proofErr w:type="spellEnd"/>
            <w:r w:rsidRPr="005C3300">
              <w:rPr>
                <w:rFonts w:ascii="Times New Roman" w:eastAsia="Arial Unicode MS" w:hAnsi="Times New Roman" w:cs="Times New Roman"/>
                <w:color w:val="000000" w:themeColor="text1"/>
                <w:sz w:val="20"/>
                <w:szCs w:val="20"/>
              </w:rPr>
              <w:t>.</w:t>
            </w:r>
          </w:p>
          <w:p w14:paraId="77D8B972" w14:textId="77777777" w:rsidR="004C4797" w:rsidRDefault="004C4797" w:rsidP="004C6A38">
            <w:pPr>
              <w:spacing w:after="0" w:line="240" w:lineRule="auto"/>
              <w:rPr>
                <w:rFonts w:ascii="Times New Roman" w:eastAsia="Times New Roman" w:hAnsi="Times New Roman" w:cs="Times New Roman"/>
                <w:color w:val="000000" w:themeColor="text1"/>
                <w:sz w:val="20"/>
                <w:szCs w:val="20"/>
                <w:lang w:val="ro-RO" w:eastAsia="ro-MD"/>
              </w:rPr>
            </w:pPr>
          </w:p>
          <w:p w14:paraId="63E0C0CA" w14:textId="16D4AC0A" w:rsidR="004C6A38" w:rsidRPr="002C32BA" w:rsidRDefault="004C4797" w:rsidP="004C6A38">
            <w:pPr>
              <w:spacing w:after="0" w:line="240" w:lineRule="auto"/>
              <w:rPr>
                <w:rFonts w:ascii="Times New Roman" w:hAnsi="Times New Roman" w:cs="Times New Roman"/>
                <w:b/>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4050E19F" w14:textId="62717DEC" w:rsidR="004C6A38" w:rsidRPr="002C32BA" w:rsidDel="00326BF0" w:rsidRDefault="004C6A38" w:rsidP="004C6A38">
            <w:pPr>
              <w:rPr>
                <w:rFonts w:ascii="Times New Roman" w:hAnsi="Times New Roman" w:cs="Times New Roman"/>
                <w:sz w:val="20"/>
                <w:szCs w:val="20"/>
                <w:lang w:val="ro-RO"/>
              </w:rPr>
            </w:pPr>
            <w:r w:rsidRPr="00E36BC8">
              <w:rPr>
                <w:rFonts w:ascii="Times New Roman" w:hAnsi="Times New Roman" w:cs="Times New Roman"/>
                <w:sz w:val="20"/>
                <w:szCs w:val="20"/>
                <w:lang w:val="ro-RO"/>
              </w:rPr>
              <w:t>Compatibil</w:t>
            </w:r>
          </w:p>
        </w:tc>
        <w:tc>
          <w:tcPr>
            <w:tcW w:w="885" w:type="pct"/>
          </w:tcPr>
          <w:p w14:paraId="79EC5B3D" w14:textId="77777777" w:rsidR="004C6A38" w:rsidRPr="002C32BA" w:rsidRDefault="004C6A38" w:rsidP="004C6A38">
            <w:pPr>
              <w:rPr>
                <w:rFonts w:ascii="Times New Roman" w:hAnsi="Times New Roman" w:cs="Times New Roman"/>
                <w:sz w:val="20"/>
                <w:szCs w:val="20"/>
                <w:lang w:val="ro-RO"/>
              </w:rPr>
            </w:pPr>
          </w:p>
        </w:tc>
      </w:tr>
      <w:tr w:rsidR="004C6A38" w:rsidRPr="002C32BA" w14:paraId="60FAE49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63273E84" w14:textId="262411D5" w:rsidR="004C6A38" w:rsidRPr="00894803" w:rsidRDefault="004C6A38" w:rsidP="004C6A38">
            <w:pPr>
              <w:pStyle w:val="CM4"/>
              <w:tabs>
                <w:tab w:val="left" w:pos="150"/>
              </w:tabs>
              <w:ind w:left="-43"/>
              <w:jc w:val="both"/>
              <w:rPr>
                <w:rFonts w:ascii="Times New Roman" w:hAnsi="Times New Roman"/>
                <w:color w:val="000000" w:themeColor="text1"/>
                <w:sz w:val="20"/>
                <w:szCs w:val="20"/>
                <w:lang w:val="ro-RO" w:eastAsia="ru-RU"/>
              </w:rPr>
            </w:pPr>
            <w:r w:rsidRPr="00894803">
              <w:rPr>
                <w:rFonts w:ascii="Times New Roman" w:hAnsi="Times New Roman"/>
                <w:color w:val="000000" w:themeColor="text1"/>
                <w:sz w:val="20"/>
                <w:szCs w:val="20"/>
                <w:lang w:val="ro-RO" w:eastAsia="ru-RU"/>
              </w:rPr>
              <w:t>(5)   Pentru a calcula cuantumurile ponderate la risc ale expunerilor și cuantumurile pierderilor așteptate pentru expunerile IRB care intră sub incidența articolului 220, instituțiile utilizează E * în conformitate cu articolul 220 alineatul (4) și LGD pentru expunerile negarantate, astfel cum se prevede la articolul 161 alineatul (1) literele (a), (</w:t>
            </w:r>
            <w:proofErr w:type="spellStart"/>
            <w:r w:rsidRPr="00894803">
              <w:rPr>
                <w:rFonts w:ascii="Times New Roman" w:hAnsi="Times New Roman"/>
                <w:color w:val="000000" w:themeColor="text1"/>
                <w:sz w:val="20"/>
                <w:szCs w:val="20"/>
                <w:lang w:val="ro-RO" w:eastAsia="ru-RU"/>
              </w:rPr>
              <w:t>aa</w:t>
            </w:r>
            <w:proofErr w:type="spellEnd"/>
            <w:r w:rsidRPr="00894803">
              <w:rPr>
                <w:rFonts w:ascii="Times New Roman" w:hAnsi="Times New Roman"/>
                <w:color w:val="000000" w:themeColor="text1"/>
                <w:sz w:val="20"/>
                <w:szCs w:val="20"/>
                <w:lang w:val="ro-RO" w:eastAsia="ru-RU"/>
              </w:rPr>
              <w:t>) și (b).</w:t>
            </w:r>
          </w:p>
        </w:tc>
        <w:tc>
          <w:tcPr>
            <w:tcW w:w="1636" w:type="pct"/>
          </w:tcPr>
          <w:p w14:paraId="71944928" w14:textId="77777777" w:rsidR="004C6A38" w:rsidRDefault="004C4797" w:rsidP="004C6A38">
            <w:pPr>
              <w:spacing w:after="0" w:line="240" w:lineRule="auto"/>
              <w:rPr>
                <w:rFonts w:ascii="Times New Roman" w:eastAsia="Arial Unicode MS" w:hAnsi="Times New Roman" w:cs="Times New Roman"/>
                <w:color w:val="000000" w:themeColor="text1"/>
                <w:sz w:val="20"/>
                <w:szCs w:val="20"/>
              </w:rPr>
            </w:pPr>
            <w:r w:rsidRPr="005C3300">
              <w:rPr>
                <w:rFonts w:ascii="Times New Roman" w:hAnsi="Times New Roman" w:cs="Times New Roman"/>
                <w:b/>
                <w:bCs/>
                <w:color w:val="000000" w:themeColor="text1"/>
                <w:sz w:val="20"/>
                <w:szCs w:val="20"/>
                <w:lang w:val="ro-RO"/>
              </w:rPr>
              <w:t>107</w:t>
            </w:r>
            <w:r w:rsidRPr="005C3300">
              <w:rPr>
                <w:rFonts w:ascii="Times New Roman" w:hAnsi="Times New Roman" w:cs="Times New Roman"/>
                <w:b/>
                <w:bCs/>
                <w:color w:val="000000" w:themeColor="text1"/>
                <w:sz w:val="20"/>
                <w:szCs w:val="20"/>
                <w:vertAlign w:val="superscript"/>
                <w:lang w:val="ro-RO"/>
              </w:rPr>
              <w:t>10</w:t>
            </w:r>
            <w:r w:rsidRPr="005C3300">
              <w:rPr>
                <w:rFonts w:ascii="Times New Roman" w:hAnsi="Times New Roman" w:cs="Times New Roman"/>
                <w:b/>
                <w:bCs/>
                <w:color w:val="000000" w:themeColor="text1"/>
                <w:sz w:val="20"/>
                <w:szCs w:val="20"/>
                <w:lang w:val="ro-RO"/>
              </w:rPr>
              <w:t xml:space="preserve">.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a </w:t>
            </w:r>
            <w:proofErr w:type="spellStart"/>
            <w:r w:rsidRPr="005C3300">
              <w:rPr>
                <w:rFonts w:ascii="Times New Roman" w:eastAsia="Arial Unicode MS" w:hAnsi="Times New Roman" w:cs="Times New Roman"/>
                <w:color w:val="000000" w:themeColor="text1"/>
                <w:sz w:val="20"/>
                <w:szCs w:val="20"/>
              </w:rPr>
              <w:t>calcula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valorile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ponderate</w:t>
            </w:r>
            <w:proofErr w:type="spellEnd"/>
            <w:r w:rsidRPr="005C3300">
              <w:rPr>
                <w:rFonts w:ascii="Times New Roman" w:eastAsia="Arial Unicode MS" w:hAnsi="Times New Roman" w:cs="Times New Roman"/>
                <w:color w:val="000000" w:themeColor="text1"/>
                <w:sz w:val="20"/>
                <w:szCs w:val="20"/>
              </w:rPr>
              <w:t xml:space="preserve"> la </w:t>
            </w:r>
            <w:proofErr w:type="spellStart"/>
            <w:r w:rsidRPr="005C3300">
              <w:rPr>
                <w:rFonts w:ascii="Times New Roman" w:eastAsia="Arial Unicode MS" w:hAnsi="Times New Roman" w:cs="Times New Roman"/>
                <w:color w:val="000000" w:themeColor="text1"/>
                <w:sz w:val="20"/>
                <w:szCs w:val="20"/>
              </w:rPr>
              <w:t>risc</w:t>
            </w:r>
            <w:proofErr w:type="spellEnd"/>
            <w:r w:rsidRPr="005C3300">
              <w:rPr>
                <w:rFonts w:ascii="Times New Roman" w:eastAsia="Arial Unicode MS" w:hAnsi="Times New Roman" w:cs="Times New Roman"/>
                <w:color w:val="000000" w:themeColor="text1"/>
                <w:sz w:val="20"/>
                <w:szCs w:val="20"/>
              </w:rPr>
              <w:t xml:space="preserve"> ale </w:t>
            </w:r>
            <w:proofErr w:type="spellStart"/>
            <w:r w:rsidRPr="005C3300">
              <w:rPr>
                <w:rFonts w:ascii="Times New Roman" w:eastAsia="Arial Unicode MS" w:hAnsi="Times New Roman" w:cs="Times New Roman"/>
                <w:color w:val="000000" w:themeColor="text1"/>
                <w:sz w:val="20"/>
                <w:szCs w:val="20"/>
              </w:rPr>
              <w:t>expunerilor</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și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cuantumurile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pierderilor</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așteptate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expunerile</w:t>
            </w:r>
            <w:proofErr w:type="spellEnd"/>
            <w:r w:rsidRPr="005C3300">
              <w:rPr>
                <w:rFonts w:ascii="Times New Roman" w:eastAsia="Arial Unicode MS" w:hAnsi="Times New Roman" w:cs="Times New Roman"/>
                <w:color w:val="000000" w:themeColor="text1"/>
                <w:sz w:val="20"/>
                <w:szCs w:val="20"/>
              </w:rPr>
              <w:t xml:space="preserve"> IRB care </w:t>
            </w:r>
            <w:proofErr w:type="spellStart"/>
            <w:r w:rsidRPr="005C3300">
              <w:rPr>
                <w:rFonts w:ascii="Times New Roman" w:eastAsia="Arial Unicode MS" w:hAnsi="Times New Roman" w:cs="Times New Roman"/>
                <w:color w:val="000000" w:themeColor="text1"/>
                <w:sz w:val="20"/>
                <w:szCs w:val="20"/>
              </w:rPr>
              <w:t>intră</w:t>
            </w:r>
            <w:proofErr w:type="spellEnd"/>
            <w:r w:rsidRPr="005C3300">
              <w:rPr>
                <w:rFonts w:ascii="Times New Roman" w:eastAsia="Arial Unicode MS" w:hAnsi="Times New Roman" w:cs="Times New Roman"/>
                <w:color w:val="000000" w:themeColor="text1"/>
                <w:sz w:val="20"/>
                <w:szCs w:val="20"/>
              </w:rPr>
              <w:t xml:space="preserve"> sub </w:t>
            </w:r>
            <w:proofErr w:type="spellStart"/>
            <w:r w:rsidRPr="005C3300">
              <w:rPr>
                <w:rFonts w:ascii="Times New Roman" w:eastAsia="Arial Unicode MS" w:hAnsi="Times New Roman" w:cs="Times New Roman"/>
                <w:color w:val="000000" w:themeColor="text1"/>
                <w:sz w:val="20"/>
                <w:szCs w:val="20"/>
              </w:rPr>
              <w:t>incidența</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punctelor</w:t>
            </w:r>
            <w:proofErr w:type="spellEnd"/>
            <w:r w:rsidRPr="005C3300">
              <w:rPr>
                <w:rFonts w:ascii="Times New Roman" w:eastAsia="Arial Unicode MS" w:hAnsi="Times New Roman" w:cs="Times New Roman"/>
                <w:color w:val="000000" w:themeColor="text1"/>
                <w:sz w:val="20"/>
                <w:szCs w:val="20"/>
              </w:rPr>
              <w:t xml:space="preserve"> 68-70, </w:t>
            </w:r>
            <w:proofErr w:type="spellStart"/>
            <w:r w:rsidRPr="005C3300">
              <w:rPr>
                <w:rFonts w:ascii="Times New Roman" w:eastAsia="Arial Unicode MS" w:hAnsi="Times New Roman" w:cs="Times New Roman"/>
                <w:color w:val="000000" w:themeColor="text1"/>
                <w:sz w:val="20"/>
                <w:szCs w:val="20"/>
              </w:rPr>
              <w:t>băncile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utilizează</w:t>
            </w:r>
            <w:proofErr w:type="spellEnd"/>
            <w:r w:rsidRPr="005C3300">
              <w:rPr>
                <w:rFonts w:ascii="Times New Roman" w:eastAsia="Arial Unicode MS" w:hAnsi="Times New Roman" w:cs="Times New Roman"/>
                <w:color w:val="000000" w:themeColor="text1"/>
                <w:sz w:val="20"/>
                <w:szCs w:val="20"/>
              </w:rPr>
              <w:t xml:space="preserve"> 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conformitate</w:t>
            </w:r>
            <w:proofErr w:type="spellEnd"/>
            <w:r w:rsidRPr="005C3300">
              <w:rPr>
                <w:rFonts w:ascii="Times New Roman" w:eastAsia="Arial Unicode MS" w:hAnsi="Times New Roman" w:cs="Times New Roman"/>
                <w:color w:val="000000" w:themeColor="text1"/>
                <w:sz w:val="20"/>
                <w:szCs w:val="20"/>
              </w:rPr>
              <w:t xml:space="preserve"> cu </w:t>
            </w:r>
            <w:proofErr w:type="spellStart"/>
            <w:r w:rsidRPr="005C3300">
              <w:rPr>
                <w:rFonts w:ascii="Times New Roman" w:eastAsia="Arial Unicode MS" w:hAnsi="Times New Roman" w:cs="Times New Roman"/>
                <w:color w:val="000000" w:themeColor="text1"/>
                <w:sz w:val="20"/>
                <w:szCs w:val="20"/>
              </w:rPr>
              <w:t>punctul</w:t>
            </w:r>
            <w:proofErr w:type="spellEnd"/>
            <w:r w:rsidRPr="005C3300">
              <w:rPr>
                <w:rFonts w:ascii="Times New Roman" w:eastAsia="Arial Unicode MS" w:hAnsi="Times New Roman" w:cs="Times New Roman"/>
                <w:color w:val="000000" w:themeColor="text1"/>
                <w:sz w:val="20"/>
                <w:szCs w:val="20"/>
              </w:rPr>
              <w:t xml:space="preserve"> 71 </w:t>
            </w:r>
            <w:proofErr w:type="spellStart"/>
            <w:r w:rsidRPr="005C3300">
              <w:rPr>
                <w:rFonts w:ascii="Times New Roman" w:eastAsia="Arial Unicode MS" w:hAnsi="Times New Roman" w:cs="Times New Roman"/>
                <w:color w:val="000000" w:themeColor="text1"/>
                <w:sz w:val="20"/>
                <w:szCs w:val="20"/>
              </w:rPr>
              <w:t>și</w:t>
            </w:r>
            <w:proofErr w:type="spellEnd"/>
            <w:r w:rsidRPr="005C3300">
              <w:rPr>
                <w:rFonts w:ascii="Times New Roman" w:eastAsia="Arial Unicode MS" w:hAnsi="Times New Roman" w:cs="Times New Roman"/>
                <w:color w:val="000000" w:themeColor="text1"/>
                <w:sz w:val="20"/>
                <w:szCs w:val="20"/>
              </w:rPr>
              <w:t xml:space="preserve"> LGD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expunerile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negarantate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astfel</w:t>
            </w:r>
            <w:proofErr w:type="spellEnd"/>
            <w:r w:rsidRPr="005C3300">
              <w:rPr>
                <w:rFonts w:ascii="Times New Roman" w:eastAsia="Arial Unicode MS" w:hAnsi="Times New Roman" w:cs="Times New Roman"/>
                <w:color w:val="000000" w:themeColor="text1"/>
                <w:sz w:val="20"/>
                <w:szCs w:val="20"/>
              </w:rPr>
              <w:t xml:space="preserve"> cum se </w:t>
            </w:r>
            <w:proofErr w:type="spellStart"/>
            <w:r w:rsidRPr="005C3300">
              <w:rPr>
                <w:rFonts w:ascii="Times New Roman" w:eastAsia="Arial Unicode MS" w:hAnsi="Times New Roman" w:cs="Times New Roman"/>
                <w:color w:val="000000" w:themeColor="text1"/>
                <w:sz w:val="20"/>
                <w:szCs w:val="20"/>
              </w:rPr>
              <w:t>prevede</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în</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actul</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normativ</w:t>
            </w:r>
            <w:proofErr w:type="spellEnd"/>
            <w:r w:rsidRPr="005C3300">
              <w:rPr>
                <w:rFonts w:ascii="Times New Roman" w:eastAsia="Arial Unicode MS" w:hAnsi="Times New Roman" w:cs="Times New Roman"/>
                <w:color w:val="000000" w:themeColor="text1"/>
                <w:sz w:val="20"/>
                <w:szCs w:val="20"/>
              </w:rPr>
              <w:t xml:space="preserve"> al Băncii </w:t>
            </w:r>
            <w:proofErr w:type="spellStart"/>
            <w:r w:rsidRPr="005C3300">
              <w:rPr>
                <w:rFonts w:ascii="Times New Roman" w:eastAsia="Arial Unicode MS" w:hAnsi="Times New Roman" w:cs="Times New Roman"/>
                <w:color w:val="000000" w:themeColor="text1"/>
                <w:sz w:val="20"/>
                <w:szCs w:val="20"/>
              </w:rPr>
              <w:t>Naționale</w:t>
            </w:r>
            <w:proofErr w:type="spellEnd"/>
            <w:r w:rsidRPr="005C3300">
              <w:rPr>
                <w:rFonts w:ascii="Times New Roman" w:eastAsia="Arial Unicode MS" w:hAnsi="Times New Roman" w:cs="Times New Roman"/>
                <w:color w:val="000000" w:themeColor="text1"/>
                <w:sz w:val="20"/>
                <w:szCs w:val="20"/>
              </w:rPr>
              <w:t xml:space="preserve"> a </w:t>
            </w:r>
            <w:proofErr w:type="spellStart"/>
            <w:r w:rsidRPr="005C3300">
              <w:rPr>
                <w:rFonts w:ascii="Times New Roman" w:eastAsia="Arial Unicode MS" w:hAnsi="Times New Roman" w:cs="Times New Roman"/>
                <w:color w:val="000000" w:themeColor="text1"/>
                <w:sz w:val="20"/>
                <w:szCs w:val="20"/>
              </w:rPr>
              <w:t>Moldovei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aferent</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tratamentului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riscului</w:t>
            </w:r>
            <w:proofErr w:type="spellEnd"/>
            <w:r w:rsidRPr="005C3300">
              <w:rPr>
                <w:rFonts w:ascii="Times New Roman" w:eastAsia="Arial Unicode MS" w:hAnsi="Times New Roman" w:cs="Times New Roman"/>
                <w:color w:val="000000" w:themeColor="text1"/>
                <w:sz w:val="20"/>
                <w:szCs w:val="20"/>
              </w:rPr>
              <w:t xml:space="preserve"> de credit </w:t>
            </w:r>
            <w:proofErr w:type="spellStart"/>
            <w:r w:rsidRPr="005C3300">
              <w:rPr>
                <w:rFonts w:ascii="Times New Roman" w:eastAsia="Arial Unicode MS" w:hAnsi="Times New Roman" w:cs="Times New Roman"/>
                <w:color w:val="000000" w:themeColor="text1"/>
                <w:sz w:val="20"/>
                <w:szCs w:val="20"/>
              </w:rPr>
              <w:t>pentru</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bănci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potrivit</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abordării</w:t>
            </w:r>
            <w:proofErr w:type="spellEnd"/>
            <w:r w:rsidRPr="005C3300">
              <w:rPr>
                <w:rFonts w:ascii="Times New Roman" w:eastAsia="Arial Unicode MS" w:hAnsi="Times New Roman" w:cs="Times New Roman"/>
                <w:color w:val="000000" w:themeColor="text1"/>
                <w:sz w:val="20"/>
                <w:szCs w:val="20"/>
              </w:rPr>
              <w:t xml:space="preserve"> </w:t>
            </w:r>
            <w:proofErr w:type="spellStart"/>
            <w:r w:rsidRPr="005C3300">
              <w:rPr>
                <w:rFonts w:ascii="Times New Roman" w:eastAsia="Arial Unicode MS" w:hAnsi="Times New Roman" w:cs="Times New Roman"/>
                <w:color w:val="000000" w:themeColor="text1"/>
                <w:sz w:val="20"/>
                <w:szCs w:val="20"/>
              </w:rPr>
              <w:t>bazate</w:t>
            </w:r>
            <w:proofErr w:type="spellEnd"/>
            <w:r w:rsidRPr="005C3300">
              <w:rPr>
                <w:rFonts w:ascii="Times New Roman" w:eastAsia="Arial Unicode MS" w:hAnsi="Times New Roman" w:cs="Times New Roman"/>
                <w:color w:val="000000" w:themeColor="text1"/>
                <w:sz w:val="20"/>
                <w:szCs w:val="20"/>
              </w:rPr>
              <w:t xml:space="preserve"> pe </w:t>
            </w:r>
            <w:proofErr w:type="spellStart"/>
            <w:r w:rsidRPr="005C3300">
              <w:rPr>
                <w:rFonts w:ascii="Times New Roman" w:eastAsia="Arial Unicode MS" w:hAnsi="Times New Roman" w:cs="Times New Roman"/>
                <w:color w:val="000000" w:themeColor="text1"/>
                <w:sz w:val="20"/>
                <w:szCs w:val="20"/>
              </w:rPr>
              <w:t>modele</w:t>
            </w:r>
            <w:proofErr w:type="spellEnd"/>
            <w:r w:rsidRPr="005C3300">
              <w:rPr>
                <w:rFonts w:ascii="Times New Roman" w:eastAsia="Arial Unicode MS" w:hAnsi="Times New Roman" w:cs="Times New Roman"/>
                <w:color w:val="000000" w:themeColor="text1"/>
                <w:sz w:val="20"/>
                <w:szCs w:val="20"/>
              </w:rPr>
              <w:t xml:space="preserve"> interne de rating.</w:t>
            </w:r>
          </w:p>
          <w:p w14:paraId="0C16CAC6" w14:textId="77777777" w:rsidR="004C4797" w:rsidRDefault="004C4797" w:rsidP="004C6A38">
            <w:pPr>
              <w:spacing w:after="0" w:line="240" w:lineRule="auto"/>
              <w:rPr>
                <w:rFonts w:ascii="Times New Roman" w:hAnsi="Times New Roman" w:cs="Times New Roman"/>
                <w:i/>
                <w:iCs/>
                <w:color w:val="000000" w:themeColor="text1"/>
                <w:sz w:val="20"/>
                <w:szCs w:val="20"/>
              </w:rPr>
            </w:pPr>
          </w:p>
          <w:p w14:paraId="73963174" w14:textId="504F44FF" w:rsidR="004C4797" w:rsidRPr="002C32BA" w:rsidRDefault="004C4797" w:rsidP="004C6A38">
            <w:pPr>
              <w:spacing w:after="0" w:line="240" w:lineRule="auto"/>
              <w:rPr>
                <w:rFonts w:ascii="Times New Roman" w:hAnsi="Times New Roman" w:cs="Times New Roman"/>
                <w:b/>
                <w:sz w:val="20"/>
                <w:szCs w:val="20"/>
                <w:lang w:val="ro-RO"/>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63F437BC" w14:textId="36F8B51B" w:rsidR="004C6A38" w:rsidRPr="002C32BA" w:rsidDel="00326BF0" w:rsidRDefault="004C6A38" w:rsidP="004C6A38">
            <w:pPr>
              <w:rPr>
                <w:rFonts w:ascii="Times New Roman" w:hAnsi="Times New Roman" w:cs="Times New Roman"/>
                <w:sz w:val="20"/>
                <w:szCs w:val="20"/>
                <w:lang w:val="ro-RO"/>
              </w:rPr>
            </w:pPr>
            <w:r w:rsidRPr="00E36BC8">
              <w:rPr>
                <w:rFonts w:ascii="Times New Roman" w:hAnsi="Times New Roman" w:cs="Times New Roman"/>
                <w:sz w:val="20"/>
                <w:szCs w:val="20"/>
                <w:lang w:val="ro-RO"/>
              </w:rPr>
              <w:t>Compatibil</w:t>
            </w:r>
          </w:p>
        </w:tc>
        <w:tc>
          <w:tcPr>
            <w:tcW w:w="885" w:type="pct"/>
          </w:tcPr>
          <w:p w14:paraId="2B0B063C" w14:textId="77777777" w:rsidR="004C6A38" w:rsidRPr="002C32BA" w:rsidRDefault="004C6A38" w:rsidP="004C6A38">
            <w:pPr>
              <w:rPr>
                <w:rFonts w:ascii="Times New Roman" w:hAnsi="Times New Roman" w:cs="Times New Roman"/>
                <w:sz w:val="20"/>
                <w:szCs w:val="20"/>
                <w:lang w:val="ro-RO"/>
              </w:rPr>
            </w:pPr>
          </w:p>
        </w:tc>
      </w:tr>
      <w:tr w:rsidR="004C6A38" w:rsidRPr="002C32BA" w14:paraId="5A613A2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6" w:type="pct"/>
          </w:tcPr>
          <w:p w14:paraId="5F05C572" w14:textId="62C2CCE3" w:rsidR="004C6A38" w:rsidRPr="004C6A38" w:rsidRDefault="004C6A38" w:rsidP="004C6A38">
            <w:pPr>
              <w:pStyle w:val="CM4"/>
              <w:tabs>
                <w:tab w:val="left" w:pos="150"/>
              </w:tabs>
              <w:ind w:left="-43"/>
              <w:jc w:val="both"/>
              <w:rPr>
                <w:rFonts w:ascii="Times New Roman" w:hAnsi="Times New Roman"/>
                <w:b/>
                <w:iCs/>
                <w:color w:val="000000" w:themeColor="text1"/>
                <w:sz w:val="20"/>
                <w:szCs w:val="20"/>
                <w:lang w:val="ro-RO" w:eastAsia="ru-RU"/>
              </w:rPr>
            </w:pPr>
            <w:r w:rsidRPr="004C6A38">
              <w:rPr>
                <w:rFonts w:ascii="Times New Roman" w:hAnsi="Times New Roman"/>
                <w:i/>
                <w:iCs/>
                <w:color w:val="000000" w:themeColor="text1"/>
                <w:sz w:val="20"/>
                <w:szCs w:val="20"/>
                <w:lang w:val="ro-RO" w:eastAsia="ru-RU"/>
              </w:rPr>
              <w:t>Articolul 231</w:t>
            </w:r>
            <w:r w:rsidRPr="004C6A38">
              <w:rPr>
                <w:rFonts w:ascii="Times New Roman" w:hAnsi="Times New Roman"/>
                <w:iCs/>
                <w:color w:val="000000" w:themeColor="text1"/>
                <w:sz w:val="20"/>
                <w:szCs w:val="20"/>
                <w:lang w:val="ro-RO" w:eastAsia="ru-RU"/>
              </w:rPr>
              <w:t xml:space="preserve"> </w:t>
            </w:r>
            <w:r w:rsidRPr="004C6A38">
              <w:rPr>
                <w:rFonts w:ascii="Times New Roman" w:hAnsi="Times New Roman"/>
                <w:b/>
                <w:iCs/>
                <w:color w:val="000000" w:themeColor="text1"/>
                <w:sz w:val="20"/>
                <w:szCs w:val="20"/>
                <w:lang w:val="ro-RO" w:eastAsia="ru-RU"/>
              </w:rPr>
              <w:t>Calculul cuantumurilor ponderate la risc ale expunerilor și al cuantumurilor pierderilor așteptate în cazul portofoliilor de protecții finanțate ale creditului eligibile pentru o expunere tratată conform abordării IRB</w:t>
            </w:r>
          </w:p>
          <w:p w14:paraId="7551962D" w14:textId="77777777" w:rsidR="004C6A38" w:rsidRPr="004C6A38" w:rsidRDefault="004C6A38" w:rsidP="004C6A38">
            <w:pPr>
              <w:shd w:val="clear" w:color="auto" w:fill="FFFFFF"/>
              <w:spacing w:before="120" w:after="0" w:line="240" w:lineRule="auto"/>
              <w:jc w:val="both"/>
              <w:rPr>
                <w:rFonts w:ascii="Times New Roman" w:eastAsia="Arial Unicode MS" w:hAnsi="Times New Roman" w:cs="Times New Roman"/>
                <w:color w:val="000000" w:themeColor="text1"/>
                <w:sz w:val="20"/>
                <w:szCs w:val="20"/>
                <w:lang w:val="ro-MD" w:eastAsia="ro-MD"/>
              </w:rPr>
            </w:pPr>
            <w:r w:rsidRPr="004C6A38">
              <w:rPr>
                <w:rFonts w:ascii="Times New Roman" w:eastAsia="Arial Unicode MS" w:hAnsi="Times New Roman" w:cs="Times New Roman"/>
                <w:color w:val="000000" w:themeColor="text1"/>
                <w:sz w:val="20"/>
                <w:szCs w:val="20"/>
                <w:lang w:val="ro-MD" w:eastAsia="ro-MD"/>
              </w:rPr>
              <w:t>Instituțiile care au obținut mai multe tipuri de protecție finanțată a creditului pot, pentru expunerile tratate conform abordării IRB, să aplice formula prevăzută la articolul 230 în mod secvențial pentru fiecare tip de garanție reală. În acest scop, după fiecare etapă de recunoaștere a unui tip de FCP, instituțiile reduc valoarea expunerii negarantate rămase (E</w:t>
            </w:r>
            <w:r w:rsidRPr="004C6A38">
              <w:rPr>
                <w:rFonts w:ascii="Times New Roman" w:eastAsia="Arial Unicode MS" w:hAnsi="Times New Roman" w:cs="Times New Roman"/>
                <w:color w:val="000000" w:themeColor="text1"/>
                <w:sz w:val="20"/>
                <w:szCs w:val="20"/>
                <w:vertAlign w:val="subscript"/>
                <w:lang w:val="ro-MD" w:eastAsia="ro-MD"/>
              </w:rPr>
              <w:t>U</w:t>
            </w:r>
            <w:r w:rsidRPr="004C6A38">
              <w:rPr>
                <w:rFonts w:ascii="Times New Roman" w:eastAsia="Arial Unicode MS" w:hAnsi="Times New Roman" w:cs="Times New Roman"/>
                <w:color w:val="000000" w:themeColor="text1"/>
                <w:sz w:val="20"/>
                <w:szCs w:val="20"/>
                <w:lang w:val="ro-MD" w:eastAsia="ro-MD"/>
              </w:rPr>
              <w:t>) cu valoarea ajustată a garanției reale (E</w:t>
            </w:r>
            <w:r w:rsidRPr="004C6A38">
              <w:rPr>
                <w:rFonts w:ascii="Times New Roman" w:eastAsia="Arial Unicode MS" w:hAnsi="Times New Roman" w:cs="Times New Roman"/>
                <w:color w:val="000000" w:themeColor="text1"/>
                <w:sz w:val="20"/>
                <w:szCs w:val="20"/>
                <w:vertAlign w:val="subscript"/>
                <w:lang w:val="ro-MD" w:eastAsia="ro-MD"/>
              </w:rPr>
              <w:t>S</w:t>
            </w:r>
            <w:r w:rsidRPr="004C6A38">
              <w:rPr>
                <w:rFonts w:ascii="Times New Roman" w:eastAsia="Arial Unicode MS" w:hAnsi="Times New Roman" w:cs="Times New Roman"/>
                <w:color w:val="000000" w:themeColor="text1"/>
                <w:sz w:val="20"/>
                <w:szCs w:val="20"/>
                <w:lang w:val="ro-MD" w:eastAsia="ro-MD"/>
              </w:rPr>
              <w:t>) recunoscute în etapa respectivă. În conformitate cu articolul 230 alineatul (1), totalul E</w:t>
            </w:r>
            <w:r w:rsidRPr="004C6A38">
              <w:rPr>
                <w:rFonts w:ascii="Times New Roman" w:eastAsia="Arial Unicode MS" w:hAnsi="Times New Roman" w:cs="Times New Roman"/>
                <w:color w:val="000000" w:themeColor="text1"/>
                <w:sz w:val="20"/>
                <w:szCs w:val="20"/>
                <w:vertAlign w:val="subscript"/>
                <w:lang w:val="ro-MD" w:eastAsia="ro-MD"/>
              </w:rPr>
              <w:t>S</w:t>
            </w:r>
            <w:r w:rsidRPr="004C6A38">
              <w:rPr>
                <w:rFonts w:ascii="Times New Roman" w:eastAsia="Arial Unicode MS" w:hAnsi="Times New Roman" w:cs="Times New Roman"/>
                <w:color w:val="000000" w:themeColor="text1"/>
                <w:sz w:val="20"/>
                <w:szCs w:val="20"/>
                <w:lang w:val="ro-MD" w:eastAsia="ro-MD"/>
              </w:rPr>
              <w:t> pentru toate tipurile de protecție finanțată a creditului este plafonat la valoarea E·(1+H</w:t>
            </w:r>
            <w:r w:rsidRPr="004C6A38">
              <w:rPr>
                <w:rFonts w:ascii="Times New Roman" w:eastAsia="Arial Unicode MS" w:hAnsi="Times New Roman" w:cs="Times New Roman"/>
                <w:color w:val="000000" w:themeColor="text1"/>
                <w:sz w:val="20"/>
                <w:szCs w:val="20"/>
                <w:vertAlign w:val="subscript"/>
                <w:lang w:val="ro-MD" w:eastAsia="ro-MD"/>
              </w:rPr>
              <w:t>E</w:t>
            </w:r>
            <w:r w:rsidRPr="004C6A38">
              <w:rPr>
                <w:rFonts w:ascii="Times New Roman" w:eastAsia="Arial Unicode MS" w:hAnsi="Times New Roman" w:cs="Times New Roman"/>
                <w:color w:val="000000" w:themeColor="text1"/>
                <w:sz w:val="20"/>
                <w:szCs w:val="20"/>
                <w:lang w:val="ro-MD" w:eastAsia="ro-MD"/>
              </w:rPr>
              <w:t>), având ca rezultat următoarea formulă:</w:t>
            </w:r>
          </w:p>
          <w:p w14:paraId="55FB2B2A" w14:textId="261C1DAF" w:rsidR="004C6A38" w:rsidRPr="004C6A38" w:rsidRDefault="004C6A38" w:rsidP="004C6A38">
            <w:pPr>
              <w:shd w:val="clear" w:color="auto" w:fill="FFFFFF"/>
              <w:spacing w:before="120" w:after="0" w:line="240" w:lineRule="auto"/>
              <w:jc w:val="both"/>
              <w:rPr>
                <w:rFonts w:ascii="Times New Roman" w:eastAsia="Arial Unicode MS" w:hAnsi="Times New Roman" w:cs="Times New Roman"/>
                <w:color w:val="000000" w:themeColor="text1"/>
                <w:sz w:val="20"/>
                <w:szCs w:val="20"/>
                <w:lang w:val="ro-MD" w:eastAsia="ro-MD"/>
              </w:rPr>
            </w:pPr>
            <w:r w:rsidRPr="004C6A38">
              <w:rPr>
                <w:rFonts w:ascii="Times New Roman" w:hAnsi="Times New Roman" w:cs="Times New Roman"/>
                <w:noProof/>
                <w:color w:val="000000" w:themeColor="text1"/>
                <w:sz w:val="20"/>
                <w:szCs w:val="20"/>
                <w:lang w:val="ro-RO" w:eastAsia="ru-RU"/>
              </w:rPr>
              <w:drawing>
                <wp:inline distT="0" distB="0" distL="0" distR="0" wp14:anchorId="12AF9771" wp14:editId="41A17D55">
                  <wp:extent cx="3552825" cy="473710"/>
                  <wp:effectExtent l="0" t="0" r="0" b="0"/>
                  <wp:docPr id="46" name="Picture 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52825" cy="473710"/>
                          </a:xfrm>
                          <a:prstGeom prst="rect">
                            <a:avLst/>
                          </a:prstGeom>
                          <a:noFill/>
                          <a:ln>
                            <a:noFill/>
                          </a:ln>
                        </pic:spPr>
                      </pic:pic>
                    </a:graphicData>
                  </a:graphic>
                </wp:inline>
              </w:drawing>
            </w:r>
          </w:p>
          <w:p w14:paraId="1FB3DCFA" w14:textId="77777777" w:rsidR="004C6A38" w:rsidRPr="004C6A38" w:rsidRDefault="004C6A38" w:rsidP="004C6A38">
            <w:pPr>
              <w:shd w:val="clear" w:color="auto" w:fill="FFFFFF"/>
              <w:spacing w:before="120" w:after="0" w:line="240" w:lineRule="auto"/>
              <w:jc w:val="both"/>
              <w:rPr>
                <w:rFonts w:ascii="Times New Roman" w:eastAsia="Arial Unicode MS" w:hAnsi="Times New Roman" w:cs="Times New Roman"/>
                <w:color w:val="000000" w:themeColor="text1"/>
                <w:sz w:val="20"/>
                <w:szCs w:val="20"/>
                <w:lang w:val="ro-MD" w:eastAsia="ro-MD"/>
              </w:rPr>
            </w:pPr>
            <w:r w:rsidRPr="004C6A38">
              <w:rPr>
                <w:rFonts w:ascii="Times New Roman" w:eastAsia="Arial Unicode MS" w:hAnsi="Times New Roman" w:cs="Times New Roman"/>
                <w:color w:val="000000" w:themeColor="text1"/>
                <w:sz w:val="20"/>
                <w:szCs w:val="20"/>
                <w:lang w:val="ro-MD" w:eastAsia="ro-MD"/>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84"/>
              <w:gridCol w:w="5116"/>
            </w:tblGrid>
            <w:tr w:rsidR="004C6A38" w:rsidRPr="004C6A38" w14:paraId="79769B67" w14:textId="77777777" w:rsidTr="004C6A38">
              <w:tc>
                <w:tcPr>
                  <w:tcW w:w="663" w:type="dxa"/>
                  <w:shd w:val="clear" w:color="auto" w:fill="FFFFFF"/>
                  <w:hideMark/>
                </w:tcPr>
                <w:p w14:paraId="523119D1" w14:textId="77777777" w:rsidR="004C6A38" w:rsidRPr="004C6A38" w:rsidRDefault="004C6A38" w:rsidP="004C6A38">
                  <w:pPr>
                    <w:spacing w:before="195" w:after="0" w:line="240" w:lineRule="auto"/>
                    <w:rPr>
                      <w:rFonts w:ascii="Times New Roman" w:eastAsia="Arial Unicode MS" w:hAnsi="Times New Roman" w:cs="Times New Roman"/>
                      <w:color w:val="000000" w:themeColor="text1"/>
                      <w:sz w:val="20"/>
                      <w:szCs w:val="20"/>
                      <w:lang w:val="ro-MD" w:eastAsia="ro-MD"/>
                    </w:rPr>
                  </w:pPr>
                  <w:proofErr w:type="spellStart"/>
                  <w:r w:rsidRPr="004C6A38">
                    <w:rPr>
                      <w:rFonts w:ascii="Times New Roman" w:eastAsia="Arial Unicode MS" w:hAnsi="Times New Roman" w:cs="Times New Roman"/>
                      <w:color w:val="000000" w:themeColor="text1"/>
                      <w:sz w:val="20"/>
                      <w:szCs w:val="20"/>
                      <w:lang w:val="ro-MD" w:eastAsia="ro-MD"/>
                    </w:rPr>
                    <w:t>LGD</w:t>
                  </w:r>
                  <w:r w:rsidRPr="004C6A38">
                    <w:rPr>
                      <w:rFonts w:ascii="Times New Roman" w:eastAsia="Arial Unicode MS" w:hAnsi="Times New Roman" w:cs="Times New Roman"/>
                      <w:color w:val="000000" w:themeColor="text1"/>
                      <w:sz w:val="20"/>
                      <w:szCs w:val="20"/>
                      <w:vertAlign w:val="subscript"/>
                      <w:lang w:val="ro-MD" w:eastAsia="ro-MD"/>
                    </w:rPr>
                    <w:t>S,i</w:t>
                  </w:r>
                  <w:proofErr w:type="spellEnd"/>
                </w:p>
              </w:tc>
              <w:tc>
                <w:tcPr>
                  <w:tcW w:w="9026" w:type="dxa"/>
                  <w:shd w:val="clear" w:color="auto" w:fill="FFFFFF"/>
                  <w:hideMark/>
                </w:tcPr>
                <w:p w14:paraId="40B84D34" w14:textId="77777777" w:rsidR="004C6A38" w:rsidRPr="004C6A38" w:rsidRDefault="004C6A38" w:rsidP="004C6A38">
                  <w:pPr>
                    <w:spacing w:before="120" w:after="0" w:line="240" w:lineRule="auto"/>
                    <w:jc w:val="both"/>
                    <w:rPr>
                      <w:rFonts w:ascii="Times New Roman" w:eastAsia="Arial Unicode MS" w:hAnsi="Times New Roman" w:cs="Times New Roman"/>
                      <w:color w:val="000000" w:themeColor="text1"/>
                      <w:sz w:val="20"/>
                      <w:szCs w:val="20"/>
                      <w:lang w:val="ro-MD" w:eastAsia="ro-MD"/>
                    </w:rPr>
                  </w:pPr>
                  <w:r w:rsidRPr="004C6A38">
                    <w:rPr>
                      <w:rFonts w:ascii="Times New Roman" w:eastAsia="Arial Unicode MS" w:hAnsi="Times New Roman" w:cs="Times New Roman"/>
                      <w:color w:val="000000" w:themeColor="text1"/>
                      <w:sz w:val="20"/>
                      <w:szCs w:val="20"/>
                      <w:lang w:val="ro-MD" w:eastAsia="ro-MD"/>
                    </w:rPr>
                    <w:t>= LGD aplicabilă FCP i, astfel cum se specifică la articolul 230 alineatul (2);</w:t>
                  </w:r>
                </w:p>
              </w:tc>
            </w:tr>
          </w:tbl>
          <w:p w14:paraId="5634C49D" w14:textId="77777777" w:rsidR="004C6A38" w:rsidRPr="004C6A38" w:rsidRDefault="004C6A38" w:rsidP="004C6A38">
            <w:pPr>
              <w:spacing w:after="0" w:line="240" w:lineRule="auto"/>
              <w:rPr>
                <w:rFonts w:ascii="Times New Roman" w:eastAsia="Times New Roman" w:hAnsi="Times New Roman" w:cs="Times New Roman"/>
                <w:vanish/>
                <w:color w:val="000000" w:themeColor="text1"/>
                <w:sz w:val="20"/>
                <w:szCs w:val="20"/>
                <w:lang w:val="ro-MD" w:eastAsia="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1"/>
              <w:gridCol w:w="5359"/>
            </w:tblGrid>
            <w:tr w:rsidR="004C6A38" w:rsidRPr="004C6A38" w14:paraId="414DA6D1" w14:textId="77777777" w:rsidTr="004C6A38">
              <w:tc>
                <w:tcPr>
                  <w:tcW w:w="234" w:type="dxa"/>
                  <w:shd w:val="clear" w:color="auto" w:fill="FFFFFF"/>
                  <w:hideMark/>
                </w:tcPr>
                <w:p w14:paraId="4167A12A" w14:textId="77777777" w:rsidR="004C6A38" w:rsidRPr="004C6A38" w:rsidRDefault="004C6A38" w:rsidP="004C6A38">
                  <w:pPr>
                    <w:spacing w:before="195" w:after="0" w:line="240" w:lineRule="auto"/>
                    <w:rPr>
                      <w:rFonts w:ascii="Times New Roman" w:eastAsia="Arial Unicode MS" w:hAnsi="Times New Roman" w:cs="Times New Roman"/>
                      <w:color w:val="000000" w:themeColor="text1"/>
                      <w:sz w:val="20"/>
                      <w:szCs w:val="20"/>
                      <w:lang w:val="ro-MD" w:eastAsia="ro-MD"/>
                    </w:rPr>
                  </w:pPr>
                  <w:proofErr w:type="spellStart"/>
                  <w:r w:rsidRPr="004C6A38">
                    <w:rPr>
                      <w:rFonts w:ascii="Times New Roman" w:eastAsia="Arial Unicode MS" w:hAnsi="Times New Roman" w:cs="Times New Roman"/>
                      <w:color w:val="000000" w:themeColor="text1"/>
                      <w:sz w:val="20"/>
                      <w:szCs w:val="20"/>
                      <w:lang w:val="ro-MD" w:eastAsia="ro-MD"/>
                    </w:rPr>
                    <w:t>E</w:t>
                  </w:r>
                  <w:r w:rsidRPr="004C6A38">
                    <w:rPr>
                      <w:rFonts w:ascii="Times New Roman" w:eastAsia="Arial Unicode MS" w:hAnsi="Times New Roman" w:cs="Times New Roman"/>
                      <w:color w:val="000000" w:themeColor="text1"/>
                      <w:sz w:val="20"/>
                      <w:szCs w:val="20"/>
                      <w:vertAlign w:val="subscript"/>
                      <w:lang w:val="ro-MD" w:eastAsia="ro-MD"/>
                    </w:rPr>
                    <w:t>S,i</w:t>
                  </w:r>
                  <w:proofErr w:type="spellEnd"/>
                </w:p>
              </w:tc>
              <w:tc>
                <w:tcPr>
                  <w:tcW w:w="9455" w:type="dxa"/>
                  <w:shd w:val="clear" w:color="auto" w:fill="FFFFFF"/>
                  <w:hideMark/>
                </w:tcPr>
                <w:p w14:paraId="3F9E91D6" w14:textId="77777777" w:rsidR="004C6A38" w:rsidRPr="004C6A38" w:rsidRDefault="004C6A38" w:rsidP="004C6A38">
                  <w:pPr>
                    <w:spacing w:before="120" w:after="0" w:line="240" w:lineRule="auto"/>
                    <w:jc w:val="both"/>
                    <w:rPr>
                      <w:rFonts w:ascii="Times New Roman" w:eastAsia="Arial Unicode MS" w:hAnsi="Times New Roman" w:cs="Times New Roman"/>
                      <w:color w:val="000000" w:themeColor="text1"/>
                      <w:sz w:val="20"/>
                      <w:szCs w:val="20"/>
                      <w:lang w:val="ro-MD" w:eastAsia="ro-MD"/>
                    </w:rPr>
                  </w:pPr>
                  <w:r w:rsidRPr="004C6A38">
                    <w:rPr>
                      <w:rFonts w:ascii="Times New Roman" w:eastAsia="Arial Unicode MS" w:hAnsi="Times New Roman" w:cs="Times New Roman"/>
                      <w:color w:val="000000" w:themeColor="text1"/>
                      <w:sz w:val="20"/>
                      <w:szCs w:val="20"/>
                      <w:lang w:val="ro-MD" w:eastAsia="ro-MD"/>
                    </w:rPr>
                    <w:t>= valoarea curentă a FCP i primită după aplicarea ajustării de volatilitate aplicabile pentru tipul de protecție finanțată a creditului (H</w:t>
                  </w:r>
                  <w:r w:rsidRPr="004C6A38">
                    <w:rPr>
                      <w:rFonts w:ascii="Times New Roman" w:eastAsia="Arial Unicode MS" w:hAnsi="Times New Roman" w:cs="Times New Roman"/>
                      <w:color w:val="000000" w:themeColor="text1"/>
                      <w:sz w:val="20"/>
                      <w:szCs w:val="20"/>
                      <w:vertAlign w:val="subscript"/>
                      <w:lang w:val="ro-MD" w:eastAsia="ro-MD"/>
                    </w:rPr>
                    <w:t>c</w:t>
                  </w:r>
                  <w:r w:rsidRPr="004C6A38">
                    <w:rPr>
                      <w:rFonts w:ascii="Times New Roman" w:eastAsia="Arial Unicode MS" w:hAnsi="Times New Roman" w:cs="Times New Roman"/>
                      <w:color w:val="000000" w:themeColor="text1"/>
                      <w:sz w:val="20"/>
                      <w:szCs w:val="20"/>
                      <w:lang w:val="ro-MD" w:eastAsia="ro-MD"/>
                    </w:rPr>
                    <w:t>) în temeiul articolului 230 alineatul (2).</w:t>
                  </w:r>
                </w:p>
              </w:tc>
            </w:tr>
          </w:tbl>
          <w:p w14:paraId="4CC1ACA4" w14:textId="77777777" w:rsidR="004C6A38" w:rsidRPr="004C6A38" w:rsidRDefault="004C6A38" w:rsidP="004C6A38">
            <w:pPr>
              <w:pStyle w:val="CM4"/>
              <w:tabs>
                <w:tab w:val="left" w:pos="150"/>
              </w:tabs>
              <w:ind w:left="-43"/>
              <w:jc w:val="both"/>
              <w:rPr>
                <w:rFonts w:ascii="Times New Roman" w:hAnsi="Times New Roman"/>
                <w:i/>
                <w:iCs/>
                <w:color w:val="000000" w:themeColor="text1"/>
                <w:sz w:val="20"/>
                <w:szCs w:val="20"/>
                <w:lang w:val="ro-RO" w:eastAsia="ru-RU"/>
              </w:rPr>
            </w:pPr>
          </w:p>
        </w:tc>
        <w:tc>
          <w:tcPr>
            <w:tcW w:w="1636" w:type="pct"/>
          </w:tcPr>
          <w:p w14:paraId="6735D2C3" w14:textId="77777777" w:rsidR="00B610FE" w:rsidRPr="005C3300" w:rsidRDefault="00B610FE" w:rsidP="00B610FE">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 </w:t>
            </w:r>
            <w:r w:rsidRPr="005C3300">
              <w:rPr>
                <w:rFonts w:ascii="Times New Roman" w:eastAsia="Times New Roman" w:hAnsi="Times New Roman" w:cs="Times New Roman"/>
                <w:b/>
                <w:bCs/>
                <w:i/>
                <w:iCs/>
                <w:color w:val="000000" w:themeColor="text1"/>
                <w:sz w:val="20"/>
                <w:szCs w:val="20"/>
                <w:lang w:val="ro-RO" w:eastAsia="ro-MD"/>
              </w:rPr>
              <w:t>Secțiunea a 9</w:t>
            </w:r>
            <w:r w:rsidRPr="005C3300">
              <w:rPr>
                <w:rFonts w:ascii="Times New Roman" w:eastAsia="Times New Roman" w:hAnsi="Times New Roman" w:cs="Times New Roman"/>
                <w:b/>
                <w:bCs/>
                <w:i/>
                <w:iCs/>
                <w:color w:val="000000" w:themeColor="text1"/>
                <w:sz w:val="20"/>
                <w:szCs w:val="20"/>
                <w:vertAlign w:val="superscript"/>
                <w:lang w:val="ro-RO" w:eastAsia="ro-MD"/>
              </w:rPr>
              <w:t>3</w:t>
            </w:r>
            <w:r w:rsidRPr="005C3300">
              <w:rPr>
                <w:rFonts w:ascii="Times New Roman" w:eastAsia="Times New Roman" w:hAnsi="Times New Roman" w:cs="Times New Roman"/>
                <w:b/>
                <w:bCs/>
                <w:i/>
                <w:iCs/>
                <w:color w:val="000000" w:themeColor="text1"/>
                <w:sz w:val="20"/>
                <w:szCs w:val="20"/>
                <w:lang w:val="ro-RO" w:eastAsia="ro-MD"/>
              </w:rPr>
              <w:t>-a</w:t>
            </w:r>
          </w:p>
          <w:p w14:paraId="16E37ED9" w14:textId="77777777" w:rsidR="00B610FE" w:rsidRDefault="00B610FE" w:rsidP="00B610FE">
            <w:pPr>
              <w:pStyle w:val="title-article-norm"/>
              <w:shd w:val="clear" w:color="auto" w:fill="FFFFFF"/>
              <w:spacing w:before="0" w:after="0"/>
              <w:rPr>
                <w:rFonts w:eastAsia="Arial Unicode MS"/>
                <w:b/>
                <w:bCs/>
                <w:color w:val="000000" w:themeColor="text1"/>
                <w:sz w:val="20"/>
                <w:szCs w:val="20"/>
              </w:rPr>
            </w:pPr>
            <w:proofErr w:type="spellStart"/>
            <w:r w:rsidRPr="005C3300">
              <w:rPr>
                <w:rFonts w:eastAsia="Arial Unicode MS"/>
                <w:b/>
                <w:bCs/>
                <w:color w:val="000000" w:themeColor="text1"/>
                <w:sz w:val="20"/>
                <w:szCs w:val="20"/>
              </w:rPr>
              <w:t>Calculul</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cuantumurilor</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ponderate</w:t>
            </w:r>
            <w:proofErr w:type="spellEnd"/>
            <w:r w:rsidRPr="005C3300">
              <w:rPr>
                <w:rFonts w:eastAsia="Arial Unicode MS"/>
                <w:b/>
                <w:bCs/>
                <w:color w:val="000000" w:themeColor="text1"/>
                <w:sz w:val="20"/>
                <w:szCs w:val="20"/>
              </w:rPr>
              <w:t xml:space="preserve"> la </w:t>
            </w:r>
            <w:proofErr w:type="spellStart"/>
            <w:r w:rsidRPr="005C3300">
              <w:rPr>
                <w:rFonts w:eastAsia="Arial Unicode MS"/>
                <w:b/>
                <w:bCs/>
                <w:color w:val="000000" w:themeColor="text1"/>
                <w:sz w:val="20"/>
                <w:szCs w:val="20"/>
              </w:rPr>
              <w:t>risc</w:t>
            </w:r>
            <w:proofErr w:type="spellEnd"/>
            <w:r w:rsidRPr="005C3300">
              <w:rPr>
                <w:rFonts w:eastAsia="Arial Unicode MS"/>
                <w:b/>
                <w:bCs/>
                <w:color w:val="000000" w:themeColor="text1"/>
                <w:sz w:val="20"/>
                <w:szCs w:val="20"/>
              </w:rPr>
              <w:t xml:space="preserve"> ale </w:t>
            </w:r>
            <w:proofErr w:type="spellStart"/>
            <w:r w:rsidRPr="005C3300">
              <w:rPr>
                <w:rFonts w:eastAsia="Arial Unicode MS"/>
                <w:b/>
                <w:bCs/>
                <w:color w:val="000000" w:themeColor="text1"/>
                <w:sz w:val="20"/>
                <w:szCs w:val="20"/>
              </w:rPr>
              <w:t>expunerilor</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și</w:t>
            </w:r>
            <w:proofErr w:type="spellEnd"/>
            <w:r w:rsidRPr="005C3300">
              <w:rPr>
                <w:rFonts w:eastAsia="Arial Unicode MS"/>
                <w:b/>
                <w:bCs/>
                <w:color w:val="000000" w:themeColor="text1"/>
                <w:sz w:val="20"/>
                <w:szCs w:val="20"/>
              </w:rPr>
              <w:t xml:space="preserve"> al </w:t>
            </w:r>
            <w:proofErr w:type="spellStart"/>
            <w:r w:rsidRPr="005C3300">
              <w:rPr>
                <w:rFonts w:eastAsia="Arial Unicode MS"/>
                <w:b/>
                <w:bCs/>
                <w:color w:val="000000" w:themeColor="text1"/>
                <w:sz w:val="20"/>
                <w:szCs w:val="20"/>
              </w:rPr>
              <w:t>cuantumurilor</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pierderilor</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așteptate</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în</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cazul</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portofoliilor</w:t>
            </w:r>
            <w:proofErr w:type="spellEnd"/>
            <w:r w:rsidRPr="005C3300">
              <w:rPr>
                <w:rFonts w:eastAsia="Arial Unicode MS"/>
                <w:b/>
                <w:bCs/>
                <w:color w:val="000000" w:themeColor="text1"/>
                <w:sz w:val="20"/>
                <w:szCs w:val="20"/>
              </w:rPr>
              <w:t xml:space="preserve"> de </w:t>
            </w:r>
            <w:proofErr w:type="spellStart"/>
            <w:r w:rsidRPr="005C3300">
              <w:rPr>
                <w:rFonts w:eastAsia="Arial Unicode MS"/>
                <w:b/>
                <w:bCs/>
                <w:color w:val="000000" w:themeColor="text1"/>
                <w:sz w:val="20"/>
                <w:szCs w:val="20"/>
              </w:rPr>
              <w:t>protecții</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finanțate</w:t>
            </w:r>
            <w:proofErr w:type="spellEnd"/>
            <w:r w:rsidRPr="005C3300">
              <w:rPr>
                <w:rFonts w:eastAsia="Arial Unicode MS"/>
                <w:b/>
                <w:bCs/>
                <w:color w:val="000000" w:themeColor="text1"/>
                <w:sz w:val="20"/>
                <w:szCs w:val="20"/>
              </w:rPr>
              <w:t xml:space="preserve"> ale </w:t>
            </w:r>
            <w:proofErr w:type="spellStart"/>
            <w:r w:rsidRPr="005C3300">
              <w:rPr>
                <w:rFonts w:eastAsia="Arial Unicode MS"/>
                <w:b/>
                <w:bCs/>
                <w:color w:val="000000" w:themeColor="text1"/>
                <w:sz w:val="20"/>
                <w:szCs w:val="20"/>
              </w:rPr>
              <w:t>creditului</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eligibile</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pentru</w:t>
            </w:r>
            <w:proofErr w:type="spellEnd"/>
            <w:r w:rsidRPr="005C3300">
              <w:rPr>
                <w:rFonts w:eastAsia="Arial Unicode MS"/>
                <w:b/>
                <w:bCs/>
                <w:color w:val="000000" w:themeColor="text1"/>
                <w:sz w:val="20"/>
                <w:szCs w:val="20"/>
              </w:rPr>
              <w:t xml:space="preserve"> o </w:t>
            </w:r>
            <w:proofErr w:type="spellStart"/>
            <w:r w:rsidRPr="005C3300">
              <w:rPr>
                <w:rFonts w:eastAsia="Arial Unicode MS"/>
                <w:b/>
                <w:bCs/>
                <w:color w:val="000000" w:themeColor="text1"/>
                <w:sz w:val="20"/>
                <w:szCs w:val="20"/>
              </w:rPr>
              <w:t>expunere</w:t>
            </w:r>
            <w:proofErr w:type="spellEnd"/>
            <w:r w:rsidRPr="005C3300">
              <w:rPr>
                <w:rFonts w:eastAsia="Arial Unicode MS"/>
                <w:b/>
                <w:bCs/>
                <w:color w:val="000000" w:themeColor="text1"/>
                <w:sz w:val="20"/>
                <w:szCs w:val="20"/>
              </w:rPr>
              <w:t xml:space="preserve"> </w:t>
            </w:r>
            <w:proofErr w:type="spellStart"/>
            <w:r w:rsidRPr="005C3300">
              <w:rPr>
                <w:rFonts w:eastAsia="Arial Unicode MS"/>
                <w:b/>
                <w:bCs/>
                <w:color w:val="000000" w:themeColor="text1"/>
                <w:sz w:val="20"/>
                <w:szCs w:val="20"/>
              </w:rPr>
              <w:t>tratată</w:t>
            </w:r>
            <w:proofErr w:type="spellEnd"/>
            <w:r w:rsidRPr="005C3300">
              <w:rPr>
                <w:rFonts w:eastAsia="Arial Unicode MS"/>
                <w:b/>
                <w:bCs/>
                <w:color w:val="000000" w:themeColor="text1"/>
                <w:sz w:val="20"/>
                <w:szCs w:val="20"/>
              </w:rPr>
              <w:t xml:space="preserve"> conform </w:t>
            </w:r>
            <w:proofErr w:type="spellStart"/>
            <w:r w:rsidRPr="005C3300">
              <w:rPr>
                <w:rFonts w:eastAsia="Arial Unicode MS"/>
                <w:b/>
                <w:bCs/>
                <w:color w:val="000000" w:themeColor="text1"/>
                <w:sz w:val="20"/>
                <w:szCs w:val="20"/>
              </w:rPr>
              <w:t>abordării</w:t>
            </w:r>
            <w:proofErr w:type="spellEnd"/>
            <w:r w:rsidRPr="005C3300">
              <w:rPr>
                <w:rFonts w:eastAsia="Arial Unicode MS"/>
                <w:b/>
                <w:bCs/>
                <w:color w:val="000000" w:themeColor="text1"/>
                <w:sz w:val="20"/>
                <w:szCs w:val="20"/>
              </w:rPr>
              <w:t xml:space="preserve"> IRB</w:t>
            </w:r>
          </w:p>
          <w:p w14:paraId="7545F3E9" w14:textId="77777777" w:rsidR="00B610FE" w:rsidRPr="00B610FE" w:rsidRDefault="00B610FE" w:rsidP="00B610FE">
            <w:pPr>
              <w:pStyle w:val="title-article-norm"/>
              <w:shd w:val="clear" w:color="auto" w:fill="FFFFFF"/>
              <w:spacing w:before="0" w:after="0"/>
              <w:rPr>
                <w:rFonts w:eastAsia="Arial Unicode MS"/>
                <w:i w:val="0"/>
                <w:iCs w:val="0"/>
                <w:color w:val="000000" w:themeColor="text1"/>
                <w:sz w:val="20"/>
                <w:szCs w:val="20"/>
              </w:rPr>
            </w:pPr>
          </w:p>
          <w:p w14:paraId="308615E9" w14:textId="77777777" w:rsidR="00B610FE" w:rsidRPr="005C3300" w:rsidRDefault="00B610FE" w:rsidP="00B610FE">
            <w:pPr>
              <w:pStyle w:val="norm"/>
              <w:shd w:val="clear" w:color="auto" w:fill="FFFFFF"/>
              <w:spacing w:before="0" w:beforeAutospacing="0" w:after="0" w:afterAutospacing="0"/>
              <w:jc w:val="both"/>
              <w:rPr>
                <w:rFonts w:eastAsia="Arial Unicode MS"/>
                <w:color w:val="000000" w:themeColor="text1"/>
                <w:sz w:val="20"/>
                <w:szCs w:val="20"/>
              </w:rPr>
            </w:pPr>
            <w:r w:rsidRPr="005C3300">
              <w:rPr>
                <w:b/>
                <w:bCs/>
                <w:color w:val="000000" w:themeColor="text1"/>
                <w:sz w:val="20"/>
                <w:szCs w:val="20"/>
                <w:lang w:val="ro-RO"/>
              </w:rPr>
              <w:t>107</w:t>
            </w:r>
            <w:r w:rsidRPr="005C3300">
              <w:rPr>
                <w:b/>
                <w:bCs/>
                <w:color w:val="000000" w:themeColor="text1"/>
                <w:sz w:val="20"/>
                <w:szCs w:val="20"/>
                <w:vertAlign w:val="superscript"/>
                <w:lang w:val="ro-RO"/>
              </w:rPr>
              <w:t>11</w:t>
            </w:r>
            <w:r w:rsidRPr="005C3300">
              <w:rPr>
                <w:b/>
                <w:bCs/>
                <w:color w:val="000000" w:themeColor="text1"/>
                <w:sz w:val="20"/>
                <w:szCs w:val="20"/>
                <w:lang w:val="ro-RO"/>
              </w:rPr>
              <w:t xml:space="preserve">. </w:t>
            </w:r>
            <w:proofErr w:type="spellStart"/>
            <w:r w:rsidRPr="005C3300">
              <w:rPr>
                <w:rFonts w:eastAsia="Arial Unicode MS"/>
                <w:color w:val="000000" w:themeColor="text1"/>
                <w:sz w:val="20"/>
                <w:szCs w:val="20"/>
              </w:rPr>
              <w:t>Băncile</w:t>
            </w:r>
            <w:proofErr w:type="spellEnd"/>
            <w:r w:rsidRPr="005C3300">
              <w:rPr>
                <w:rFonts w:eastAsia="Arial Unicode MS"/>
                <w:color w:val="000000" w:themeColor="text1"/>
                <w:sz w:val="20"/>
                <w:szCs w:val="20"/>
              </w:rPr>
              <w:t xml:space="preserve"> care au </w:t>
            </w:r>
            <w:proofErr w:type="spellStart"/>
            <w:r w:rsidRPr="005C3300">
              <w:rPr>
                <w:rFonts w:eastAsia="Arial Unicode MS"/>
                <w:color w:val="000000" w:themeColor="text1"/>
                <w:sz w:val="20"/>
                <w:szCs w:val="20"/>
              </w:rPr>
              <w:t>obținut</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mai</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multe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tipuri</w:t>
            </w:r>
            <w:proofErr w:type="spellEnd"/>
            <w:r w:rsidRPr="005C3300">
              <w:rPr>
                <w:rFonts w:eastAsia="Arial Unicode MS"/>
                <w:color w:val="000000" w:themeColor="text1"/>
                <w:sz w:val="20"/>
                <w:szCs w:val="20"/>
              </w:rPr>
              <w:t xml:space="preserve"> de </w:t>
            </w:r>
            <w:proofErr w:type="spellStart"/>
            <w:r w:rsidRPr="005C3300">
              <w:rPr>
                <w:rFonts w:eastAsia="Arial Unicode MS"/>
                <w:color w:val="000000" w:themeColor="text1"/>
                <w:sz w:val="20"/>
                <w:szCs w:val="20"/>
              </w:rPr>
              <w:t>protecție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finanțată</w:t>
            </w:r>
            <w:proofErr w:type="spellEnd"/>
            <w:r w:rsidRPr="005C3300">
              <w:rPr>
                <w:rFonts w:eastAsia="Arial Unicode MS"/>
                <w:color w:val="000000" w:themeColor="text1"/>
                <w:sz w:val="20"/>
                <w:szCs w:val="20"/>
              </w:rPr>
              <w:t xml:space="preserve"> a </w:t>
            </w:r>
            <w:proofErr w:type="spellStart"/>
            <w:r w:rsidRPr="005C3300">
              <w:rPr>
                <w:rFonts w:eastAsia="Arial Unicode MS"/>
                <w:color w:val="000000" w:themeColor="text1"/>
                <w:sz w:val="20"/>
                <w:szCs w:val="20"/>
              </w:rPr>
              <w:t>creditului</w:t>
            </w:r>
            <w:proofErr w:type="spellEnd"/>
            <w:r w:rsidRPr="005C3300">
              <w:rPr>
                <w:rFonts w:eastAsia="Arial Unicode MS"/>
                <w:color w:val="000000" w:themeColor="text1"/>
                <w:sz w:val="20"/>
                <w:szCs w:val="20"/>
              </w:rPr>
              <w:t xml:space="preserve"> pot, </w:t>
            </w:r>
            <w:proofErr w:type="spellStart"/>
            <w:r w:rsidRPr="005C3300">
              <w:rPr>
                <w:rFonts w:eastAsia="Arial Unicode MS"/>
                <w:color w:val="000000" w:themeColor="text1"/>
                <w:sz w:val="20"/>
                <w:szCs w:val="20"/>
              </w:rPr>
              <w:t>pentru</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expunerile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tratate</w:t>
            </w:r>
            <w:proofErr w:type="spellEnd"/>
            <w:r w:rsidRPr="005C3300">
              <w:rPr>
                <w:rFonts w:eastAsia="Arial Unicode MS"/>
                <w:color w:val="000000" w:themeColor="text1"/>
                <w:sz w:val="20"/>
                <w:szCs w:val="20"/>
              </w:rPr>
              <w:t xml:space="preserve"> conform </w:t>
            </w:r>
            <w:proofErr w:type="spellStart"/>
            <w:r w:rsidRPr="005C3300">
              <w:rPr>
                <w:rFonts w:eastAsia="Arial Unicode MS"/>
                <w:color w:val="000000" w:themeColor="text1"/>
                <w:sz w:val="20"/>
                <w:szCs w:val="20"/>
              </w:rPr>
              <w:t>abordării</w:t>
            </w:r>
            <w:proofErr w:type="spellEnd"/>
            <w:r w:rsidRPr="005C3300">
              <w:rPr>
                <w:rFonts w:eastAsia="Arial Unicode MS"/>
                <w:color w:val="000000" w:themeColor="text1"/>
                <w:sz w:val="20"/>
                <w:szCs w:val="20"/>
              </w:rPr>
              <w:t xml:space="preserve"> IRB, </w:t>
            </w:r>
            <w:proofErr w:type="spellStart"/>
            <w:r w:rsidRPr="005C3300">
              <w:rPr>
                <w:rFonts w:eastAsia="Arial Unicode MS"/>
                <w:color w:val="000000" w:themeColor="text1"/>
                <w:sz w:val="20"/>
                <w:szCs w:val="20"/>
              </w:rPr>
              <w:t>să</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aplice</w:t>
            </w:r>
            <w:proofErr w:type="spellEnd"/>
            <w:r w:rsidRPr="005C3300">
              <w:rPr>
                <w:rFonts w:eastAsia="Arial Unicode MS"/>
                <w:color w:val="000000" w:themeColor="text1"/>
                <w:sz w:val="20"/>
                <w:szCs w:val="20"/>
              </w:rPr>
              <w:t xml:space="preserve"> formula </w:t>
            </w:r>
            <w:proofErr w:type="spellStart"/>
            <w:r w:rsidRPr="005C3300">
              <w:rPr>
                <w:rFonts w:eastAsia="Arial Unicode MS"/>
                <w:color w:val="000000" w:themeColor="text1"/>
                <w:sz w:val="20"/>
                <w:szCs w:val="20"/>
              </w:rPr>
              <w:t>prevăzută</w:t>
            </w:r>
            <w:proofErr w:type="spellEnd"/>
            <w:r w:rsidRPr="005C3300">
              <w:rPr>
                <w:rFonts w:eastAsia="Arial Unicode MS"/>
                <w:color w:val="000000" w:themeColor="text1"/>
                <w:sz w:val="20"/>
                <w:szCs w:val="20"/>
              </w:rPr>
              <w:t xml:space="preserve"> la </w:t>
            </w:r>
            <w:proofErr w:type="spellStart"/>
            <w:r w:rsidRPr="005C3300">
              <w:rPr>
                <w:rFonts w:eastAsia="Arial Unicode MS"/>
                <w:color w:val="000000" w:themeColor="text1"/>
                <w:sz w:val="20"/>
                <w:szCs w:val="20"/>
              </w:rPr>
              <w:t>secțiunea</w:t>
            </w:r>
            <w:proofErr w:type="spellEnd"/>
            <w:r w:rsidRPr="005C3300">
              <w:rPr>
                <w:rFonts w:eastAsia="Arial Unicode MS"/>
                <w:color w:val="000000" w:themeColor="text1"/>
                <w:sz w:val="20"/>
                <w:szCs w:val="20"/>
              </w:rPr>
              <w:t xml:space="preserve"> 9</w:t>
            </w:r>
            <w:r w:rsidRPr="005C3300">
              <w:rPr>
                <w:rFonts w:eastAsia="Arial Unicode MS"/>
                <w:color w:val="000000" w:themeColor="text1"/>
                <w:sz w:val="20"/>
                <w:szCs w:val="20"/>
                <w:vertAlign w:val="superscript"/>
              </w:rPr>
              <w:t>2</w:t>
            </w:r>
            <w:r w:rsidRPr="005C3300">
              <w:rPr>
                <w:rFonts w:eastAsia="Arial Unicode MS"/>
                <w:color w:val="000000" w:themeColor="text1"/>
                <w:sz w:val="20"/>
                <w:szCs w:val="20"/>
              </w:rPr>
              <w:t xml:space="preserve"> din </w:t>
            </w:r>
            <w:proofErr w:type="spellStart"/>
            <w:r w:rsidRPr="005C3300">
              <w:rPr>
                <w:rFonts w:eastAsia="Arial Unicode MS"/>
                <w:color w:val="000000" w:themeColor="text1"/>
                <w:sz w:val="20"/>
                <w:szCs w:val="20"/>
              </w:rPr>
              <w:t>prezentul</w:t>
            </w:r>
            <w:proofErr w:type="spellEnd"/>
            <w:r w:rsidRPr="005C3300">
              <w:rPr>
                <w:rFonts w:eastAsia="Arial Unicode MS"/>
                <w:color w:val="000000" w:themeColor="text1"/>
                <w:sz w:val="20"/>
                <w:szCs w:val="20"/>
              </w:rPr>
              <w:t xml:space="preserve"> capitol </w:t>
            </w:r>
            <w:proofErr w:type="spellStart"/>
            <w:r w:rsidRPr="005C3300">
              <w:rPr>
                <w:rFonts w:eastAsia="Arial Unicode MS"/>
                <w:color w:val="000000" w:themeColor="text1"/>
                <w:sz w:val="20"/>
                <w:szCs w:val="20"/>
              </w:rPr>
              <w:t>în</w:t>
            </w:r>
            <w:proofErr w:type="spellEnd"/>
            <w:r w:rsidRPr="005C3300">
              <w:rPr>
                <w:rFonts w:eastAsia="Arial Unicode MS"/>
                <w:color w:val="000000" w:themeColor="text1"/>
                <w:sz w:val="20"/>
                <w:szCs w:val="20"/>
              </w:rPr>
              <w:t xml:space="preserve"> mod </w:t>
            </w:r>
            <w:proofErr w:type="spellStart"/>
            <w:r w:rsidRPr="005C3300">
              <w:rPr>
                <w:rFonts w:eastAsia="Arial Unicode MS"/>
                <w:color w:val="000000" w:themeColor="text1"/>
                <w:sz w:val="20"/>
                <w:szCs w:val="20"/>
              </w:rPr>
              <w:t>secvențial</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pentru</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fiecare</w:t>
            </w:r>
            <w:proofErr w:type="spellEnd"/>
            <w:r w:rsidRPr="005C3300">
              <w:rPr>
                <w:rFonts w:eastAsia="Arial Unicode MS"/>
                <w:color w:val="000000" w:themeColor="text1"/>
                <w:sz w:val="20"/>
                <w:szCs w:val="20"/>
              </w:rPr>
              <w:t xml:space="preserve"> tip de </w:t>
            </w:r>
            <w:proofErr w:type="spellStart"/>
            <w:r w:rsidRPr="005C3300">
              <w:rPr>
                <w:rFonts w:eastAsia="Arial Unicode MS"/>
                <w:color w:val="000000" w:themeColor="text1"/>
                <w:sz w:val="20"/>
                <w:szCs w:val="20"/>
              </w:rPr>
              <w:t>garanție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reală</w:t>
            </w:r>
            <w:proofErr w:type="spellEnd"/>
            <w:r w:rsidRPr="005C3300">
              <w:rPr>
                <w:rFonts w:eastAsia="Arial Unicode MS"/>
                <w:color w:val="000000" w:themeColor="text1"/>
                <w:sz w:val="20"/>
                <w:szCs w:val="20"/>
              </w:rPr>
              <w:t xml:space="preserve">. </w:t>
            </w:r>
          </w:p>
          <w:p w14:paraId="230365A3" w14:textId="5FA18134" w:rsidR="00B610FE" w:rsidRPr="005C3300" w:rsidRDefault="00B610FE" w:rsidP="00B610FE">
            <w:pPr>
              <w:pStyle w:val="norm"/>
              <w:shd w:val="clear" w:color="auto" w:fill="FFFFFF"/>
              <w:spacing w:before="0" w:beforeAutospacing="0" w:after="0" w:afterAutospacing="0"/>
              <w:jc w:val="both"/>
              <w:rPr>
                <w:rFonts w:eastAsia="Arial Unicode MS"/>
                <w:color w:val="000000" w:themeColor="text1"/>
                <w:sz w:val="20"/>
                <w:szCs w:val="20"/>
              </w:rPr>
            </w:pPr>
            <w:r w:rsidRPr="005C3300">
              <w:rPr>
                <w:b/>
                <w:bCs/>
                <w:color w:val="000000" w:themeColor="text1"/>
                <w:sz w:val="20"/>
                <w:szCs w:val="20"/>
                <w:lang w:val="ro-RO"/>
              </w:rPr>
              <w:t>107</w:t>
            </w:r>
            <w:r w:rsidRPr="005C3300">
              <w:rPr>
                <w:b/>
                <w:bCs/>
                <w:color w:val="000000" w:themeColor="text1"/>
                <w:sz w:val="20"/>
                <w:szCs w:val="20"/>
                <w:vertAlign w:val="superscript"/>
                <w:lang w:val="ro-RO"/>
              </w:rPr>
              <w:t>12</w:t>
            </w:r>
            <w:r w:rsidRPr="005C3300">
              <w:rPr>
                <w:b/>
                <w:bCs/>
                <w:color w:val="000000" w:themeColor="text1"/>
                <w:sz w:val="20"/>
                <w:szCs w:val="20"/>
                <w:lang w:val="ro-RO"/>
              </w:rPr>
              <w:t xml:space="preserve">. </w:t>
            </w:r>
            <w:proofErr w:type="spellStart"/>
            <w:r w:rsidRPr="005C3300">
              <w:rPr>
                <w:rFonts w:eastAsia="Arial Unicode MS"/>
                <w:color w:val="000000" w:themeColor="text1"/>
                <w:sz w:val="20"/>
                <w:szCs w:val="20"/>
              </w:rPr>
              <w:t>În</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scopul</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punctului</w:t>
            </w:r>
            <w:proofErr w:type="spellEnd"/>
            <w:r w:rsidRPr="005C3300">
              <w:rPr>
                <w:rFonts w:eastAsia="Arial Unicode MS"/>
                <w:color w:val="000000" w:themeColor="text1"/>
                <w:sz w:val="20"/>
                <w:szCs w:val="20"/>
              </w:rPr>
              <w:t xml:space="preserve"> 107</w:t>
            </w:r>
            <w:r w:rsidRPr="005C3300">
              <w:rPr>
                <w:rFonts w:eastAsia="Arial Unicode MS"/>
                <w:color w:val="000000" w:themeColor="text1"/>
                <w:sz w:val="20"/>
                <w:szCs w:val="20"/>
                <w:vertAlign w:val="superscript"/>
              </w:rPr>
              <w:t>11</w:t>
            </w:r>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după</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fiecare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etapă</w:t>
            </w:r>
            <w:proofErr w:type="spellEnd"/>
            <w:r w:rsidRPr="005C3300">
              <w:rPr>
                <w:rFonts w:eastAsia="Arial Unicode MS"/>
                <w:color w:val="000000" w:themeColor="text1"/>
                <w:sz w:val="20"/>
                <w:szCs w:val="20"/>
              </w:rPr>
              <w:t xml:space="preserve"> de </w:t>
            </w:r>
            <w:proofErr w:type="spellStart"/>
            <w:r w:rsidRPr="005C3300">
              <w:rPr>
                <w:rFonts w:eastAsia="Arial Unicode MS"/>
                <w:color w:val="000000" w:themeColor="text1"/>
                <w:sz w:val="20"/>
                <w:szCs w:val="20"/>
              </w:rPr>
              <w:t>recunoaștere</w:t>
            </w:r>
            <w:proofErr w:type="spellEnd"/>
            <w:r w:rsidRPr="005C3300">
              <w:rPr>
                <w:rFonts w:eastAsia="Arial Unicode MS"/>
                <w:color w:val="000000" w:themeColor="text1"/>
                <w:sz w:val="20"/>
                <w:szCs w:val="20"/>
              </w:rPr>
              <w:t xml:space="preserve"> a </w:t>
            </w:r>
            <w:proofErr w:type="spellStart"/>
            <w:r w:rsidRPr="005C3300">
              <w:rPr>
                <w:rFonts w:eastAsia="Arial Unicode MS"/>
                <w:color w:val="000000" w:themeColor="text1"/>
                <w:sz w:val="20"/>
                <w:szCs w:val="20"/>
              </w:rPr>
              <w:t>unui</w:t>
            </w:r>
            <w:proofErr w:type="spellEnd"/>
            <w:r w:rsidRPr="005C3300">
              <w:rPr>
                <w:rFonts w:eastAsia="Arial Unicode MS"/>
                <w:color w:val="000000" w:themeColor="text1"/>
                <w:sz w:val="20"/>
                <w:szCs w:val="20"/>
              </w:rPr>
              <w:t xml:space="preserve"> tip de </w:t>
            </w:r>
            <w:proofErr w:type="spellStart"/>
            <w:r w:rsidRPr="005C3300">
              <w:rPr>
                <w:rFonts w:eastAsia="Arial Unicode MS"/>
                <w:color w:val="000000" w:themeColor="text1"/>
                <w:sz w:val="20"/>
                <w:szCs w:val="20"/>
              </w:rPr>
              <w:t>protecție</w:t>
            </w:r>
            <w:proofErr w:type="spellEnd"/>
            <w:r w:rsidRPr="005C3300">
              <w:rPr>
                <w:rFonts w:eastAsia="Arial Unicode MS"/>
                <w:color w:val="000000" w:themeColor="text1"/>
                <w:sz w:val="20"/>
                <w:szCs w:val="20"/>
              </w:rPr>
              <w:t xml:space="preserve"> </w:t>
            </w:r>
            <w:r w:rsidRPr="005C3300">
              <w:rPr>
                <w:rFonts w:eastAsia="Arial Unicode MS"/>
                <w:color w:val="000000" w:themeColor="text1"/>
                <w:sz w:val="20"/>
                <w:szCs w:val="20"/>
                <w:lang w:val="ro-RO"/>
              </w:rPr>
              <w:t>finanțată a creditului</w:t>
            </w:r>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băncile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reduc</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valoarea</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expunerii</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negarantate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rămase</w:t>
            </w:r>
            <w:proofErr w:type="spellEnd"/>
            <w:r w:rsidRPr="005C3300">
              <w:rPr>
                <w:rFonts w:eastAsia="Arial Unicode MS"/>
                <w:color w:val="000000" w:themeColor="text1"/>
                <w:sz w:val="20"/>
                <w:szCs w:val="20"/>
              </w:rPr>
              <w:t xml:space="preserve"> (E</w:t>
            </w:r>
            <w:r w:rsidRPr="005C3300">
              <w:rPr>
                <w:rStyle w:val="subscript"/>
                <w:rFonts w:eastAsia="Arial Unicode MS"/>
                <w:color w:val="000000" w:themeColor="text1"/>
                <w:sz w:val="20"/>
                <w:szCs w:val="20"/>
                <w:vertAlign w:val="subscript"/>
              </w:rPr>
              <w:t>U</w:t>
            </w:r>
            <w:r w:rsidRPr="005C3300">
              <w:rPr>
                <w:rFonts w:eastAsia="Arial Unicode MS"/>
                <w:color w:val="000000" w:themeColor="text1"/>
                <w:sz w:val="20"/>
                <w:szCs w:val="20"/>
              </w:rPr>
              <w:t xml:space="preserve">) cu </w:t>
            </w:r>
            <w:proofErr w:type="spellStart"/>
            <w:r w:rsidRPr="005C3300">
              <w:rPr>
                <w:rFonts w:eastAsia="Arial Unicode MS"/>
                <w:color w:val="000000" w:themeColor="text1"/>
                <w:sz w:val="20"/>
                <w:szCs w:val="20"/>
              </w:rPr>
              <w:t>valoarea</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ajustată</w:t>
            </w:r>
            <w:proofErr w:type="spellEnd"/>
            <w:r w:rsidRPr="005C3300">
              <w:rPr>
                <w:rFonts w:eastAsia="Arial Unicode MS"/>
                <w:color w:val="000000" w:themeColor="text1"/>
                <w:sz w:val="20"/>
                <w:szCs w:val="20"/>
              </w:rPr>
              <w:t xml:space="preserve"> a </w:t>
            </w:r>
            <w:proofErr w:type="spellStart"/>
            <w:r w:rsidRPr="005C3300">
              <w:rPr>
                <w:rFonts w:eastAsia="Arial Unicode MS"/>
                <w:color w:val="000000" w:themeColor="text1"/>
                <w:sz w:val="20"/>
                <w:szCs w:val="20"/>
              </w:rPr>
              <w:t>garanției</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reale</w:t>
            </w:r>
            <w:proofErr w:type="spellEnd"/>
            <w:r w:rsidRPr="005C3300">
              <w:rPr>
                <w:rFonts w:eastAsia="Arial Unicode MS"/>
                <w:color w:val="000000" w:themeColor="text1"/>
                <w:sz w:val="20"/>
                <w:szCs w:val="20"/>
              </w:rPr>
              <w:t xml:space="preserve"> (E</w:t>
            </w:r>
            <w:r w:rsidRPr="005C3300">
              <w:rPr>
                <w:rStyle w:val="subscript"/>
                <w:rFonts w:eastAsia="Arial Unicode MS"/>
                <w:color w:val="000000" w:themeColor="text1"/>
                <w:sz w:val="20"/>
                <w:szCs w:val="20"/>
                <w:vertAlign w:val="subscript"/>
              </w:rPr>
              <w:t>S</w:t>
            </w:r>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recunoscute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în</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etapa</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respectivă</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În</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conformitate</w:t>
            </w:r>
            <w:proofErr w:type="spellEnd"/>
            <w:r w:rsidRPr="005C3300">
              <w:rPr>
                <w:rFonts w:eastAsia="Arial Unicode MS"/>
                <w:color w:val="000000" w:themeColor="text1"/>
                <w:sz w:val="20"/>
                <w:szCs w:val="20"/>
              </w:rPr>
              <w:t xml:space="preserve"> cu </w:t>
            </w:r>
            <w:proofErr w:type="spellStart"/>
            <w:r w:rsidRPr="005C3300">
              <w:rPr>
                <w:rFonts w:eastAsia="Arial Unicode MS"/>
                <w:color w:val="000000" w:themeColor="text1"/>
                <w:sz w:val="20"/>
                <w:szCs w:val="20"/>
              </w:rPr>
              <w:t>punctul</w:t>
            </w:r>
            <w:proofErr w:type="spellEnd"/>
            <w:r w:rsidRPr="005C3300">
              <w:rPr>
                <w:rFonts w:eastAsia="Arial Unicode MS"/>
                <w:color w:val="000000" w:themeColor="text1"/>
                <w:sz w:val="20"/>
                <w:szCs w:val="20"/>
              </w:rPr>
              <w:t xml:space="preserve"> 107</w:t>
            </w:r>
            <w:r w:rsidRPr="005C3300">
              <w:rPr>
                <w:rFonts w:eastAsia="Arial Unicode MS"/>
                <w:color w:val="000000" w:themeColor="text1"/>
                <w:sz w:val="20"/>
                <w:szCs w:val="20"/>
                <w:vertAlign w:val="superscript"/>
              </w:rPr>
              <w:t>6</w:t>
            </w:r>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totalul</w:t>
            </w:r>
            <w:proofErr w:type="spellEnd"/>
            <w:r w:rsidRPr="005C3300">
              <w:rPr>
                <w:rFonts w:eastAsia="Arial Unicode MS"/>
                <w:color w:val="000000" w:themeColor="text1"/>
                <w:sz w:val="20"/>
                <w:szCs w:val="20"/>
              </w:rPr>
              <w:t xml:space="preserve"> E</w:t>
            </w:r>
            <w:r w:rsidRPr="005C3300">
              <w:rPr>
                <w:rStyle w:val="subscript"/>
                <w:rFonts w:eastAsia="Arial Unicode MS"/>
                <w:color w:val="000000" w:themeColor="text1"/>
                <w:sz w:val="20"/>
                <w:szCs w:val="20"/>
                <w:vertAlign w:val="subscript"/>
              </w:rPr>
              <w:t>S</w:t>
            </w:r>
            <w:r w:rsidRPr="005C3300">
              <w:rPr>
                <w:rFonts w:eastAsia="Arial Unicode MS"/>
                <w:color w:val="000000" w:themeColor="text1"/>
                <w:sz w:val="20"/>
                <w:szCs w:val="20"/>
              </w:rPr>
              <w:t> </w:t>
            </w:r>
            <w:proofErr w:type="spellStart"/>
            <w:r w:rsidRPr="005C3300">
              <w:rPr>
                <w:rFonts w:eastAsia="Arial Unicode MS"/>
                <w:color w:val="000000" w:themeColor="text1"/>
                <w:sz w:val="20"/>
                <w:szCs w:val="20"/>
              </w:rPr>
              <w:t>pentru</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toate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tipurile</w:t>
            </w:r>
            <w:proofErr w:type="spellEnd"/>
            <w:r w:rsidRPr="005C3300">
              <w:rPr>
                <w:rFonts w:eastAsia="Arial Unicode MS"/>
                <w:color w:val="000000" w:themeColor="text1"/>
                <w:sz w:val="20"/>
                <w:szCs w:val="20"/>
              </w:rPr>
              <w:t xml:space="preserve"> de </w:t>
            </w:r>
            <w:proofErr w:type="spellStart"/>
            <w:r w:rsidRPr="005C3300">
              <w:rPr>
                <w:rFonts w:eastAsia="Arial Unicode MS"/>
                <w:color w:val="000000" w:themeColor="text1"/>
                <w:sz w:val="20"/>
                <w:szCs w:val="20"/>
              </w:rPr>
              <w:t>protecție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finanțată</w:t>
            </w:r>
            <w:proofErr w:type="spellEnd"/>
            <w:r w:rsidRPr="005C3300">
              <w:rPr>
                <w:rFonts w:eastAsia="Arial Unicode MS"/>
                <w:color w:val="000000" w:themeColor="text1"/>
                <w:sz w:val="20"/>
                <w:szCs w:val="20"/>
              </w:rPr>
              <w:t xml:space="preserve"> a </w:t>
            </w:r>
            <w:proofErr w:type="spellStart"/>
            <w:r w:rsidRPr="005C3300">
              <w:rPr>
                <w:rFonts w:eastAsia="Arial Unicode MS"/>
                <w:color w:val="000000" w:themeColor="text1"/>
                <w:sz w:val="20"/>
                <w:szCs w:val="20"/>
              </w:rPr>
              <w:t>creditului</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este</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plafonat</w:t>
            </w:r>
            <w:proofErr w:type="spellEnd"/>
            <w:r w:rsidRPr="005C3300">
              <w:rPr>
                <w:rFonts w:eastAsia="Arial Unicode MS"/>
                <w:color w:val="000000" w:themeColor="text1"/>
                <w:sz w:val="20"/>
                <w:szCs w:val="20"/>
              </w:rPr>
              <w:t xml:space="preserve"> la </w:t>
            </w:r>
            <w:proofErr w:type="spellStart"/>
            <w:r w:rsidRPr="005C3300">
              <w:rPr>
                <w:rFonts w:eastAsia="Arial Unicode MS"/>
                <w:color w:val="000000" w:themeColor="text1"/>
                <w:sz w:val="20"/>
                <w:szCs w:val="20"/>
              </w:rPr>
              <w:t>valoarea</w:t>
            </w:r>
            <w:proofErr w:type="spellEnd"/>
            <w:r w:rsidRPr="005C3300">
              <w:rPr>
                <w:rFonts w:eastAsia="Arial Unicode MS"/>
                <w:color w:val="000000" w:themeColor="text1"/>
                <w:sz w:val="20"/>
                <w:szCs w:val="20"/>
              </w:rPr>
              <w:t xml:space="preserve"> E·(1+H</w:t>
            </w:r>
            <w:r w:rsidRPr="005C3300">
              <w:rPr>
                <w:rStyle w:val="subscript"/>
                <w:rFonts w:eastAsia="Arial Unicode MS"/>
                <w:color w:val="000000" w:themeColor="text1"/>
                <w:sz w:val="20"/>
                <w:szCs w:val="20"/>
                <w:vertAlign w:val="subscript"/>
              </w:rPr>
              <w:t>E</w:t>
            </w:r>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având</w:t>
            </w:r>
            <w:proofErr w:type="spellEnd"/>
            <w:r w:rsidRPr="005C3300">
              <w:rPr>
                <w:rFonts w:eastAsia="Arial Unicode MS"/>
                <w:color w:val="000000" w:themeColor="text1"/>
                <w:sz w:val="20"/>
                <w:szCs w:val="20"/>
              </w:rPr>
              <w:t xml:space="preserve"> ca </w:t>
            </w:r>
            <w:proofErr w:type="spellStart"/>
            <w:r w:rsidRPr="005C3300">
              <w:rPr>
                <w:rFonts w:eastAsia="Arial Unicode MS"/>
                <w:color w:val="000000" w:themeColor="text1"/>
                <w:sz w:val="20"/>
                <w:szCs w:val="20"/>
              </w:rPr>
              <w:t>rezultat</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următoarea</w:t>
            </w:r>
            <w:proofErr w:type="spellEnd"/>
            <w:r w:rsidRPr="005C3300">
              <w:rPr>
                <w:rFonts w:eastAsia="Arial Unicode MS"/>
                <w:color w:val="000000" w:themeColor="text1"/>
                <w:sz w:val="20"/>
                <w:szCs w:val="20"/>
              </w:rPr>
              <w:t xml:space="preserve"> </w:t>
            </w:r>
            <w:proofErr w:type="spellStart"/>
            <w:r w:rsidRPr="005C3300">
              <w:rPr>
                <w:rFonts w:eastAsia="Arial Unicode MS"/>
                <w:color w:val="000000" w:themeColor="text1"/>
                <w:sz w:val="20"/>
                <w:szCs w:val="20"/>
              </w:rPr>
              <w:t>formulă</w:t>
            </w:r>
            <w:proofErr w:type="spellEnd"/>
            <w:r w:rsidRPr="005C3300">
              <w:rPr>
                <w:rFonts w:eastAsia="Arial Unicode MS"/>
                <w:color w:val="000000" w:themeColor="text1"/>
                <w:sz w:val="20"/>
                <w:szCs w:val="20"/>
              </w:rPr>
              <w:t>:</w:t>
            </w:r>
          </w:p>
          <w:p w14:paraId="545ED776" w14:textId="77777777" w:rsidR="00B610FE" w:rsidRPr="005C3300" w:rsidRDefault="00B610FE" w:rsidP="00B610FE">
            <w:pPr>
              <w:pStyle w:val="norm"/>
              <w:shd w:val="clear" w:color="auto" w:fill="FFFFFF"/>
              <w:spacing w:before="0" w:beforeAutospacing="0" w:after="0" w:afterAutospacing="0"/>
              <w:jc w:val="both"/>
              <w:rPr>
                <w:rFonts w:eastAsia="Arial Unicode MS"/>
                <w:color w:val="000000" w:themeColor="text1"/>
                <w:sz w:val="20"/>
                <w:szCs w:val="20"/>
              </w:rPr>
            </w:pPr>
            <w:r w:rsidRPr="005C3300">
              <w:rPr>
                <w:b/>
                <w:bCs/>
                <w:noProof/>
                <w:color w:val="000000" w:themeColor="text1"/>
                <w:sz w:val="20"/>
                <w:szCs w:val="20"/>
                <w:lang w:val="ro-RO"/>
              </w:rPr>
              <w:drawing>
                <wp:inline distT="0" distB="0" distL="0" distR="0" wp14:anchorId="26663095" wp14:editId="5661BC8D">
                  <wp:extent cx="3000375" cy="400050"/>
                  <wp:effectExtent l="0" t="0" r="0" b="0"/>
                  <wp:docPr id="47" name="Picture 4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03413" cy="400455"/>
                          </a:xfrm>
                          <a:prstGeom prst="rect">
                            <a:avLst/>
                          </a:prstGeom>
                          <a:noFill/>
                          <a:ln>
                            <a:noFill/>
                          </a:ln>
                        </pic:spPr>
                      </pic:pic>
                    </a:graphicData>
                  </a:graphic>
                </wp:inline>
              </w:drawing>
            </w:r>
          </w:p>
          <w:p w14:paraId="557C9B03" w14:textId="77777777" w:rsidR="00B610FE" w:rsidRPr="005C3300" w:rsidRDefault="00B610FE" w:rsidP="00B610FE">
            <w:pPr>
              <w:pStyle w:val="norm"/>
              <w:shd w:val="clear" w:color="auto" w:fill="FFFFFF"/>
              <w:spacing w:before="0" w:beforeAutospacing="0" w:after="0" w:afterAutospacing="0"/>
              <w:jc w:val="both"/>
              <w:rPr>
                <w:rFonts w:eastAsia="Arial Unicode MS"/>
                <w:color w:val="000000" w:themeColor="text1"/>
                <w:sz w:val="20"/>
                <w:szCs w:val="20"/>
              </w:rPr>
            </w:pPr>
            <w:proofErr w:type="spellStart"/>
            <w:r w:rsidRPr="005C3300">
              <w:rPr>
                <w:rFonts w:eastAsia="Arial Unicode MS"/>
                <w:color w:val="000000" w:themeColor="text1"/>
                <w:sz w:val="20"/>
                <w:szCs w:val="20"/>
              </w:rPr>
              <w:t>unde</w:t>
            </w:r>
            <w:proofErr w:type="spellEnd"/>
            <w:r w:rsidRPr="005C3300">
              <w:rPr>
                <w:rFonts w:eastAsia="Arial Unicode MS"/>
                <w:color w:val="000000" w:themeColor="text1"/>
                <w:sz w:val="20"/>
                <w:szCs w:val="20"/>
              </w:rPr>
              <w:t>:</w:t>
            </w:r>
          </w:p>
          <w:tbl>
            <w:tblPr>
              <w:tblW w:w="5000" w:type="pct"/>
              <w:tblLayout w:type="fixed"/>
              <w:tblCellMar>
                <w:left w:w="0" w:type="dxa"/>
                <w:right w:w="0" w:type="dxa"/>
              </w:tblCellMar>
              <w:tblLook w:val="04A0" w:firstRow="1" w:lastRow="0" w:firstColumn="1" w:lastColumn="0" w:noHBand="0" w:noVBand="1"/>
            </w:tblPr>
            <w:tblGrid>
              <w:gridCol w:w="465"/>
              <w:gridCol w:w="4200"/>
            </w:tblGrid>
            <w:tr w:rsidR="00B610FE" w:rsidRPr="005C3300" w14:paraId="4D1C7E9D" w14:textId="77777777" w:rsidTr="005C3300">
              <w:tc>
                <w:tcPr>
                  <w:tcW w:w="916" w:type="dxa"/>
                  <w:hideMark/>
                </w:tcPr>
                <w:p w14:paraId="2853B76E" w14:textId="77777777" w:rsidR="00B610FE" w:rsidRPr="005C3300" w:rsidRDefault="00B610FE" w:rsidP="00B610FE">
                  <w:pPr>
                    <w:pStyle w:val="dlist-term"/>
                    <w:spacing w:before="0" w:beforeAutospacing="0" w:after="0" w:afterAutospacing="0"/>
                    <w:rPr>
                      <w:color w:val="000000" w:themeColor="text1"/>
                      <w:sz w:val="20"/>
                      <w:szCs w:val="20"/>
                    </w:rPr>
                  </w:pPr>
                  <w:proofErr w:type="spellStart"/>
                  <w:r w:rsidRPr="005C3300">
                    <w:rPr>
                      <w:color w:val="000000" w:themeColor="text1"/>
                      <w:sz w:val="20"/>
                      <w:szCs w:val="20"/>
                    </w:rPr>
                    <w:t>LGD</w:t>
                  </w:r>
                  <w:r w:rsidRPr="005C3300">
                    <w:rPr>
                      <w:rStyle w:val="subscript"/>
                      <w:color w:val="000000" w:themeColor="text1"/>
                      <w:sz w:val="20"/>
                      <w:szCs w:val="20"/>
                      <w:vertAlign w:val="subscript"/>
                    </w:rPr>
                    <w:t>S,i</w:t>
                  </w:r>
                  <w:proofErr w:type="spellEnd"/>
                </w:p>
              </w:tc>
              <w:tc>
                <w:tcPr>
                  <w:tcW w:w="8439" w:type="dxa"/>
                  <w:hideMark/>
                </w:tcPr>
                <w:p w14:paraId="2EB0BBAC" w14:textId="77777777" w:rsidR="00B610FE" w:rsidRPr="005C3300" w:rsidRDefault="00B610FE" w:rsidP="00B610FE">
                  <w:pPr>
                    <w:pStyle w:val="norm"/>
                    <w:spacing w:before="0" w:beforeAutospacing="0" w:after="0" w:afterAutospacing="0"/>
                    <w:jc w:val="both"/>
                    <w:rPr>
                      <w:color w:val="000000" w:themeColor="text1"/>
                      <w:sz w:val="20"/>
                      <w:szCs w:val="20"/>
                    </w:rPr>
                  </w:pPr>
                  <w:r w:rsidRPr="005C3300">
                    <w:rPr>
                      <w:color w:val="000000" w:themeColor="text1"/>
                      <w:sz w:val="20"/>
                      <w:szCs w:val="20"/>
                    </w:rPr>
                    <w:t xml:space="preserve">= LGD </w:t>
                  </w:r>
                  <w:proofErr w:type="spellStart"/>
                  <w:r w:rsidRPr="005C3300">
                    <w:rPr>
                      <w:color w:val="000000" w:themeColor="text1"/>
                      <w:sz w:val="20"/>
                      <w:szCs w:val="20"/>
                    </w:rPr>
                    <w:t>aplicabilă</w:t>
                  </w:r>
                  <w:proofErr w:type="spellEnd"/>
                  <w:r w:rsidRPr="005C3300">
                    <w:rPr>
                      <w:color w:val="000000" w:themeColor="text1"/>
                      <w:sz w:val="20"/>
                      <w:szCs w:val="20"/>
                    </w:rPr>
                    <w:t xml:space="preserve"> </w:t>
                  </w:r>
                  <w:proofErr w:type="spellStart"/>
                  <w:r w:rsidRPr="005C3300">
                    <w:rPr>
                      <w:color w:val="000000" w:themeColor="text1"/>
                      <w:sz w:val="20"/>
                      <w:szCs w:val="20"/>
                    </w:rPr>
                    <w:t>FCPi</w:t>
                  </w:r>
                  <w:proofErr w:type="spellEnd"/>
                  <w:r w:rsidRPr="005C3300">
                    <w:rPr>
                      <w:color w:val="000000" w:themeColor="text1"/>
                      <w:sz w:val="20"/>
                      <w:szCs w:val="20"/>
                    </w:rPr>
                    <w:t xml:space="preserve">, </w:t>
                  </w:r>
                  <w:proofErr w:type="spellStart"/>
                  <w:r w:rsidRPr="005C3300">
                    <w:rPr>
                      <w:color w:val="000000" w:themeColor="text1"/>
                      <w:sz w:val="20"/>
                      <w:szCs w:val="20"/>
                    </w:rPr>
                    <w:t>astfel</w:t>
                  </w:r>
                  <w:proofErr w:type="spellEnd"/>
                  <w:r w:rsidRPr="005C3300">
                    <w:rPr>
                      <w:color w:val="000000" w:themeColor="text1"/>
                      <w:sz w:val="20"/>
                      <w:szCs w:val="20"/>
                    </w:rPr>
                    <w:t xml:space="preserve"> cum se </w:t>
                  </w:r>
                  <w:proofErr w:type="spellStart"/>
                  <w:r w:rsidRPr="005C3300">
                    <w:rPr>
                      <w:color w:val="000000" w:themeColor="text1"/>
                      <w:sz w:val="20"/>
                      <w:szCs w:val="20"/>
                    </w:rPr>
                    <w:t>specifică</w:t>
                  </w:r>
                  <w:proofErr w:type="spellEnd"/>
                  <w:r w:rsidRPr="005C3300">
                    <w:rPr>
                      <w:color w:val="000000" w:themeColor="text1"/>
                      <w:sz w:val="20"/>
                      <w:szCs w:val="20"/>
                    </w:rPr>
                    <w:t xml:space="preserve"> la </w:t>
                  </w:r>
                  <w:proofErr w:type="spellStart"/>
                  <w:r w:rsidRPr="005C3300">
                    <w:rPr>
                      <w:color w:val="000000" w:themeColor="text1"/>
                      <w:sz w:val="20"/>
                      <w:szCs w:val="20"/>
                    </w:rPr>
                    <w:t>punctul</w:t>
                  </w:r>
                  <w:proofErr w:type="spellEnd"/>
                  <w:r w:rsidRPr="005C3300">
                    <w:rPr>
                      <w:color w:val="000000" w:themeColor="text1"/>
                      <w:sz w:val="20"/>
                      <w:szCs w:val="20"/>
                    </w:rPr>
                    <w:t xml:space="preserve"> 107</w:t>
                  </w:r>
                  <w:r w:rsidRPr="005C3300">
                    <w:rPr>
                      <w:color w:val="000000" w:themeColor="text1"/>
                      <w:sz w:val="20"/>
                      <w:szCs w:val="20"/>
                      <w:vertAlign w:val="superscript"/>
                    </w:rPr>
                    <w:t>7</w:t>
                  </w:r>
                  <w:r w:rsidRPr="005C3300">
                    <w:rPr>
                      <w:color w:val="000000" w:themeColor="text1"/>
                      <w:sz w:val="20"/>
                      <w:szCs w:val="20"/>
                    </w:rPr>
                    <w:t>;</w:t>
                  </w:r>
                </w:p>
              </w:tc>
            </w:tr>
          </w:tbl>
          <w:p w14:paraId="593231AA" w14:textId="77777777" w:rsidR="00B610FE" w:rsidRPr="005C3300" w:rsidRDefault="00B610FE" w:rsidP="00B610FE">
            <w:pPr>
              <w:shd w:val="clear" w:color="auto" w:fill="FFFFFF"/>
              <w:spacing w:after="0" w:line="240" w:lineRule="auto"/>
              <w:rPr>
                <w:rFonts w:ascii="Times New Roman" w:eastAsia="Arial Unicode MS" w:hAnsi="Times New Roman" w:cs="Times New Roman"/>
                <w:vanish/>
                <w:color w:val="000000" w:themeColor="text1"/>
                <w:sz w:val="20"/>
                <w:szCs w:val="20"/>
              </w:rPr>
            </w:pPr>
          </w:p>
          <w:tbl>
            <w:tblPr>
              <w:tblW w:w="5000" w:type="pct"/>
              <w:tblLayout w:type="fixed"/>
              <w:tblCellMar>
                <w:left w:w="0" w:type="dxa"/>
                <w:right w:w="0" w:type="dxa"/>
              </w:tblCellMar>
              <w:tblLook w:val="04A0" w:firstRow="1" w:lastRow="0" w:firstColumn="1" w:lastColumn="0" w:noHBand="0" w:noVBand="1"/>
            </w:tblPr>
            <w:tblGrid>
              <w:gridCol w:w="319"/>
              <w:gridCol w:w="4346"/>
            </w:tblGrid>
            <w:tr w:rsidR="00B610FE" w:rsidRPr="005C3300" w14:paraId="28141B40" w14:textId="77777777" w:rsidTr="00B610FE">
              <w:tc>
                <w:tcPr>
                  <w:tcW w:w="324" w:type="dxa"/>
                  <w:hideMark/>
                </w:tcPr>
                <w:p w14:paraId="75A81E6C" w14:textId="77777777" w:rsidR="00B610FE" w:rsidRPr="005C3300" w:rsidRDefault="00B610FE" w:rsidP="00B610FE">
                  <w:pPr>
                    <w:pStyle w:val="dlist-term"/>
                    <w:spacing w:before="0" w:beforeAutospacing="0" w:after="0" w:afterAutospacing="0"/>
                    <w:ind w:right="6"/>
                    <w:rPr>
                      <w:color w:val="000000" w:themeColor="text1"/>
                      <w:sz w:val="20"/>
                      <w:szCs w:val="20"/>
                    </w:rPr>
                  </w:pPr>
                  <w:proofErr w:type="spellStart"/>
                  <w:r w:rsidRPr="005C3300">
                    <w:rPr>
                      <w:color w:val="000000" w:themeColor="text1"/>
                      <w:sz w:val="20"/>
                      <w:szCs w:val="20"/>
                    </w:rPr>
                    <w:t>E</w:t>
                  </w:r>
                  <w:r w:rsidRPr="005C3300">
                    <w:rPr>
                      <w:rStyle w:val="subscript"/>
                      <w:color w:val="000000" w:themeColor="text1"/>
                      <w:sz w:val="20"/>
                      <w:szCs w:val="20"/>
                      <w:vertAlign w:val="subscript"/>
                    </w:rPr>
                    <w:t>S,i</w:t>
                  </w:r>
                  <w:proofErr w:type="spellEnd"/>
                </w:p>
              </w:tc>
              <w:tc>
                <w:tcPr>
                  <w:tcW w:w="4423" w:type="dxa"/>
                  <w:hideMark/>
                </w:tcPr>
                <w:p w14:paraId="1E8CF908" w14:textId="77777777" w:rsidR="00B610FE" w:rsidRDefault="00B610FE" w:rsidP="00B610FE">
                  <w:pPr>
                    <w:pStyle w:val="norm"/>
                    <w:spacing w:before="0" w:beforeAutospacing="0" w:after="0" w:afterAutospacing="0"/>
                    <w:jc w:val="both"/>
                    <w:rPr>
                      <w:color w:val="000000" w:themeColor="text1"/>
                      <w:sz w:val="20"/>
                      <w:szCs w:val="20"/>
                    </w:rPr>
                  </w:pPr>
                  <w:r w:rsidRPr="005C3300">
                    <w:rPr>
                      <w:color w:val="000000" w:themeColor="text1"/>
                      <w:sz w:val="20"/>
                      <w:szCs w:val="20"/>
                    </w:rPr>
                    <w:t xml:space="preserve">= </w:t>
                  </w:r>
                  <w:proofErr w:type="spellStart"/>
                  <w:r w:rsidRPr="005C3300">
                    <w:rPr>
                      <w:color w:val="000000" w:themeColor="text1"/>
                      <w:sz w:val="20"/>
                      <w:szCs w:val="20"/>
                    </w:rPr>
                    <w:t>valoarea</w:t>
                  </w:r>
                  <w:proofErr w:type="spellEnd"/>
                  <w:r w:rsidRPr="005C3300">
                    <w:rPr>
                      <w:color w:val="000000" w:themeColor="text1"/>
                      <w:sz w:val="20"/>
                      <w:szCs w:val="20"/>
                    </w:rPr>
                    <w:t xml:space="preserve"> </w:t>
                  </w:r>
                  <w:proofErr w:type="spellStart"/>
                  <w:r w:rsidRPr="005C3300">
                    <w:rPr>
                      <w:color w:val="000000" w:themeColor="text1"/>
                      <w:sz w:val="20"/>
                      <w:szCs w:val="20"/>
                    </w:rPr>
                    <w:t>curentă</w:t>
                  </w:r>
                  <w:proofErr w:type="spellEnd"/>
                  <w:r w:rsidRPr="005C3300">
                    <w:rPr>
                      <w:color w:val="000000" w:themeColor="text1"/>
                      <w:sz w:val="20"/>
                      <w:szCs w:val="20"/>
                    </w:rPr>
                    <w:t xml:space="preserve"> a </w:t>
                  </w:r>
                  <w:proofErr w:type="spellStart"/>
                  <w:r w:rsidRPr="005C3300">
                    <w:rPr>
                      <w:color w:val="000000" w:themeColor="text1"/>
                      <w:sz w:val="20"/>
                      <w:szCs w:val="20"/>
                    </w:rPr>
                    <w:t>FCPi</w:t>
                  </w:r>
                  <w:proofErr w:type="spellEnd"/>
                  <w:r w:rsidRPr="005C3300">
                    <w:rPr>
                      <w:color w:val="000000" w:themeColor="text1"/>
                      <w:sz w:val="20"/>
                      <w:szCs w:val="20"/>
                    </w:rPr>
                    <w:t> </w:t>
                  </w:r>
                  <w:proofErr w:type="spellStart"/>
                  <w:r w:rsidRPr="005C3300">
                    <w:rPr>
                      <w:color w:val="000000" w:themeColor="text1"/>
                      <w:sz w:val="20"/>
                      <w:szCs w:val="20"/>
                    </w:rPr>
                    <w:t>primită</w:t>
                  </w:r>
                  <w:proofErr w:type="spellEnd"/>
                  <w:r w:rsidRPr="005C3300">
                    <w:rPr>
                      <w:color w:val="000000" w:themeColor="text1"/>
                      <w:sz w:val="20"/>
                      <w:szCs w:val="20"/>
                    </w:rPr>
                    <w:t xml:space="preserve"> </w:t>
                  </w:r>
                  <w:proofErr w:type="spellStart"/>
                  <w:r w:rsidRPr="005C3300">
                    <w:rPr>
                      <w:color w:val="000000" w:themeColor="text1"/>
                      <w:sz w:val="20"/>
                      <w:szCs w:val="20"/>
                    </w:rPr>
                    <w:t>după</w:t>
                  </w:r>
                  <w:proofErr w:type="spellEnd"/>
                  <w:r w:rsidRPr="005C3300">
                    <w:rPr>
                      <w:color w:val="000000" w:themeColor="text1"/>
                      <w:sz w:val="20"/>
                      <w:szCs w:val="20"/>
                    </w:rPr>
                    <w:t xml:space="preserve"> </w:t>
                  </w:r>
                  <w:proofErr w:type="spellStart"/>
                  <w:r w:rsidRPr="005C3300">
                    <w:rPr>
                      <w:color w:val="000000" w:themeColor="text1"/>
                      <w:sz w:val="20"/>
                      <w:szCs w:val="20"/>
                    </w:rPr>
                    <w:t>aplicarea</w:t>
                  </w:r>
                  <w:proofErr w:type="spellEnd"/>
                  <w:r w:rsidRPr="005C3300">
                    <w:rPr>
                      <w:color w:val="000000" w:themeColor="text1"/>
                      <w:sz w:val="20"/>
                      <w:szCs w:val="20"/>
                    </w:rPr>
                    <w:t xml:space="preserve"> </w:t>
                  </w:r>
                  <w:proofErr w:type="spellStart"/>
                  <w:r w:rsidRPr="005C3300">
                    <w:rPr>
                      <w:color w:val="000000" w:themeColor="text1"/>
                      <w:sz w:val="20"/>
                      <w:szCs w:val="20"/>
                    </w:rPr>
                    <w:t>ajustării</w:t>
                  </w:r>
                  <w:proofErr w:type="spellEnd"/>
                  <w:r w:rsidRPr="005C3300">
                    <w:rPr>
                      <w:color w:val="000000" w:themeColor="text1"/>
                      <w:sz w:val="20"/>
                      <w:szCs w:val="20"/>
                    </w:rPr>
                    <w:t xml:space="preserve"> de </w:t>
                  </w:r>
                  <w:proofErr w:type="spellStart"/>
                  <w:r w:rsidRPr="005C3300">
                    <w:rPr>
                      <w:color w:val="000000" w:themeColor="text1"/>
                      <w:sz w:val="20"/>
                      <w:szCs w:val="20"/>
                    </w:rPr>
                    <w:t>volatilitate</w:t>
                  </w:r>
                  <w:proofErr w:type="spellEnd"/>
                  <w:r w:rsidRPr="005C3300">
                    <w:rPr>
                      <w:color w:val="000000" w:themeColor="text1"/>
                      <w:sz w:val="20"/>
                      <w:szCs w:val="20"/>
                    </w:rPr>
                    <w:t xml:space="preserve"> </w:t>
                  </w:r>
                  <w:proofErr w:type="spellStart"/>
                  <w:r w:rsidRPr="005C3300">
                    <w:rPr>
                      <w:color w:val="000000" w:themeColor="text1"/>
                      <w:sz w:val="20"/>
                      <w:szCs w:val="20"/>
                    </w:rPr>
                    <w:t>aplicabile</w:t>
                  </w:r>
                  <w:proofErr w:type="spellEnd"/>
                  <w:r w:rsidRPr="005C3300">
                    <w:rPr>
                      <w:color w:val="000000" w:themeColor="text1"/>
                      <w:sz w:val="20"/>
                      <w:szCs w:val="20"/>
                    </w:rPr>
                    <w:t xml:space="preserve"> </w:t>
                  </w:r>
                  <w:proofErr w:type="spellStart"/>
                  <w:r w:rsidRPr="005C3300">
                    <w:rPr>
                      <w:color w:val="000000" w:themeColor="text1"/>
                      <w:sz w:val="20"/>
                      <w:szCs w:val="20"/>
                    </w:rPr>
                    <w:t>pentru</w:t>
                  </w:r>
                  <w:proofErr w:type="spellEnd"/>
                  <w:r w:rsidRPr="005C3300">
                    <w:rPr>
                      <w:color w:val="000000" w:themeColor="text1"/>
                      <w:sz w:val="20"/>
                      <w:szCs w:val="20"/>
                    </w:rPr>
                    <w:t xml:space="preserve"> </w:t>
                  </w:r>
                  <w:proofErr w:type="spellStart"/>
                  <w:r w:rsidRPr="005C3300">
                    <w:rPr>
                      <w:color w:val="000000" w:themeColor="text1"/>
                      <w:sz w:val="20"/>
                      <w:szCs w:val="20"/>
                    </w:rPr>
                    <w:t>tipul</w:t>
                  </w:r>
                  <w:proofErr w:type="spellEnd"/>
                  <w:r w:rsidRPr="005C3300">
                    <w:rPr>
                      <w:color w:val="000000" w:themeColor="text1"/>
                      <w:sz w:val="20"/>
                      <w:szCs w:val="20"/>
                    </w:rPr>
                    <w:t xml:space="preserve"> de </w:t>
                  </w:r>
                  <w:proofErr w:type="spellStart"/>
                  <w:r w:rsidRPr="005C3300">
                    <w:rPr>
                      <w:color w:val="000000" w:themeColor="text1"/>
                      <w:sz w:val="20"/>
                      <w:szCs w:val="20"/>
                    </w:rPr>
                    <w:t>protecție</w:t>
                  </w:r>
                  <w:proofErr w:type="spellEnd"/>
                  <w:r w:rsidRPr="005C3300">
                    <w:rPr>
                      <w:color w:val="000000" w:themeColor="text1"/>
                      <w:sz w:val="20"/>
                      <w:szCs w:val="20"/>
                    </w:rPr>
                    <w:t xml:space="preserve"> </w:t>
                  </w:r>
                  <w:proofErr w:type="spellStart"/>
                  <w:r w:rsidRPr="005C3300">
                    <w:rPr>
                      <w:color w:val="000000" w:themeColor="text1"/>
                      <w:sz w:val="20"/>
                      <w:szCs w:val="20"/>
                    </w:rPr>
                    <w:t>finanțată</w:t>
                  </w:r>
                  <w:proofErr w:type="spellEnd"/>
                  <w:r w:rsidRPr="005C3300">
                    <w:rPr>
                      <w:color w:val="000000" w:themeColor="text1"/>
                      <w:sz w:val="20"/>
                      <w:szCs w:val="20"/>
                    </w:rPr>
                    <w:t xml:space="preserve"> a </w:t>
                  </w:r>
                  <w:proofErr w:type="spellStart"/>
                  <w:r w:rsidRPr="005C3300">
                    <w:rPr>
                      <w:color w:val="000000" w:themeColor="text1"/>
                      <w:sz w:val="20"/>
                      <w:szCs w:val="20"/>
                    </w:rPr>
                    <w:t>creditului</w:t>
                  </w:r>
                  <w:proofErr w:type="spellEnd"/>
                  <w:r w:rsidRPr="005C3300">
                    <w:rPr>
                      <w:color w:val="000000" w:themeColor="text1"/>
                      <w:sz w:val="20"/>
                      <w:szCs w:val="20"/>
                    </w:rPr>
                    <w:t xml:space="preserve"> (</w:t>
                  </w:r>
                  <w:proofErr w:type="spellStart"/>
                  <w:r w:rsidRPr="005C3300">
                    <w:rPr>
                      <w:color w:val="000000" w:themeColor="text1"/>
                      <w:sz w:val="20"/>
                      <w:szCs w:val="20"/>
                    </w:rPr>
                    <w:t>H</w:t>
                  </w:r>
                  <w:r w:rsidRPr="005C3300">
                    <w:rPr>
                      <w:rStyle w:val="subscript"/>
                      <w:color w:val="000000" w:themeColor="text1"/>
                      <w:sz w:val="20"/>
                      <w:szCs w:val="20"/>
                      <w:vertAlign w:val="subscript"/>
                    </w:rPr>
                    <w:t>c</w:t>
                  </w:r>
                  <w:proofErr w:type="spellEnd"/>
                  <w:r w:rsidRPr="005C3300">
                    <w:rPr>
                      <w:color w:val="000000" w:themeColor="text1"/>
                      <w:sz w:val="20"/>
                      <w:szCs w:val="20"/>
                    </w:rPr>
                    <w:t xml:space="preserve">) </w:t>
                  </w:r>
                  <w:proofErr w:type="spellStart"/>
                  <w:r w:rsidRPr="005C3300">
                    <w:rPr>
                      <w:color w:val="000000" w:themeColor="text1"/>
                      <w:sz w:val="20"/>
                      <w:szCs w:val="20"/>
                    </w:rPr>
                    <w:t>în</w:t>
                  </w:r>
                  <w:proofErr w:type="spellEnd"/>
                  <w:r w:rsidRPr="005C3300">
                    <w:rPr>
                      <w:color w:val="000000" w:themeColor="text1"/>
                      <w:sz w:val="20"/>
                      <w:szCs w:val="20"/>
                    </w:rPr>
                    <w:t xml:space="preserve"> </w:t>
                  </w:r>
                  <w:proofErr w:type="spellStart"/>
                  <w:r w:rsidRPr="005C3300">
                    <w:rPr>
                      <w:color w:val="000000" w:themeColor="text1"/>
                      <w:sz w:val="20"/>
                      <w:szCs w:val="20"/>
                    </w:rPr>
                    <w:t>temeiul</w:t>
                  </w:r>
                  <w:proofErr w:type="spellEnd"/>
                  <w:r w:rsidRPr="005C3300">
                    <w:rPr>
                      <w:color w:val="000000" w:themeColor="text1"/>
                      <w:sz w:val="20"/>
                      <w:szCs w:val="20"/>
                    </w:rPr>
                    <w:t xml:space="preserve"> </w:t>
                  </w:r>
                  <w:proofErr w:type="spellStart"/>
                  <w:r w:rsidRPr="005C3300">
                    <w:rPr>
                      <w:color w:val="000000" w:themeColor="text1"/>
                      <w:sz w:val="20"/>
                      <w:szCs w:val="20"/>
                    </w:rPr>
                    <w:t>punctului</w:t>
                  </w:r>
                  <w:proofErr w:type="spellEnd"/>
                  <w:r w:rsidRPr="005C3300">
                    <w:rPr>
                      <w:color w:val="000000" w:themeColor="text1"/>
                      <w:sz w:val="20"/>
                      <w:szCs w:val="20"/>
                    </w:rPr>
                    <w:t xml:space="preserve"> 107</w:t>
                  </w:r>
                  <w:r w:rsidRPr="005C3300">
                    <w:rPr>
                      <w:color w:val="000000" w:themeColor="text1"/>
                      <w:sz w:val="20"/>
                      <w:szCs w:val="20"/>
                      <w:vertAlign w:val="superscript"/>
                    </w:rPr>
                    <w:t>7</w:t>
                  </w:r>
                  <w:r w:rsidRPr="005C3300">
                    <w:rPr>
                      <w:color w:val="000000" w:themeColor="text1"/>
                      <w:sz w:val="20"/>
                      <w:szCs w:val="20"/>
                    </w:rPr>
                    <w:t>.</w:t>
                  </w:r>
                </w:p>
                <w:p w14:paraId="01E0556A" w14:textId="77777777" w:rsidR="00B610FE" w:rsidRDefault="00B610FE" w:rsidP="00B610FE">
                  <w:pPr>
                    <w:pStyle w:val="norm"/>
                    <w:spacing w:before="0" w:beforeAutospacing="0" w:after="0" w:afterAutospacing="0"/>
                    <w:jc w:val="both"/>
                    <w:rPr>
                      <w:color w:val="000000" w:themeColor="text1"/>
                      <w:sz w:val="20"/>
                      <w:szCs w:val="20"/>
                    </w:rPr>
                  </w:pPr>
                </w:p>
                <w:p w14:paraId="4DA40301" w14:textId="58771D43" w:rsidR="00B610FE" w:rsidRPr="005C3300" w:rsidRDefault="00B610FE" w:rsidP="00B610FE">
                  <w:pPr>
                    <w:pStyle w:val="norm"/>
                    <w:spacing w:before="0" w:beforeAutospacing="0" w:after="0" w:afterAutospacing="0"/>
                    <w:jc w:val="both"/>
                    <w:rPr>
                      <w:color w:val="000000" w:themeColor="text1"/>
                      <w:sz w:val="20"/>
                      <w:szCs w:val="20"/>
                    </w:rPr>
                  </w:pPr>
                  <w:proofErr w:type="spellStart"/>
                  <w:r w:rsidRPr="00684853">
                    <w:rPr>
                      <w:i/>
                      <w:iCs/>
                      <w:color w:val="000000" w:themeColor="text1"/>
                      <w:sz w:val="20"/>
                      <w:szCs w:val="20"/>
                    </w:rPr>
                    <w:t>Proiectul</w:t>
                  </w:r>
                  <w:proofErr w:type="spellEnd"/>
                  <w:r w:rsidRPr="00684853">
                    <w:rPr>
                      <w:i/>
                      <w:iCs/>
                      <w:color w:val="000000" w:themeColor="text1"/>
                      <w:sz w:val="20"/>
                      <w:szCs w:val="20"/>
                    </w:rPr>
                    <w:t xml:space="preserve"> HCE al BNM </w:t>
                  </w:r>
                  <w:proofErr w:type="spellStart"/>
                  <w:r w:rsidRPr="00684853">
                    <w:rPr>
                      <w:i/>
                      <w:iCs/>
                      <w:color w:val="000000" w:themeColor="text1"/>
                      <w:sz w:val="20"/>
                      <w:szCs w:val="20"/>
                    </w:rPr>
                    <w:t>pentru</w:t>
                  </w:r>
                  <w:proofErr w:type="spellEnd"/>
                  <w:r w:rsidRPr="00684853">
                    <w:rPr>
                      <w:i/>
                      <w:iCs/>
                      <w:color w:val="000000" w:themeColor="text1"/>
                      <w:sz w:val="20"/>
                      <w:szCs w:val="20"/>
                    </w:rPr>
                    <w:t xml:space="preserve"> </w:t>
                  </w:r>
                  <w:proofErr w:type="spellStart"/>
                  <w:r w:rsidRPr="00684853">
                    <w:rPr>
                      <w:i/>
                      <w:iCs/>
                      <w:color w:val="000000" w:themeColor="text1"/>
                      <w:sz w:val="20"/>
                      <w:szCs w:val="20"/>
                    </w:rPr>
                    <w:t>modificarea</w:t>
                  </w:r>
                  <w:proofErr w:type="spellEnd"/>
                  <w:r>
                    <w:rPr>
                      <w:i/>
                      <w:iCs/>
                      <w:color w:val="000000" w:themeColor="text1"/>
                      <w:sz w:val="20"/>
                      <w:szCs w:val="20"/>
                    </w:rPr>
                    <w:t xml:space="preserve"> </w:t>
                  </w:r>
                  <w:proofErr w:type="spellStart"/>
                  <w:r w:rsidRPr="00314B7C">
                    <w:rPr>
                      <w:i/>
                      <w:iCs/>
                      <w:color w:val="000000" w:themeColor="text1"/>
                      <w:sz w:val="20"/>
                      <w:szCs w:val="20"/>
                    </w:rPr>
                    <w:t>Regulamentului</w:t>
                  </w:r>
                  <w:proofErr w:type="spellEnd"/>
                  <w:r w:rsidRPr="00314B7C">
                    <w:rPr>
                      <w:i/>
                      <w:iCs/>
                      <w:color w:val="000000" w:themeColor="text1"/>
                      <w:sz w:val="20"/>
                      <w:szCs w:val="20"/>
                    </w:rPr>
                    <w:t xml:space="preserve"> </w:t>
                  </w:r>
                  <w:r>
                    <w:rPr>
                      <w:i/>
                      <w:iCs/>
                      <w:color w:val="000000" w:themeColor="text1"/>
                      <w:sz w:val="20"/>
                      <w:szCs w:val="20"/>
                    </w:rPr>
                    <w:t xml:space="preserve">nr.112/2018 </w:t>
                  </w:r>
                  <w:r w:rsidRPr="00314B7C">
                    <w:rPr>
                      <w:i/>
                      <w:iCs/>
                      <w:color w:val="000000" w:themeColor="text1"/>
                      <w:sz w:val="20"/>
                      <w:szCs w:val="20"/>
                    </w:rPr>
                    <w:t xml:space="preserve">cu </w:t>
                  </w:r>
                  <w:proofErr w:type="spellStart"/>
                  <w:r w:rsidRPr="00314B7C">
                    <w:rPr>
                      <w:i/>
                      <w:iCs/>
                      <w:color w:val="000000" w:themeColor="text1"/>
                      <w:sz w:val="20"/>
                      <w:szCs w:val="20"/>
                    </w:rPr>
                    <w:t>privire</w:t>
                  </w:r>
                  <w:proofErr w:type="spellEnd"/>
                  <w:r w:rsidRPr="00314B7C">
                    <w:rPr>
                      <w:i/>
                      <w:iCs/>
                      <w:color w:val="000000" w:themeColor="text1"/>
                      <w:sz w:val="20"/>
                      <w:szCs w:val="20"/>
                    </w:rPr>
                    <w:t xml:space="preserve"> la </w:t>
                  </w:r>
                  <w:proofErr w:type="spellStart"/>
                  <w:r w:rsidRPr="00314B7C">
                    <w:rPr>
                      <w:i/>
                      <w:iCs/>
                      <w:color w:val="000000" w:themeColor="text1"/>
                      <w:sz w:val="20"/>
                      <w:szCs w:val="20"/>
                    </w:rPr>
                    <w:t>tehnicile</w:t>
                  </w:r>
                  <w:proofErr w:type="spellEnd"/>
                  <w:r w:rsidRPr="00314B7C">
                    <w:rPr>
                      <w:i/>
                      <w:iCs/>
                      <w:color w:val="000000" w:themeColor="text1"/>
                      <w:sz w:val="20"/>
                      <w:szCs w:val="20"/>
                    </w:rPr>
                    <w:t xml:space="preserve"> de </w:t>
                  </w:r>
                  <w:proofErr w:type="spellStart"/>
                  <w:r w:rsidRPr="00314B7C">
                    <w:rPr>
                      <w:i/>
                      <w:iCs/>
                      <w:color w:val="000000" w:themeColor="text1"/>
                      <w:sz w:val="20"/>
                      <w:szCs w:val="20"/>
                    </w:rPr>
                    <w:t>diminuare</w:t>
                  </w:r>
                  <w:proofErr w:type="spellEnd"/>
                  <w:r w:rsidRPr="00314B7C">
                    <w:rPr>
                      <w:i/>
                      <w:iCs/>
                      <w:color w:val="000000" w:themeColor="text1"/>
                      <w:sz w:val="20"/>
                      <w:szCs w:val="20"/>
                    </w:rPr>
                    <w:t xml:space="preserve"> a </w:t>
                  </w:r>
                  <w:proofErr w:type="spellStart"/>
                  <w:r w:rsidRPr="00314B7C">
                    <w:rPr>
                      <w:i/>
                      <w:iCs/>
                      <w:color w:val="000000" w:themeColor="text1"/>
                      <w:sz w:val="20"/>
                      <w:szCs w:val="20"/>
                    </w:rPr>
                    <w:t>riscului</w:t>
                  </w:r>
                  <w:proofErr w:type="spellEnd"/>
                  <w:r w:rsidRPr="00314B7C">
                    <w:rPr>
                      <w:i/>
                      <w:iCs/>
                      <w:color w:val="000000" w:themeColor="text1"/>
                      <w:sz w:val="20"/>
                      <w:szCs w:val="20"/>
                    </w:rPr>
                    <w:t xml:space="preserve"> de credit </w:t>
                  </w:r>
                  <w:proofErr w:type="spellStart"/>
                  <w:r w:rsidRPr="00314B7C">
                    <w:rPr>
                      <w:i/>
                      <w:iCs/>
                      <w:color w:val="000000" w:themeColor="text1"/>
                      <w:sz w:val="20"/>
                      <w:szCs w:val="20"/>
                    </w:rPr>
                    <w:t>utilizate</w:t>
                  </w:r>
                  <w:proofErr w:type="spellEnd"/>
                  <w:r w:rsidRPr="00314B7C">
                    <w:rPr>
                      <w:i/>
                      <w:iCs/>
                      <w:color w:val="000000" w:themeColor="text1"/>
                      <w:sz w:val="20"/>
                      <w:szCs w:val="20"/>
                    </w:rPr>
                    <w:t xml:space="preserve"> de </w:t>
                  </w:r>
                  <w:proofErr w:type="spellStart"/>
                  <w:r w:rsidRPr="00314B7C">
                    <w:rPr>
                      <w:i/>
                      <w:iCs/>
                      <w:color w:val="000000" w:themeColor="text1"/>
                      <w:sz w:val="20"/>
                      <w:szCs w:val="20"/>
                    </w:rPr>
                    <w:t>bănci</w:t>
                  </w:r>
                  <w:proofErr w:type="spellEnd"/>
                </w:p>
              </w:tc>
            </w:tr>
          </w:tbl>
          <w:p w14:paraId="3D08E645" w14:textId="77777777" w:rsidR="004C6A38" w:rsidRPr="002C32BA" w:rsidRDefault="004C6A38" w:rsidP="00B610FE">
            <w:pPr>
              <w:spacing w:after="0" w:line="240" w:lineRule="auto"/>
              <w:rPr>
                <w:rFonts w:ascii="Times New Roman" w:hAnsi="Times New Roman" w:cs="Times New Roman"/>
                <w:b/>
                <w:sz w:val="20"/>
                <w:szCs w:val="20"/>
                <w:lang w:val="ro-RO"/>
              </w:rPr>
            </w:pPr>
          </w:p>
        </w:tc>
        <w:tc>
          <w:tcPr>
            <w:tcW w:w="562" w:type="pct"/>
          </w:tcPr>
          <w:p w14:paraId="1976C4FA" w14:textId="7E4895A3" w:rsidR="004C6A38" w:rsidRPr="002C32BA" w:rsidDel="00326BF0" w:rsidRDefault="004C6A38" w:rsidP="004C6A38">
            <w:pPr>
              <w:rPr>
                <w:rFonts w:ascii="Times New Roman" w:hAnsi="Times New Roman" w:cs="Times New Roman"/>
                <w:sz w:val="20"/>
                <w:szCs w:val="20"/>
                <w:lang w:val="ro-RO"/>
              </w:rPr>
            </w:pPr>
            <w:r w:rsidRPr="00E36BC8">
              <w:rPr>
                <w:rFonts w:ascii="Times New Roman" w:hAnsi="Times New Roman" w:cs="Times New Roman"/>
                <w:sz w:val="20"/>
                <w:szCs w:val="20"/>
                <w:lang w:val="ro-RO"/>
              </w:rPr>
              <w:t>Compatibil</w:t>
            </w:r>
          </w:p>
        </w:tc>
        <w:tc>
          <w:tcPr>
            <w:tcW w:w="885" w:type="pct"/>
          </w:tcPr>
          <w:p w14:paraId="7C6F7179" w14:textId="77777777" w:rsidR="004C6A38" w:rsidRPr="002C32BA" w:rsidRDefault="004C6A38" w:rsidP="004C6A38">
            <w:pPr>
              <w:rPr>
                <w:rFonts w:ascii="Times New Roman" w:hAnsi="Times New Roman" w:cs="Times New Roman"/>
                <w:sz w:val="20"/>
                <w:szCs w:val="20"/>
                <w:lang w:val="ro-RO"/>
              </w:rPr>
            </w:pPr>
          </w:p>
        </w:tc>
      </w:tr>
      <w:tr w:rsidR="00D62F3C" w:rsidRPr="002C32BA" w14:paraId="207DC34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ABE3B2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232</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Alte tipuri de protecție finanțată a creditului</w:t>
            </w:r>
          </w:p>
          <w:p w14:paraId="2327A166" w14:textId="77777777" w:rsidR="00E12CB1" w:rsidRPr="00E12CB1" w:rsidRDefault="00E12CB1" w:rsidP="00E12CB1">
            <w:pPr>
              <w:pStyle w:val="CM4"/>
              <w:tabs>
                <w:tab w:val="left" w:pos="150"/>
              </w:tabs>
              <w:ind w:left="-43"/>
              <w:jc w:val="both"/>
              <w:rPr>
                <w:rFonts w:ascii="Times New Roman" w:hAnsi="Times New Roman"/>
                <w:iCs/>
                <w:sz w:val="20"/>
                <w:szCs w:val="20"/>
                <w:lang w:val="ro-RO" w:eastAsia="ru-RU"/>
              </w:rPr>
            </w:pPr>
            <w:r w:rsidRPr="00E12CB1">
              <w:rPr>
                <w:rFonts w:ascii="Times New Roman" w:hAnsi="Times New Roman"/>
                <w:iCs/>
                <w:sz w:val="20"/>
                <w:szCs w:val="20"/>
                <w:lang w:val="ro-RO" w:eastAsia="ru-RU"/>
              </w:rPr>
              <w:t>▼M17</w:t>
            </w:r>
          </w:p>
          <w:p w14:paraId="0EEFB530" w14:textId="1BF24B6D" w:rsidR="00D62F3C" w:rsidRPr="002C32BA" w:rsidRDefault="00E12CB1" w:rsidP="00E12CB1">
            <w:pPr>
              <w:pStyle w:val="CM4"/>
              <w:tabs>
                <w:tab w:val="left" w:pos="150"/>
              </w:tabs>
              <w:ind w:left="-43"/>
              <w:jc w:val="both"/>
              <w:rPr>
                <w:rFonts w:ascii="Times New Roman" w:hAnsi="Times New Roman"/>
                <w:iCs/>
                <w:sz w:val="20"/>
                <w:szCs w:val="20"/>
                <w:lang w:val="ro-RO" w:eastAsia="ru-RU"/>
              </w:rPr>
            </w:pPr>
            <w:r w:rsidRPr="00E12CB1">
              <w:rPr>
                <w:rFonts w:ascii="Times New Roman" w:hAnsi="Times New Roman"/>
                <w:iCs/>
                <w:sz w:val="20"/>
                <w:szCs w:val="20"/>
                <w:lang w:val="ro-RO" w:eastAsia="ru-RU"/>
              </w:rPr>
              <w:t>(1)   În cazul în care sunt îndeplinite condițiile prevăzute la articolul 212 alineatul (1), depozitele în numerar constituite la o instituție terță sau instrumentele asimilate numerarului deținute de o instituție terță în alt regim decât cel de custodie și gajate în favoarea instituției creditoare pot fi tratate ca garanție furnizată de instituția terță.</w:t>
            </w:r>
          </w:p>
        </w:tc>
        <w:tc>
          <w:tcPr>
            <w:tcW w:w="1636" w:type="pct"/>
            <w:shd w:val="clear" w:color="auto" w:fill="auto"/>
          </w:tcPr>
          <w:p w14:paraId="1D06B58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Secțiunea a 10-a. Alte tipuri de protecție finanțată a creditului</w:t>
            </w:r>
          </w:p>
          <w:p w14:paraId="256DB8C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E12CB1">
              <w:rPr>
                <w:rFonts w:ascii="Times New Roman" w:hAnsi="Times New Roman"/>
                <w:b/>
                <w:bCs/>
                <w:sz w:val="20"/>
                <w:szCs w:val="20"/>
                <w:lang w:val="ro-RO" w:eastAsia="ru-RU"/>
              </w:rPr>
              <w:t>108.</w:t>
            </w:r>
            <w:r w:rsidRPr="002C32BA">
              <w:rPr>
                <w:rFonts w:ascii="Times New Roman" w:hAnsi="Times New Roman"/>
                <w:sz w:val="20"/>
                <w:szCs w:val="20"/>
                <w:lang w:val="ro-RO" w:eastAsia="ru-RU"/>
              </w:rPr>
              <w:t xml:space="preserve"> Dacă sunt îndeplinite condițiile prevăzute la punctul 51, depozitul constituit la o bancă terță prevăzut la punctul 35 subpunctul 1) poate fi tratat drept garanție furnizată de banca terță.</w:t>
            </w:r>
          </w:p>
        </w:tc>
        <w:tc>
          <w:tcPr>
            <w:tcW w:w="562" w:type="pct"/>
          </w:tcPr>
          <w:p w14:paraId="7D569CD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ECC7358" w14:textId="52881965" w:rsidR="00D62F3C" w:rsidRPr="002C32BA" w:rsidRDefault="00D62F3C" w:rsidP="00D62F3C">
            <w:pPr>
              <w:pStyle w:val="CM4"/>
              <w:tabs>
                <w:tab w:val="left" w:pos="150"/>
              </w:tabs>
              <w:ind w:left="-36"/>
              <w:rPr>
                <w:rFonts w:ascii="Times New Roman" w:hAnsi="Times New Roman"/>
                <w:b/>
                <w:sz w:val="20"/>
                <w:szCs w:val="20"/>
                <w:u w:val="single"/>
                <w:lang w:val="ro-RO" w:eastAsia="ru-RU"/>
              </w:rPr>
            </w:pPr>
            <w:r w:rsidRPr="00326BF0">
              <w:rPr>
                <w:rFonts w:ascii="Times New Roman" w:hAnsi="Times New Roman"/>
                <w:bCs/>
                <w:sz w:val="20"/>
                <w:szCs w:val="20"/>
                <w:lang w:val="ro-RO" w:eastAsia="ru-RU"/>
              </w:rPr>
              <w:t>Regulamentul nr.112/2018</w:t>
            </w:r>
            <w:r w:rsidRPr="002C32BA">
              <w:rPr>
                <w:rFonts w:ascii="Times New Roman" w:hAnsi="Times New Roman"/>
                <w:b/>
                <w:sz w:val="20"/>
                <w:szCs w:val="20"/>
                <w:u w:val="single"/>
                <w:lang w:val="ro-RO" w:eastAsia="ru-RU"/>
              </w:rPr>
              <w:t xml:space="preserve"> </w:t>
            </w:r>
          </w:p>
          <w:p w14:paraId="0471E57E"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5A296AA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5EB0CD0" w14:textId="77777777" w:rsidR="00E12CB1" w:rsidRPr="00E12CB1" w:rsidRDefault="00E12CB1" w:rsidP="00E12CB1">
            <w:pPr>
              <w:pStyle w:val="CM4"/>
              <w:tabs>
                <w:tab w:val="left" w:pos="150"/>
              </w:tabs>
              <w:ind w:left="-43"/>
              <w:jc w:val="both"/>
              <w:rPr>
                <w:rFonts w:ascii="Times New Roman" w:hAnsi="Times New Roman"/>
                <w:iCs/>
                <w:sz w:val="20"/>
                <w:szCs w:val="20"/>
                <w:lang w:val="ro-RO" w:eastAsia="ru-RU"/>
              </w:rPr>
            </w:pPr>
            <w:r w:rsidRPr="00E12CB1">
              <w:rPr>
                <w:rFonts w:ascii="Times New Roman" w:hAnsi="Times New Roman"/>
                <w:iCs/>
                <w:sz w:val="20"/>
                <w:szCs w:val="20"/>
                <w:lang w:val="ro-RO" w:eastAsia="ru-RU"/>
              </w:rPr>
              <w:t>(2)   Dacă sunt îndeplinite condițiile prevăzute la articolul 212 alineatul (2), instituțiile trebuie să aplice următorul tratament pentru partea din expunere garantată cu valoarea curentă de răscumpărare a polițelor de asigurare de viață gajate în favoarea instituției creditoare:</w:t>
            </w:r>
          </w:p>
          <w:p w14:paraId="75F84A4D" w14:textId="4D49FBD4" w:rsidR="00E12CB1" w:rsidRPr="00E12CB1" w:rsidRDefault="00E12CB1" w:rsidP="00E12CB1">
            <w:pPr>
              <w:pStyle w:val="CM4"/>
              <w:tabs>
                <w:tab w:val="left" w:pos="150"/>
              </w:tabs>
              <w:ind w:left="-43"/>
              <w:jc w:val="both"/>
              <w:rPr>
                <w:rFonts w:ascii="Times New Roman" w:hAnsi="Times New Roman"/>
                <w:iCs/>
                <w:sz w:val="20"/>
                <w:szCs w:val="20"/>
                <w:lang w:val="ro-RO" w:eastAsia="ru-RU"/>
              </w:rPr>
            </w:pPr>
            <w:r w:rsidRPr="00E12CB1">
              <w:rPr>
                <w:rFonts w:ascii="Times New Roman" w:hAnsi="Times New Roman"/>
                <w:iCs/>
                <w:sz w:val="20"/>
                <w:szCs w:val="20"/>
                <w:lang w:val="ro-RO" w:eastAsia="ru-RU"/>
              </w:rPr>
              <w:t>(a) dacă expunerea face obiectul abordării standardizate, aceasta trebuie ponderată la risc utilizând ponderile de risc specificate la alineatul (3);</w:t>
            </w:r>
          </w:p>
          <w:p w14:paraId="5361BBFC" w14:textId="2A4ECB15" w:rsidR="00E12CB1" w:rsidRPr="00E12CB1" w:rsidRDefault="00E12CB1" w:rsidP="00E12CB1">
            <w:pPr>
              <w:pStyle w:val="CM4"/>
              <w:tabs>
                <w:tab w:val="left" w:pos="150"/>
              </w:tabs>
              <w:ind w:left="-43"/>
              <w:jc w:val="both"/>
              <w:rPr>
                <w:rFonts w:ascii="Times New Roman" w:hAnsi="Times New Roman"/>
                <w:iCs/>
                <w:sz w:val="20"/>
                <w:szCs w:val="20"/>
                <w:lang w:val="ro-RO" w:eastAsia="ru-RU"/>
              </w:rPr>
            </w:pPr>
            <w:r w:rsidRPr="00E12CB1">
              <w:rPr>
                <w:rFonts w:ascii="Times New Roman" w:hAnsi="Times New Roman"/>
                <w:iCs/>
                <w:sz w:val="20"/>
                <w:szCs w:val="20"/>
                <w:lang w:val="ro-RO" w:eastAsia="ru-RU"/>
              </w:rPr>
              <w:t>(b) dacă expunerea face obiectul abordării IRB dar nu și al estimărilor proprii ale instituției cu privire la pierderea în caz de nerambursare, i se atribuie o pierdere în caz de nerambursare de 40 %.</w:t>
            </w:r>
          </w:p>
          <w:p w14:paraId="28E68EDF" w14:textId="77777777" w:rsidR="00E12CB1" w:rsidRDefault="00E12CB1" w:rsidP="00E12CB1">
            <w:pPr>
              <w:pStyle w:val="CM4"/>
              <w:tabs>
                <w:tab w:val="left" w:pos="150"/>
              </w:tabs>
              <w:ind w:left="-43"/>
              <w:jc w:val="both"/>
              <w:rPr>
                <w:rFonts w:ascii="Times New Roman" w:hAnsi="Times New Roman"/>
                <w:iCs/>
                <w:sz w:val="20"/>
                <w:szCs w:val="20"/>
                <w:lang w:val="ro-RO" w:eastAsia="ru-RU"/>
              </w:rPr>
            </w:pPr>
          </w:p>
          <w:p w14:paraId="4FBE2461" w14:textId="77777777" w:rsidR="00E12CB1" w:rsidRPr="00E12CB1" w:rsidRDefault="00E12CB1" w:rsidP="00E12CB1">
            <w:pPr>
              <w:rPr>
                <w:lang w:val="ro-RO" w:eastAsia="ru-RU"/>
              </w:rPr>
            </w:pPr>
          </w:p>
          <w:p w14:paraId="20A54231" w14:textId="2BD1C104" w:rsidR="00D62F3C" w:rsidRPr="002C32BA" w:rsidRDefault="00E12CB1" w:rsidP="00E12CB1">
            <w:pPr>
              <w:pStyle w:val="CM4"/>
              <w:tabs>
                <w:tab w:val="left" w:pos="150"/>
              </w:tabs>
              <w:ind w:left="-43"/>
              <w:jc w:val="both"/>
              <w:rPr>
                <w:rFonts w:ascii="Times New Roman" w:hAnsi="Times New Roman"/>
                <w:iCs/>
                <w:sz w:val="20"/>
                <w:szCs w:val="20"/>
                <w:lang w:val="ro-RO" w:eastAsia="ru-RU"/>
              </w:rPr>
            </w:pPr>
            <w:r w:rsidRPr="00E12CB1">
              <w:rPr>
                <w:rFonts w:ascii="Times New Roman" w:hAnsi="Times New Roman"/>
                <w:iCs/>
                <w:sz w:val="20"/>
                <w:szCs w:val="20"/>
                <w:lang w:val="ro-RO" w:eastAsia="ru-RU"/>
              </w:rPr>
              <w:t>În cazul unei neconcordanțe de monede, instituțiile trebuie să reducă valoarea curentă de răscumpărare în conformitate cu articolul 233 alineatul (3), valoarea protecției creditului fiind valoarea curentă de răscumpărare a poliței de asigurare de viață.</w:t>
            </w:r>
          </w:p>
        </w:tc>
        <w:tc>
          <w:tcPr>
            <w:tcW w:w="1636" w:type="pct"/>
            <w:shd w:val="clear" w:color="auto" w:fill="auto"/>
          </w:tcPr>
          <w:p w14:paraId="1800CCA4" w14:textId="77777777" w:rsidR="00E12CB1" w:rsidRPr="005C3300" w:rsidRDefault="00E12CB1" w:rsidP="00E12CB1">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108</w:t>
            </w:r>
            <w:r w:rsidRPr="005C3300">
              <w:rPr>
                <w:rFonts w:ascii="Times New Roman" w:eastAsia="Times New Roman" w:hAnsi="Times New Roman" w:cs="Times New Roman"/>
                <w:b/>
                <w:bCs/>
                <w:color w:val="000000" w:themeColor="text1"/>
                <w:sz w:val="20"/>
                <w:szCs w:val="20"/>
                <w:vertAlign w:val="superscript"/>
                <w:lang w:val="ro-RO" w:eastAsia="ro-MD"/>
              </w:rPr>
              <w:t>1</w:t>
            </w:r>
            <w:r w:rsidRPr="005C3300">
              <w:rPr>
                <w:rFonts w:ascii="Times New Roman" w:eastAsia="Times New Roman" w:hAnsi="Times New Roman" w:cs="Times New Roman"/>
                <w:b/>
                <w:bCs/>
                <w:color w:val="000000" w:themeColor="text1"/>
                <w:sz w:val="20"/>
                <w:szCs w:val="20"/>
                <w:lang w:val="ro-RO" w:eastAsia="ro-MD"/>
              </w:rPr>
              <w:t xml:space="preserve">. </w:t>
            </w:r>
            <w:r w:rsidRPr="005C3300">
              <w:rPr>
                <w:rFonts w:ascii="Times New Roman" w:eastAsia="Times New Roman" w:hAnsi="Times New Roman" w:cs="Times New Roman"/>
                <w:color w:val="000000" w:themeColor="text1"/>
                <w:sz w:val="20"/>
                <w:szCs w:val="20"/>
                <w:lang w:val="ro-RO" w:eastAsia="ro-MD"/>
              </w:rPr>
              <w:t>Dacă sunt îndeplinite condițiile prevăzute la punctul 51</w:t>
            </w:r>
            <w:r w:rsidRPr="005C3300">
              <w:rPr>
                <w:rFonts w:ascii="Times New Roman" w:eastAsia="Times New Roman" w:hAnsi="Times New Roman" w:cs="Times New Roman"/>
                <w:color w:val="000000" w:themeColor="text1"/>
                <w:sz w:val="20"/>
                <w:szCs w:val="20"/>
                <w:vertAlign w:val="superscript"/>
                <w:lang w:val="ro-RO" w:eastAsia="ro-MD"/>
              </w:rPr>
              <w:t>1</w:t>
            </w:r>
            <w:r w:rsidRPr="005C3300">
              <w:rPr>
                <w:rFonts w:ascii="Times New Roman" w:eastAsia="Times New Roman" w:hAnsi="Times New Roman" w:cs="Times New Roman"/>
                <w:color w:val="000000" w:themeColor="text1"/>
                <w:sz w:val="20"/>
                <w:szCs w:val="20"/>
                <w:lang w:val="ro-RO" w:eastAsia="ro-MD"/>
              </w:rPr>
              <w:t>, băncile trebuie să aplice următorul tratament pentru partea din expunere garantată cu valoarea curentă de răscumpărare a polițelor de asigurare de viață gajate în favoarea băncii creditoare:</w:t>
            </w:r>
          </w:p>
          <w:p w14:paraId="71B75E7B" w14:textId="77777777" w:rsidR="00E12CB1" w:rsidRPr="005C3300" w:rsidRDefault="00E12CB1" w:rsidP="00E12CB1">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1) dacă expunerea face obiectul abordării standardizate, aceasta trebuie ponderată la risc utilizând ponderile de risc specificate la punctul 108</w:t>
            </w:r>
            <w:r w:rsidRPr="005C3300">
              <w:rPr>
                <w:rFonts w:ascii="Times New Roman" w:eastAsia="Times New Roman" w:hAnsi="Times New Roman" w:cs="Times New Roman"/>
                <w:color w:val="000000" w:themeColor="text1"/>
                <w:sz w:val="20"/>
                <w:szCs w:val="20"/>
                <w:vertAlign w:val="superscript"/>
                <w:lang w:val="ro-RO" w:eastAsia="ro-MD"/>
              </w:rPr>
              <w:t>2</w:t>
            </w:r>
            <w:r w:rsidRPr="005C3300">
              <w:rPr>
                <w:rFonts w:ascii="Times New Roman" w:eastAsia="Times New Roman" w:hAnsi="Times New Roman" w:cs="Times New Roman"/>
                <w:color w:val="000000" w:themeColor="text1"/>
                <w:sz w:val="20"/>
                <w:szCs w:val="20"/>
                <w:lang w:val="ro-RO" w:eastAsia="ro-MD"/>
              </w:rPr>
              <w:t>;</w:t>
            </w:r>
          </w:p>
          <w:p w14:paraId="22B089A6" w14:textId="77777777" w:rsidR="00E12CB1" w:rsidRDefault="00E12CB1" w:rsidP="00E12CB1">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2) dacă expunerea face obiectul abordării IRB dar nu și al estimărilor proprii ale băncii cu privire la pierderea în caz de nerambursare, i se atribuie o pierdere în caz de nerambursare de 40 %.</w:t>
            </w:r>
          </w:p>
          <w:p w14:paraId="60396D6A" w14:textId="77777777" w:rsidR="00E12CB1" w:rsidRPr="005C3300" w:rsidRDefault="00E12CB1" w:rsidP="00E12CB1">
            <w:pPr>
              <w:spacing w:after="0" w:line="240" w:lineRule="auto"/>
              <w:jc w:val="both"/>
              <w:rPr>
                <w:rFonts w:ascii="Times New Roman" w:eastAsia="Times New Roman" w:hAnsi="Times New Roman" w:cs="Times New Roman"/>
                <w:color w:val="000000" w:themeColor="text1"/>
                <w:sz w:val="20"/>
                <w:szCs w:val="20"/>
                <w:lang w:val="ro-RO" w:eastAsia="ro-MD"/>
              </w:rPr>
            </w:pPr>
          </w:p>
          <w:p w14:paraId="01AB1ED9" w14:textId="77777777" w:rsidR="00D62F3C" w:rsidRDefault="00E12CB1" w:rsidP="00E12CB1">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color w:val="000000" w:themeColor="text1"/>
                <w:sz w:val="20"/>
                <w:szCs w:val="20"/>
                <w:lang w:val="ro-RO" w:eastAsia="ro-MD"/>
              </w:rPr>
              <w:t>În cazul unei neconcordanțe de monede, băncile trebuie să reducă valoarea curentă de răscumpărare în conformitate cu punctul 112, valoarea protecției creditului fiind valoarea curentă de răscumpărare a poliței de asigurare de viață.</w:t>
            </w:r>
          </w:p>
          <w:p w14:paraId="7EE909FE" w14:textId="0FBE5894" w:rsidR="00E12CB1" w:rsidRPr="00E12CB1" w:rsidRDefault="00E12CB1" w:rsidP="00E12CB1">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4D315E51" w14:textId="52F62ADC" w:rsidR="00D62F3C" w:rsidRPr="002C32BA" w:rsidRDefault="00E12CB1"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9FC2BCE" w14:textId="48D70A19" w:rsidR="00D62F3C" w:rsidRPr="002C32BA" w:rsidRDefault="00D62F3C" w:rsidP="00D62F3C">
            <w:pPr>
              <w:jc w:val="both"/>
              <w:rPr>
                <w:rFonts w:ascii="Times New Roman" w:hAnsi="Times New Roman" w:cs="Times New Roman"/>
                <w:sz w:val="20"/>
                <w:szCs w:val="20"/>
                <w:lang w:val="ro-RO"/>
              </w:rPr>
            </w:pPr>
          </w:p>
        </w:tc>
      </w:tr>
      <w:tr w:rsidR="00D62F3C" w:rsidRPr="002C32BA" w14:paraId="14FFCD1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347CC5A" w14:textId="77777777" w:rsidR="00037982" w:rsidRPr="00037982" w:rsidRDefault="00037982" w:rsidP="00037982">
            <w:pPr>
              <w:pStyle w:val="CM4"/>
              <w:tabs>
                <w:tab w:val="left" w:pos="150"/>
              </w:tabs>
              <w:ind w:left="-43"/>
              <w:jc w:val="both"/>
              <w:rPr>
                <w:rFonts w:ascii="Times New Roman" w:hAnsi="Times New Roman"/>
                <w:iCs/>
                <w:sz w:val="20"/>
                <w:szCs w:val="20"/>
                <w:lang w:val="ro-RO" w:eastAsia="ru-RU"/>
              </w:rPr>
            </w:pPr>
            <w:r w:rsidRPr="00037982">
              <w:rPr>
                <w:rFonts w:ascii="Times New Roman" w:hAnsi="Times New Roman"/>
                <w:iCs/>
                <w:sz w:val="20"/>
                <w:szCs w:val="20"/>
                <w:lang w:val="ro-RO" w:eastAsia="ru-RU"/>
              </w:rPr>
              <w:t>(3)   În sensul alineatului (2) litera (a), instituțiile atribuie următoarele ponderi de risc, pe baza ponderii de risc atribuite unei expuneri cu rang prioritar negarantată față de întreprinderea care furnizează asigurarea de viață:</w:t>
            </w:r>
          </w:p>
          <w:p w14:paraId="4294C46B" w14:textId="114686B9" w:rsidR="00037982" w:rsidRPr="00037982" w:rsidRDefault="00037982" w:rsidP="00037982">
            <w:pPr>
              <w:pStyle w:val="CM4"/>
              <w:tabs>
                <w:tab w:val="left" w:pos="150"/>
              </w:tabs>
              <w:ind w:left="-43"/>
              <w:jc w:val="both"/>
              <w:rPr>
                <w:rFonts w:ascii="Times New Roman" w:hAnsi="Times New Roman"/>
                <w:iCs/>
                <w:sz w:val="20"/>
                <w:szCs w:val="20"/>
                <w:lang w:val="ro-RO" w:eastAsia="ru-RU"/>
              </w:rPr>
            </w:pPr>
            <w:r w:rsidRPr="00037982">
              <w:rPr>
                <w:rFonts w:ascii="Times New Roman" w:hAnsi="Times New Roman"/>
                <w:iCs/>
                <w:sz w:val="20"/>
                <w:szCs w:val="20"/>
                <w:lang w:val="ro-RO" w:eastAsia="ru-RU"/>
              </w:rPr>
              <w:t>(a) o pondere de risc de 20 %, dacă expunerii cu rang prioritar negarantate față de întreprinderea care furnizează asigurarea de viață i se atribuie o pondere de risc de 20 %;</w:t>
            </w:r>
          </w:p>
          <w:p w14:paraId="60402552" w14:textId="77777777" w:rsidR="00037982" w:rsidRPr="00037982" w:rsidRDefault="00037982" w:rsidP="00037982">
            <w:pPr>
              <w:pStyle w:val="CM4"/>
              <w:tabs>
                <w:tab w:val="left" w:pos="150"/>
              </w:tabs>
              <w:ind w:left="-43"/>
              <w:jc w:val="both"/>
              <w:rPr>
                <w:rFonts w:ascii="Times New Roman" w:hAnsi="Times New Roman"/>
                <w:iCs/>
                <w:sz w:val="20"/>
                <w:szCs w:val="20"/>
                <w:lang w:val="ro-RO" w:eastAsia="ru-RU"/>
              </w:rPr>
            </w:pPr>
          </w:p>
          <w:p w14:paraId="38576874" w14:textId="1A10CAF3" w:rsidR="00037982" w:rsidRPr="00037982" w:rsidRDefault="00037982" w:rsidP="00037982">
            <w:pPr>
              <w:pStyle w:val="CM4"/>
              <w:tabs>
                <w:tab w:val="left" w:pos="150"/>
              </w:tabs>
              <w:ind w:left="-43"/>
              <w:jc w:val="both"/>
              <w:rPr>
                <w:rFonts w:ascii="Times New Roman" w:hAnsi="Times New Roman"/>
                <w:iCs/>
                <w:sz w:val="20"/>
                <w:szCs w:val="20"/>
                <w:lang w:val="ro-RO" w:eastAsia="ru-RU"/>
              </w:rPr>
            </w:pPr>
            <w:r w:rsidRPr="00037982">
              <w:rPr>
                <w:rFonts w:ascii="Times New Roman" w:hAnsi="Times New Roman"/>
                <w:iCs/>
                <w:sz w:val="20"/>
                <w:szCs w:val="20"/>
                <w:lang w:val="ro-RO" w:eastAsia="ru-RU"/>
              </w:rPr>
              <w:t>(b) o pondere de risc de 35 %, dacă expunerii cu rang prioritar negarantate față de întreprinderea care furnizează asigurarea de viață i se atribuie o pondere de risc de 50 %;</w:t>
            </w:r>
          </w:p>
          <w:p w14:paraId="4C0E203D" w14:textId="77777777" w:rsidR="00037982" w:rsidRPr="00037982" w:rsidRDefault="00037982" w:rsidP="00037982">
            <w:pPr>
              <w:pStyle w:val="CM4"/>
              <w:tabs>
                <w:tab w:val="left" w:pos="150"/>
              </w:tabs>
              <w:ind w:left="-43"/>
              <w:jc w:val="both"/>
              <w:rPr>
                <w:rFonts w:ascii="Times New Roman" w:hAnsi="Times New Roman"/>
                <w:iCs/>
                <w:sz w:val="20"/>
                <w:szCs w:val="20"/>
                <w:lang w:val="ro-RO" w:eastAsia="ru-RU"/>
              </w:rPr>
            </w:pPr>
            <w:r w:rsidRPr="00037982">
              <w:rPr>
                <w:rFonts w:ascii="Times New Roman" w:hAnsi="Times New Roman"/>
                <w:iCs/>
                <w:sz w:val="20"/>
                <w:szCs w:val="20"/>
                <w:lang w:val="ro-RO" w:eastAsia="ru-RU"/>
              </w:rPr>
              <w:t>▼M17</w:t>
            </w:r>
          </w:p>
          <w:p w14:paraId="3424EC57" w14:textId="66D8478F" w:rsidR="00037982" w:rsidRPr="00037982" w:rsidRDefault="00037982" w:rsidP="00037982">
            <w:pPr>
              <w:pStyle w:val="CM4"/>
              <w:tabs>
                <w:tab w:val="left" w:pos="150"/>
              </w:tabs>
              <w:ind w:left="-43"/>
              <w:jc w:val="both"/>
              <w:rPr>
                <w:rFonts w:ascii="Times New Roman" w:hAnsi="Times New Roman"/>
                <w:iCs/>
                <w:sz w:val="20"/>
                <w:szCs w:val="20"/>
                <w:lang w:val="ro-RO" w:eastAsia="ru-RU"/>
              </w:rPr>
            </w:pPr>
            <w:r w:rsidRPr="00037982">
              <w:rPr>
                <w:rFonts w:ascii="Times New Roman" w:hAnsi="Times New Roman"/>
                <w:iCs/>
                <w:sz w:val="20"/>
                <w:szCs w:val="20"/>
                <w:lang w:val="ro-RO" w:eastAsia="ru-RU"/>
              </w:rPr>
              <w:t>(ba) o pondere de risc de 52,5  %, dacă expunerii cu rang prioritar negarantate față de întreprinderea care furnizează asigurarea de viață i se atribuie o pondere de risc de 75 %;</w:t>
            </w:r>
          </w:p>
          <w:p w14:paraId="12F25D41" w14:textId="35F6F90D" w:rsidR="00037982" w:rsidRPr="00037982" w:rsidRDefault="00037982" w:rsidP="00037982">
            <w:pPr>
              <w:pStyle w:val="CM4"/>
              <w:tabs>
                <w:tab w:val="left" w:pos="150"/>
              </w:tabs>
              <w:ind w:left="-43"/>
              <w:jc w:val="both"/>
              <w:rPr>
                <w:rFonts w:ascii="Times New Roman" w:hAnsi="Times New Roman"/>
                <w:iCs/>
                <w:sz w:val="20"/>
                <w:szCs w:val="20"/>
                <w:lang w:val="ro-RO" w:eastAsia="ru-RU"/>
              </w:rPr>
            </w:pPr>
            <w:r w:rsidRPr="00037982">
              <w:rPr>
                <w:rFonts w:ascii="Times New Roman" w:hAnsi="Times New Roman"/>
                <w:iCs/>
                <w:sz w:val="20"/>
                <w:szCs w:val="20"/>
                <w:lang w:val="ro-RO" w:eastAsia="ru-RU"/>
              </w:rPr>
              <w:t>(c) o pondere de risc de 70 %, dacă expunerii cu rang prioritar negarantate față de întreprinderea care furnizează asigurarea de viață i se atribuie o pondere de risc de 100 %;</w:t>
            </w:r>
          </w:p>
          <w:p w14:paraId="471DC3CB" w14:textId="5EBD2A68" w:rsidR="00D62F3C" w:rsidRPr="002C32BA" w:rsidRDefault="00037982" w:rsidP="00037982">
            <w:pPr>
              <w:pStyle w:val="CM4"/>
              <w:tabs>
                <w:tab w:val="left" w:pos="150"/>
              </w:tabs>
              <w:ind w:left="-43"/>
              <w:jc w:val="both"/>
              <w:rPr>
                <w:rFonts w:ascii="Times New Roman" w:hAnsi="Times New Roman"/>
                <w:iCs/>
                <w:sz w:val="20"/>
                <w:szCs w:val="20"/>
                <w:lang w:val="ro-RO" w:eastAsia="ru-RU"/>
              </w:rPr>
            </w:pPr>
            <w:r w:rsidRPr="00037982">
              <w:rPr>
                <w:rFonts w:ascii="Times New Roman" w:hAnsi="Times New Roman"/>
                <w:iCs/>
                <w:sz w:val="20"/>
                <w:szCs w:val="20"/>
                <w:lang w:val="ro-RO" w:eastAsia="ru-RU"/>
              </w:rPr>
              <w:t>(d) o pondere de risc de 150 %, dacă expunerii cu rang prioritar negarantate față de întreprinderea care furnizează asigurarea de viață i se atribuie o pondere de risc de 150 %.</w:t>
            </w:r>
          </w:p>
        </w:tc>
        <w:tc>
          <w:tcPr>
            <w:tcW w:w="1636" w:type="pct"/>
            <w:shd w:val="clear" w:color="auto" w:fill="auto"/>
          </w:tcPr>
          <w:p w14:paraId="1459E8F6" w14:textId="77777777" w:rsidR="00037982" w:rsidRPr="005C3300" w:rsidRDefault="00037982" w:rsidP="00037982">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108</w:t>
            </w:r>
            <w:r w:rsidRPr="005C3300">
              <w:rPr>
                <w:rFonts w:ascii="Times New Roman" w:eastAsia="Times New Roman" w:hAnsi="Times New Roman" w:cs="Times New Roman"/>
                <w:b/>
                <w:bCs/>
                <w:color w:val="000000" w:themeColor="text1"/>
                <w:sz w:val="20"/>
                <w:szCs w:val="20"/>
                <w:vertAlign w:val="superscript"/>
                <w:lang w:val="ro-RO" w:eastAsia="ro-MD"/>
              </w:rPr>
              <w:t>2</w:t>
            </w:r>
            <w:r w:rsidRPr="005C3300">
              <w:rPr>
                <w:rFonts w:ascii="Times New Roman" w:eastAsia="Times New Roman" w:hAnsi="Times New Roman" w:cs="Times New Roman"/>
                <w:b/>
                <w:bCs/>
                <w:color w:val="000000" w:themeColor="text1"/>
                <w:sz w:val="20"/>
                <w:szCs w:val="20"/>
                <w:lang w:val="ro-RO" w:eastAsia="ro-MD"/>
              </w:rPr>
              <w:t>.</w:t>
            </w:r>
            <w:r w:rsidRPr="005C3300">
              <w:rPr>
                <w:rFonts w:ascii="Times New Roman" w:eastAsia="Times New Roman" w:hAnsi="Times New Roman" w:cs="Times New Roman"/>
                <w:color w:val="000000" w:themeColor="text1"/>
                <w:sz w:val="20"/>
                <w:szCs w:val="20"/>
                <w:lang w:val="ro-RO" w:eastAsia="ro-MD"/>
              </w:rPr>
              <w:t xml:space="preserve"> În sensul punctului 108</w:t>
            </w:r>
            <w:r w:rsidRPr="005C3300">
              <w:rPr>
                <w:rFonts w:ascii="Times New Roman" w:eastAsia="Times New Roman" w:hAnsi="Times New Roman" w:cs="Times New Roman"/>
                <w:color w:val="000000" w:themeColor="text1"/>
                <w:sz w:val="20"/>
                <w:szCs w:val="20"/>
                <w:vertAlign w:val="superscript"/>
                <w:lang w:val="ro-RO" w:eastAsia="ro-MD"/>
              </w:rPr>
              <w:t>1</w:t>
            </w:r>
            <w:r w:rsidRPr="005C3300">
              <w:rPr>
                <w:rFonts w:ascii="Times New Roman" w:eastAsia="Times New Roman" w:hAnsi="Times New Roman" w:cs="Times New Roman"/>
                <w:color w:val="000000" w:themeColor="text1"/>
                <w:sz w:val="20"/>
                <w:szCs w:val="20"/>
                <w:lang w:val="ro-RO" w:eastAsia="ro-MD"/>
              </w:rPr>
              <w:t xml:space="preserve"> subpunctul 1), băncile atribuie următoarele ponderi de risc, pe baza ponderii de risc atribuite unei expuneri cu rang prioritar negarantată față de întreprinderea care furnizează asigurarea de viață:</w:t>
            </w:r>
          </w:p>
          <w:p w14:paraId="584AD9E4" w14:textId="77777777" w:rsidR="00037982" w:rsidRPr="005C3300" w:rsidRDefault="00037982" w:rsidP="00037982">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1) o pondere de risc de 20%, dacă expunerii cu rang prioritar negarantate față de întreprinderea care furnizează asigurarea de viață i se atribuie o pondere de risc de 20%;</w:t>
            </w:r>
          </w:p>
          <w:p w14:paraId="4A95E654" w14:textId="77777777" w:rsidR="00037982" w:rsidRPr="005C3300" w:rsidRDefault="00037982" w:rsidP="00037982">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2) o pondere de risc de 35%, dacă expunerii cu rang prioritar negarantate față de întreprinderea care furnizează asigurarea de viață i se atribuie o pondere de risc de 50%;</w:t>
            </w:r>
          </w:p>
          <w:p w14:paraId="296E0ED5" w14:textId="77777777" w:rsidR="00037982" w:rsidRDefault="00037982" w:rsidP="00037982">
            <w:pPr>
              <w:spacing w:after="0" w:line="240" w:lineRule="auto"/>
              <w:ind w:firstLine="567"/>
              <w:jc w:val="both"/>
              <w:rPr>
                <w:rFonts w:ascii="Times New Roman" w:eastAsia="Times New Roman" w:hAnsi="Times New Roman" w:cs="Times New Roman"/>
                <w:color w:val="000000" w:themeColor="text1"/>
                <w:sz w:val="20"/>
                <w:szCs w:val="20"/>
                <w:lang w:val="ro-RO" w:eastAsia="ro-MD"/>
              </w:rPr>
            </w:pPr>
          </w:p>
          <w:p w14:paraId="73B210EF" w14:textId="3310DFFF" w:rsidR="00037982" w:rsidRPr="005C3300" w:rsidRDefault="00037982" w:rsidP="00037982">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3) o pondere de risc de 52,5%, dacă expunerii cu rang prioritar negarantate față de întreprinderea care furnizează asigurarea de viață i se atribuie o pondere de risc de 75%;</w:t>
            </w:r>
          </w:p>
          <w:p w14:paraId="569B4471" w14:textId="77777777" w:rsidR="00037982" w:rsidRDefault="00037982" w:rsidP="00037982">
            <w:pPr>
              <w:spacing w:after="0" w:line="240" w:lineRule="auto"/>
              <w:ind w:firstLine="567"/>
              <w:jc w:val="both"/>
              <w:rPr>
                <w:rFonts w:ascii="Times New Roman" w:eastAsia="Times New Roman" w:hAnsi="Times New Roman" w:cs="Times New Roman"/>
                <w:color w:val="000000" w:themeColor="text1"/>
                <w:sz w:val="20"/>
                <w:szCs w:val="20"/>
                <w:lang w:val="ro-RO" w:eastAsia="ro-MD"/>
              </w:rPr>
            </w:pPr>
          </w:p>
          <w:p w14:paraId="11409AA9" w14:textId="7E3BC902" w:rsidR="00037982" w:rsidRPr="005C3300" w:rsidRDefault="00037982" w:rsidP="00037982">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4) o pondere de risc de 70%, dacă expunerii cu rang prioritar negarantate față de întreprinderea care furnizează asigurarea de viață i se atribuie o pondere de risc de 100%;</w:t>
            </w:r>
          </w:p>
          <w:p w14:paraId="2AFFCAA5" w14:textId="77777777" w:rsidR="00D62F3C" w:rsidRDefault="00037982" w:rsidP="00037982">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color w:val="000000" w:themeColor="text1"/>
                <w:sz w:val="20"/>
                <w:szCs w:val="20"/>
                <w:lang w:val="ro-RO" w:eastAsia="ro-MD"/>
              </w:rPr>
              <w:t>5) o pondere de risc de 150%, dacă expunerii cu rang prioritar negarantate față de întreprinderea care furnizează asigurarea de viață i se atribuie o pondere de risc de 150%.</w:t>
            </w:r>
          </w:p>
          <w:p w14:paraId="5BED0BCD" w14:textId="5ACF858E" w:rsidR="00037982" w:rsidRPr="00037982" w:rsidRDefault="00037982" w:rsidP="00037982">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FEA9522" w14:textId="47DA8D18" w:rsidR="00D62F3C" w:rsidRPr="002C32BA" w:rsidRDefault="00037982"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5681523" w14:textId="66437173" w:rsidR="00D62F3C" w:rsidRPr="002C32BA" w:rsidRDefault="00D62F3C" w:rsidP="00D62F3C">
            <w:pPr>
              <w:jc w:val="both"/>
              <w:rPr>
                <w:rFonts w:ascii="Times New Roman" w:hAnsi="Times New Roman" w:cs="Times New Roman"/>
                <w:sz w:val="20"/>
                <w:szCs w:val="20"/>
                <w:lang w:val="ro-RO"/>
              </w:rPr>
            </w:pPr>
          </w:p>
        </w:tc>
      </w:tr>
      <w:tr w:rsidR="00D62F3C" w:rsidRPr="002C32BA" w14:paraId="15D9B71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1C34EFF" w14:textId="77777777" w:rsidR="00F4697B" w:rsidRPr="00F4697B" w:rsidRDefault="00F4697B" w:rsidP="00F4697B">
            <w:pPr>
              <w:pStyle w:val="CM4"/>
              <w:tabs>
                <w:tab w:val="left" w:pos="150"/>
              </w:tabs>
              <w:ind w:left="-43"/>
              <w:jc w:val="both"/>
              <w:rPr>
                <w:rFonts w:ascii="Times New Roman" w:hAnsi="Times New Roman"/>
                <w:iCs/>
                <w:sz w:val="20"/>
                <w:szCs w:val="20"/>
                <w:lang w:val="ro-RO" w:eastAsia="ru-RU"/>
              </w:rPr>
            </w:pPr>
            <w:r w:rsidRPr="00F4697B">
              <w:rPr>
                <w:rFonts w:ascii="Times New Roman" w:hAnsi="Times New Roman"/>
                <w:iCs/>
                <w:sz w:val="20"/>
                <w:szCs w:val="20"/>
                <w:lang w:val="ro-RO" w:eastAsia="ru-RU"/>
              </w:rPr>
              <w:t>(4)   Instituțiile pot trata instrumentele răscumpărate la cerere, care sunt eligibile în temeiul articolului 200 litera (c), drept garanție furnizată de instituția emitentă. Valoarea protecției creditului eligibile este următoarea:</w:t>
            </w:r>
          </w:p>
          <w:p w14:paraId="269B20C0" w14:textId="40790EB6" w:rsidR="00F4697B" w:rsidRPr="00F4697B" w:rsidRDefault="00F4697B" w:rsidP="00F4697B">
            <w:pPr>
              <w:pStyle w:val="CM4"/>
              <w:tabs>
                <w:tab w:val="left" w:pos="150"/>
              </w:tabs>
              <w:ind w:left="-43"/>
              <w:jc w:val="both"/>
              <w:rPr>
                <w:rFonts w:ascii="Times New Roman" w:hAnsi="Times New Roman"/>
                <w:iCs/>
                <w:sz w:val="20"/>
                <w:szCs w:val="20"/>
                <w:lang w:val="ro-RO" w:eastAsia="ru-RU"/>
              </w:rPr>
            </w:pPr>
            <w:r w:rsidRPr="00F4697B">
              <w:rPr>
                <w:rFonts w:ascii="Times New Roman" w:hAnsi="Times New Roman"/>
                <w:iCs/>
                <w:sz w:val="20"/>
                <w:szCs w:val="20"/>
                <w:lang w:val="ro-RO" w:eastAsia="ru-RU"/>
              </w:rPr>
              <w:t>(a) dacă instrumentul va fi răscumpărat la valoarea sa nominală, valoarea protecției este această sumă;</w:t>
            </w:r>
          </w:p>
          <w:p w14:paraId="7CFA904B" w14:textId="7F3632CE" w:rsidR="00D62F3C" w:rsidRPr="002C32BA" w:rsidRDefault="00F4697B" w:rsidP="00F4697B">
            <w:pPr>
              <w:pStyle w:val="CM4"/>
              <w:tabs>
                <w:tab w:val="left" w:pos="150"/>
              </w:tabs>
              <w:ind w:left="-43"/>
              <w:jc w:val="both"/>
              <w:rPr>
                <w:rFonts w:ascii="Times New Roman" w:hAnsi="Times New Roman"/>
                <w:iCs/>
                <w:sz w:val="20"/>
                <w:szCs w:val="20"/>
                <w:lang w:val="ro-RO" w:eastAsia="ru-RU"/>
              </w:rPr>
            </w:pPr>
            <w:r w:rsidRPr="00F4697B">
              <w:rPr>
                <w:rFonts w:ascii="Times New Roman" w:hAnsi="Times New Roman"/>
                <w:iCs/>
                <w:sz w:val="20"/>
                <w:szCs w:val="20"/>
                <w:lang w:val="ro-RO" w:eastAsia="ru-RU"/>
              </w:rPr>
              <w:t>(b) dacă instrumentul va fi răscumpărat la prețul de piață, valoarea protecției este valoarea instrumentului evaluat în același mod ca titlurile de datorie care îndeplinesc condițiile prevăzute la articolul 197 alineatul (4).</w:t>
            </w:r>
          </w:p>
        </w:tc>
        <w:tc>
          <w:tcPr>
            <w:tcW w:w="1636" w:type="pct"/>
            <w:shd w:val="clear" w:color="auto" w:fill="auto"/>
          </w:tcPr>
          <w:p w14:paraId="337E80F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F4697B">
              <w:rPr>
                <w:rFonts w:ascii="Times New Roman" w:hAnsi="Times New Roman"/>
                <w:b/>
                <w:bCs/>
                <w:sz w:val="20"/>
                <w:szCs w:val="20"/>
                <w:lang w:val="ro-RO" w:eastAsia="ru-RU"/>
              </w:rPr>
              <w:t>109.</w:t>
            </w:r>
            <w:r w:rsidRPr="002C32BA">
              <w:rPr>
                <w:rFonts w:ascii="Times New Roman" w:hAnsi="Times New Roman"/>
                <w:sz w:val="20"/>
                <w:szCs w:val="20"/>
                <w:lang w:val="ro-RO" w:eastAsia="ru-RU"/>
              </w:rPr>
              <w:t xml:space="preserve"> Instrumentele răscumpărate la cerere, care sunt eligibile în temeiul punctului 35 subpunctul 2), pot fi tratate de către bănci drept garanție furnizată de banca emitentă /societatea de investiții emitentă. Valoarea protecției creditului eligibile este următoarea: </w:t>
            </w:r>
          </w:p>
          <w:p w14:paraId="17253C0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dacă instrumentul va fi răscumpărat la valoarea sa nominală, valoarea protecției este această sumă; </w:t>
            </w:r>
          </w:p>
          <w:p w14:paraId="0A7D6F6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2) dacă instrumentul va fi răscumpărat la prețul de piață, valoarea protecției este valoarea instrumentului evaluat în același mod ca titlurile de datorie care îndeplinesc condițiile prevăzute la punctul 28.</w:t>
            </w:r>
          </w:p>
        </w:tc>
        <w:tc>
          <w:tcPr>
            <w:tcW w:w="562" w:type="pct"/>
          </w:tcPr>
          <w:p w14:paraId="092884FD"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2828FF6" w14:textId="28237BCA"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516E6DA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C51EEC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Subsecțiunea 2 </w:t>
            </w:r>
          </w:p>
          <w:p w14:paraId="4E41568D" w14:textId="77777777"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b/>
                <w:iCs/>
                <w:sz w:val="20"/>
                <w:szCs w:val="20"/>
                <w:lang w:val="ro-RO" w:eastAsia="ru-RU"/>
              </w:rPr>
              <w:t>Protecția nefinanțată a creditului</w:t>
            </w:r>
          </w:p>
          <w:p w14:paraId="3BA2436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p>
        </w:tc>
        <w:tc>
          <w:tcPr>
            <w:tcW w:w="1636" w:type="pct"/>
            <w:shd w:val="clear" w:color="auto" w:fill="auto"/>
          </w:tcPr>
          <w:p w14:paraId="5B009AA3"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41393F59" w14:textId="77777777" w:rsidR="00D62F3C" w:rsidRPr="002C32BA" w:rsidRDefault="00D62F3C" w:rsidP="00D62F3C">
            <w:pPr>
              <w:rPr>
                <w:rFonts w:ascii="Times New Roman" w:hAnsi="Times New Roman" w:cs="Times New Roman"/>
                <w:sz w:val="20"/>
                <w:szCs w:val="20"/>
                <w:lang w:val="ro-RO"/>
              </w:rPr>
            </w:pPr>
          </w:p>
        </w:tc>
        <w:tc>
          <w:tcPr>
            <w:tcW w:w="885" w:type="pct"/>
          </w:tcPr>
          <w:p w14:paraId="4C4014E5"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2D6D301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47299E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233</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Evaluare</w:t>
            </w:r>
          </w:p>
          <w:p w14:paraId="0B87302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În scopul calculării efectelor protecției nefinanțate a creditului în conformitate cu prezenta subsecțiune, valoarea protecției nefinanțate a creditului (G) este suma pe care furnizorul de protecție s-a angajat să o plătească în cazul în care împrumutatul intră în stare de nerambursare sau nu plătește, ori dacă se produc alte evenimente de credit specificate.</w:t>
            </w:r>
          </w:p>
        </w:tc>
        <w:tc>
          <w:tcPr>
            <w:tcW w:w="1636" w:type="pct"/>
            <w:shd w:val="clear" w:color="auto" w:fill="auto"/>
          </w:tcPr>
          <w:p w14:paraId="5C4E031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Capitolul IX. Calculul efectelor în cazul protecției nefinanțate a creditului</w:t>
            </w:r>
          </w:p>
          <w:p w14:paraId="37DA0797" w14:textId="77777777" w:rsidR="00D62F3C" w:rsidRPr="00BC1890" w:rsidRDefault="00D62F3C" w:rsidP="00D62F3C">
            <w:pPr>
              <w:pStyle w:val="CM4"/>
              <w:tabs>
                <w:tab w:val="left" w:pos="150"/>
              </w:tabs>
              <w:ind w:left="-36"/>
              <w:rPr>
                <w:rFonts w:ascii="Times New Roman" w:hAnsi="Times New Roman"/>
                <w:b/>
                <w:bCs/>
                <w:sz w:val="20"/>
                <w:szCs w:val="20"/>
                <w:lang w:val="ro-RO" w:eastAsia="ru-RU"/>
              </w:rPr>
            </w:pPr>
            <w:r w:rsidRPr="00BC1890">
              <w:rPr>
                <w:rFonts w:ascii="Times New Roman" w:hAnsi="Times New Roman"/>
                <w:b/>
                <w:bCs/>
                <w:sz w:val="20"/>
                <w:szCs w:val="20"/>
                <w:lang w:val="ro-RO" w:eastAsia="ru-RU"/>
              </w:rPr>
              <w:t>Secțiunea 1. Evaluare</w:t>
            </w:r>
          </w:p>
          <w:p w14:paraId="4261EB1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BC1890">
              <w:rPr>
                <w:rFonts w:ascii="Times New Roman" w:hAnsi="Times New Roman"/>
                <w:b/>
                <w:bCs/>
                <w:sz w:val="20"/>
                <w:szCs w:val="20"/>
                <w:lang w:val="ro-RO" w:eastAsia="ru-RU"/>
              </w:rPr>
              <w:t>110.</w:t>
            </w:r>
            <w:r w:rsidRPr="002C32BA">
              <w:rPr>
                <w:rFonts w:ascii="Times New Roman" w:hAnsi="Times New Roman"/>
                <w:sz w:val="20"/>
                <w:szCs w:val="20"/>
                <w:lang w:val="ro-RO" w:eastAsia="ru-RU"/>
              </w:rPr>
              <w:t xml:space="preserve"> În scopul calculării efectelor protecției nefinanțate a creditului în conformitate cu prezentul capitol, valoarea protecției nefinanțate a creditului (G) este suma pe care furnizorul de protecție s-a angajat să o plătească în cazul în care debitorul intră în stare de nerambursare sau nu plătește, ori dacă se produc alte evenimente de credit specificate.</w:t>
            </w:r>
          </w:p>
        </w:tc>
        <w:tc>
          <w:tcPr>
            <w:tcW w:w="562" w:type="pct"/>
          </w:tcPr>
          <w:p w14:paraId="4184DD3F"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1289873" w14:textId="5AE773AC"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401B4B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0DAEB0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În cazul instrumentelor financiare derivate de credit care nu includ ca eveniment de credit restructurarea obligației-suport, care implică scutirea sau amânarea plății principalului, a dobânzii sau a comisioanelor și are ca rezultat un eveniment de pierdere din credit, se aplică următoarele:</w:t>
            </w:r>
          </w:p>
          <w:p w14:paraId="79772B0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dacă suma pe care furnizorul de protecție s-a angajat să o plătească nu depășește valoarea expunerii, instituțiile trebuie să reducă valoarea protecției creditului, calculată în conformitate cu alineatul (1), cu 40 %;</w:t>
            </w:r>
          </w:p>
          <w:p w14:paraId="6BB9BFC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dacă suma pe care furnizorul de protecție s-a angajat să o plătească depășește valoarea expunerii, valoarea protecției creditului nu trebuie să fie mai mare de 60 % din valoarea expunerii.</w:t>
            </w:r>
          </w:p>
        </w:tc>
        <w:tc>
          <w:tcPr>
            <w:tcW w:w="1636" w:type="pct"/>
            <w:shd w:val="clear" w:color="auto" w:fill="auto"/>
          </w:tcPr>
          <w:p w14:paraId="4FFFC774"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BC1890">
              <w:rPr>
                <w:rFonts w:ascii="Times New Roman" w:hAnsi="Times New Roman"/>
                <w:b/>
                <w:bCs/>
                <w:sz w:val="20"/>
                <w:szCs w:val="20"/>
                <w:lang w:val="ro-RO" w:eastAsia="ru-RU"/>
              </w:rPr>
              <w:t>111.</w:t>
            </w:r>
            <w:r w:rsidRPr="002C32BA">
              <w:rPr>
                <w:rFonts w:ascii="Times New Roman" w:hAnsi="Times New Roman"/>
                <w:sz w:val="20"/>
                <w:szCs w:val="20"/>
                <w:lang w:val="ro-RO" w:eastAsia="ru-RU"/>
              </w:rPr>
              <w:t xml:space="preserve"> În cazul instrumentelor financiare derivate de credit care nu includ ca eveniment de credit restructurarea obligației-suport, care implică anularea sau amânarea plății principalului, a dobânzii sau a comisioanelor și are ca rezultat un eveniment de pierdere din credit, se aplică următoarele: </w:t>
            </w:r>
          </w:p>
          <w:p w14:paraId="22939EF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1) dacă suma pe care furnizorul de protecție s-a angajat să o plătească nu depășește valoarea expunerii, băncile trebuie să reducă valoarea protecției creditului, calculată în conformitate cu punctul 110, cu 40 %; </w:t>
            </w:r>
          </w:p>
          <w:p w14:paraId="1445F37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2) dacă suma pe care furnizorul de protecție s-a angajat să o plătească depășește valoarea expunerii, valoarea protecției creditului nu trebuie să fie mai mare de 60% din valoarea expunerii.</w:t>
            </w:r>
          </w:p>
        </w:tc>
        <w:tc>
          <w:tcPr>
            <w:tcW w:w="562" w:type="pct"/>
          </w:tcPr>
          <w:p w14:paraId="5A9A33F5"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8C83763" w14:textId="40DDA8B0"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C53B08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07DE170"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hAnsi="Times New Roman"/>
                <w:iCs/>
                <w:sz w:val="20"/>
                <w:szCs w:val="20"/>
                <w:lang w:val="ro-RO" w:eastAsia="ru-RU"/>
              </w:rPr>
              <w:t>(3) Dacă protecția nefinanțată a creditului și expunerea sunt denominate în monede diferite, instituțiile trebuie să reducă valoarea protecției creditului prin aplicarea unei ajustări de volatilitate după cum urmează:</w:t>
            </w:r>
            <w:r w:rsidRPr="002C32BA">
              <w:rPr>
                <w:rFonts w:ascii="Times New Roman" w:hAnsi="Times New Roman"/>
                <w:sz w:val="20"/>
                <w:szCs w:val="20"/>
                <w:lang w:val="ro-RO"/>
              </w:rPr>
              <w:t xml:space="preserve"> </w:t>
            </w:r>
          </w:p>
          <w:p w14:paraId="683E582E"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eastAsia="Arial Unicode MS" w:hAnsi="Times New Roman"/>
                <w:noProof/>
                <w:sz w:val="20"/>
                <w:szCs w:val="20"/>
                <w:lang w:val="ro-RO"/>
              </w:rPr>
              <w:drawing>
                <wp:inline distT="0" distB="0" distL="0" distR="0" wp14:anchorId="30A8104C" wp14:editId="3A8610BF">
                  <wp:extent cx="1001864" cy="190978"/>
                  <wp:effectExtent l="0" t="0" r="0" b="0"/>
                  <wp:docPr id="19" name="Picture 19"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19629" cy="194364"/>
                          </a:xfrm>
                          <a:prstGeom prst="rect">
                            <a:avLst/>
                          </a:prstGeom>
                          <a:noFill/>
                          <a:ln>
                            <a:noFill/>
                          </a:ln>
                        </pic:spPr>
                      </pic:pic>
                    </a:graphicData>
                  </a:graphic>
                </wp:inline>
              </w:drawing>
            </w:r>
          </w:p>
          <w:p w14:paraId="3AC9DC6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unde:</w:t>
            </w:r>
          </w:p>
          <w:p w14:paraId="6D18AF9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G* = cuantumul protecției creditului ajustat în funcție de riscul valutar,</w:t>
            </w:r>
          </w:p>
          <w:p w14:paraId="6714DD5D"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G = cuantumul nominal al protecției creditului,</w:t>
            </w:r>
          </w:p>
          <w:p w14:paraId="267D2AE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H </w:t>
            </w:r>
            <w:proofErr w:type="spellStart"/>
            <w:r w:rsidRPr="002C32BA">
              <w:rPr>
                <w:rFonts w:ascii="Times New Roman" w:hAnsi="Times New Roman"/>
                <w:iCs/>
                <w:sz w:val="20"/>
                <w:szCs w:val="20"/>
                <w:vertAlign w:val="subscript"/>
                <w:lang w:val="ro-RO" w:eastAsia="ru-RU"/>
              </w:rPr>
              <w:t>fx</w:t>
            </w:r>
            <w:proofErr w:type="spellEnd"/>
            <w:r w:rsidRPr="002C32BA">
              <w:rPr>
                <w:rFonts w:ascii="Times New Roman" w:hAnsi="Times New Roman"/>
                <w:iCs/>
                <w:sz w:val="20"/>
                <w:szCs w:val="20"/>
                <w:lang w:val="ro-RO" w:eastAsia="ru-RU"/>
              </w:rPr>
              <w:t xml:space="preserve"> = ajustarea de volatilitate pentru orice neconcordanță de monede între protecția creditului și obligația-suport, determinată în conformitate cu alineatul (4).</w:t>
            </w:r>
          </w:p>
          <w:p w14:paraId="2AE3ABE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Dacă nu există neconcordanță de monede, H</w:t>
            </w:r>
            <w:r w:rsidRPr="002C32BA">
              <w:rPr>
                <w:rFonts w:ascii="Times New Roman" w:hAnsi="Times New Roman"/>
                <w:iCs/>
                <w:sz w:val="20"/>
                <w:szCs w:val="20"/>
                <w:vertAlign w:val="subscript"/>
                <w:lang w:val="ro-RO" w:eastAsia="ru-RU"/>
              </w:rPr>
              <w:t xml:space="preserve"> </w:t>
            </w:r>
            <w:proofErr w:type="spellStart"/>
            <w:r w:rsidRPr="002C32BA">
              <w:rPr>
                <w:rFonts w:ascii="Times New Roman" w:hAnsi="Times New Roman"/>
                <w:iCs/>
                <w:sz w:val="20"/>
                <w:szCs w:val="20"/>
                <w:vertAlign w:val="subscript"/>
                <w:lang w:val="ro-RO" w:eastAsia="ru-RU"/>
              </w:rPr>
              <w:t>fx</w:t>
            </w:r>
            <w:proofErr w:type="spellEnd"/>
            <w:r w:rsidRPr="002C32BA">
              <w:rPr>
                <w:rFonts w:ascii="Times New Roman" w:hAnsi="Times New Roman"/>
                <w:iCs/>
                <w:sz w:val="20"/>
                <w:szCs w:val="20"/>
                <w:lang w:val="ro-RO" w:eastAsia="ru-RU"/>
              </w:rPr>
              <w:t xml:space="preserve"> este egală cu zero.</w:t>
            </w:r>
          </w:p>
        </w:tc>
        <w:tc>
          <w:tcPr>
            <w:tcW w:w="1636" w:type="pct"/>
            <w:shd w:val="clear" w:color="auto" w:fill="auto"/>
          </w:tcPr>
          <w:p w14:paraId="7B46511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BC1890">
              <w:rPr>
                <w:rFonts w:ascii="Times New Roman" w:hAnsi="Times New Roman"/>
                <w:b/>
                <w:bCs/>
                <w:sz w:val="20"/>
                <w:szCs w:val="20"/>
                <w:lang w:val="ro-RO" w:eastAsia="ru-RU"/>
              </w:rPr>
              <w:t>112</w:t>
            </w:r>
            <w:r w:rsidRPr="002C32BA">
              <w:rPr>
                <w:rFonts w:ascii="Times New Roman" w:hAnsi="Times New Roman"/>
                <w:sz w:val="20"/>
                <w:szCs w:val="20"/>
                <w:lang w:val="ro-RO" w:eastAsia="ru-RU"/>
              </w:rPr>
              <w:t xml:space="preserve">. Dacă protecția nefinanțată a creditului și expunerea sunt exprimate în monede diferite, băncile trebuie să reducă valoarea protecției creditului prin aplicarea unei ajustări de volatilitate după cum urmează: </w:t>
            </w:r>
          </w:p>
          <w:p w14:paraId="53A11A6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r w:rsidRPr="002C32BA">
              <w:rPr>
                <w:rFonts w:ascii="Times New Roman" w:eastAsia="Arial Unicode MS" w:hAnsi="Times New Roman"/>
                <w:noProof/>
                <w:sz w:val="20"/>
                <w:szCs w:val="20"/>
                <w:lang w:val="ro-RO"/>
              </w:rPr>
              <w:drawing>
                <wp:inline distT="0" distB="0" distL="0" distR="0" wp14:anchorId="443D40C2" wp14:editId="7CEA365A">
                  <wp:extent cx="932955" cy="174929"/>
                  <wp:effectExtent l="0" t="0" r="635" b="0"/>
                  <wp:docPr id="1" name="Picture 1"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2823" cy="176779"/>
                          </a:xfrm>
                          <a:prstGeom prst="rect">
                            <a:avLst/>
                          </a:prstGeom>
                          <a:noFill/>
                          <a:ln>
                            <a:noFill/>
                          </a:ln>
                        </pic:spPr>
                      </pic:pic>
                    </a:graphicData>
                  </a:graphic>
                </wp:inline>
              </w:drawing>
            </w:r>
          </w:p>
          <w:p w14:paraId="667F76E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unde: </w:t>
            </w:r>
          </w:p>
          <w:p w14:paraId="430060D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G* = valoarea protecției creditului ajustată în funcție de riscul valutar, </w:t>
            </w:r>
          </w:p>
          <w:p w14:paraId="008F0BE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G = valoarea nominală a protecției creditului, </w:t>
            </w:r>
          </w:p>
          <w:p w14:paraId="0AC8EF9F" w14:textId="77777777" w:rsidR="00D62F3C" w:rsidRPr="002C32BA" w:rsidRDefault="00D62F3C" w:rsidP="00D62F3C">
            <w:pPr>
              <w:pStyle w:val="CM4"/>
              <w:tabs>
                <w:tab w:val="left" w:pos="150"/>
              </w:tabs>
              <w:ind w:left="-36"/>
              <w:rPr>
                <w:rFonts w:ascii="Times New Roman" w:hAnsi="Times New Roman"/>
                <w:sz w:val="20"/>
                <w:szCs w:val="20"/>
                <w:lang w:val="ro-RO" w:eastAsia="ru-RU"/>
              </w:rPr>
            </w:pPr>
            <w:proofErr w:type="spellStart"/>
            <w:r w:rsidRPr="002C32BA">
              <w:rPr>
                <w:rFonts w:ascii="Times New Roman" w:hAnsi="Times New Roman"/>
                <w:sz w:val="20"/>
                <w:szCs w:val="20"/>
                <w:lang w:val="ro-RO" w:eastAsia="ru-RU"/>
              </w:rPr>
              <w:t>H</w:t>
            </w:r>
            <w:r w:rsidRPr="002C32BA">
              <w:rPr>
                <w:rFonts w:ascii="Times New Roman" w:hAnsi="Times New Roman"/>
                <w:sz w:val="20"/>
                <w:szCs w:val="20"/>
                <w:vertAlign w:val="subscript"/>
                <w:lang w:val="ro-RO" w:eastAsia="ru-RU"/>
              </w:rPr>
              <w:t>fx</w:t>
            </w:r>
            <w:proofErr w:type="spellEnd"/>
            <w:r w:rsidRPr="002C32BA">
              <w:rPr>
                <w:rFonts w:ascii="Times New Roman" w:hAnsi="Times New Roman"/>
                <w:sz w:val="20"/>
                <w:szCs w:val="20"/>
                <w:lang w:val="ro-RO" w:eastAsia="ru-RU"/>
              </w:rPr>
              <w:t xml:space="preserve"> = ajustarea de volatilitate pentru orice neconcordanță de monede între protecția creditului și obligația-suport, determinată în conformitate cu punctul 113. Dacă nu există neconcordanță de monede, </w:t>
            </w:r>
            <w:proofErr w:type="spellStart"/>
            <w:r w:rsidRPr="002C32BA">
              <w:rPr>
                <w:rFonts w:ascii="Times New Roman" w:hAnsi="Times New Roman"/>
                <w:sz w:val="20"/>
                <w:szCs w:val="20"/>
                <w:lang w:val="ro-RO" w:eastAsia="ru-RU"/>
              </w:rPr>
              <w:t>H</w:t>
            </w:r>
            <w:r w:rsidRPr="002C32BA">
              <w:rPr>
                <w:rFonts w:ascii="Times New Roman" w:hAnsi="Times New Roman"/>
                <w:sz w:val="20"/>
                <w:szCs w:val="20"/>
                <w:vertAlign w:val="subscript"/>
                <w:lang w:val="ro-RO" w:eastAsia="ru-RU"/>
              </w:rPr>
              <w:t>fx</w:t>
            </w:r>
            <w:proofErr w:type="spellEnd"/>
            <w:r w:rsidRPr="002C32BA">
              <w:rPr>
                <w:rFonts w:ascii="Times New Roman" w:hAnsi="Times New Roman"/>
                <w:sz w:val="20"/>
                <w:szCs w:val="20"/>
                <w:lang w:val="ro-RO" w:eastAsia="ru-RU"/>
              </w:rPr>
              <w:t xml:space="preserve"> este egală cu zero.</w:t>
            </w:r>
          </w:p>
        </w:tc>
        <w:tc>
          <w:tcPr>
            <w:tcW w:w="562" w:type="pct"/>
          </w:tcPr>
          <w:p w14:paraId="599D518C"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034E4257" w14:textId="3361DE74"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3D7EF22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6BA3FC7" w14:textId="77777777" w:rsidR="00CD6607" w:rsidRPr="00CD6607" w:rsidRDefault="00CD6607" w:rsidP="00CD6607">
            <w:pPr>
              <w:pStyle w:val="CM4"/>
              <w:tabs>
                <w:tab w:val="left" w:pos="150"/>
              </w:tabs>
              <w:ind w:left="-43"/>
              <w:jc w:val="both"/>
              <w:rPr>
                <w:rFonts w:ascii="Times New Roman" w:hAnsi="Times New Roman"/>
                <w:iCs/>
                <w:sz w:val="20"/>
                <w:szCs w:val="20"/>
                <w:lang w:val="ro-RO" w:eastAsia="ru-RU"/>
              </w:rPr>
            </w:pPr>
            <w:r w:rsidRPr="00CD6607">
              <w:rPr>
                <w:rFonts w:ascii="Times New Roman" w:hAnsi="Times New Roman"/>
                <w:iCs/>
                <w:sz w:val="20"/>
                <w:szCs w:val="20"/>
                <w:lang w:val="ro-RO" w:eastAsia="ru-RU"/>
              </w:rPr>
              <w:t>▼M17</w:t>
            </w:r>
          </w:p>
          <w:p w14:paraId="61A95D8D" w14:textId="260D1D3A" w:rsidR="00D62F3C" w:rsidRPr="002C32BA" w:rsidRDefault="00CD6607" w:rsidP="00CD6607">
            <w:pPr>
              <w:pStyle w:val="CM4"/>
              <w:tabs>
                <w:tab w:val="left" w:pos="150"/>
              </w:tabs>
              <w:ind w:left="-43"/>
              <w:jc w:val="both"/>
              <w:rPr>
                <w:rFonts w:ascii="Times New Roman" w:hAnsi="Times New Roman"/>
                <w:iCs/>
                <w:sz w:val="20"/>
                <w:szCs w:val="20"/>
                <w:lang w:val="ro-RO" w:eastAsia="ru-RU"/>
              </w:rPr>
            </w:pPr>
            <w:r w:rsidRPr="00CD6607">
              <w:rPr>
                <w:rFonts w:ascii="Times New Roman" w:hAnsi="Times New Roman"/>
                <w:iCs/>
                <w:sz w:val="20"/>
                <w:szCs w:val="20"/>
                <w:lang w:val="ro-RO" w:eastAsia="ru-RU"/>
              </w:rPr>
              <w:t>(4)   Instituțiile își bazează ajustările de volatilitate pentru orice neconcordanță de monede pe o perioadă de deținere de 10 zile lucrătoare, în ipoteza reevaluării zilnice, și calculează ajustările respective conform abordării bazate pe ajustări de volatilitate reglementate, astfel cum se prevede la articolul 224. Instituțiile majorează ajustările de volatilitate în conformitate cu articolul 226.</w:t>
            </w:r>
          </w:p>
        </w:tc>
        <w:tc>
          <w:tcPr>
            <w:tcW w:w="1636" w:type="pct"/>
            <w:shd w:val="clear" w:color="auto" w:fill="auto"/>
          </w:tcPr>
          <w:p w14:paraId="3976E7E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BC1890">
              <w:rPr>
                <w:rFonts w:ascii="Times New Roman" w:hAnsi="Times New Roman"/>
                <w:b/>
                <w:bCs/>
                <w:sz w:val="20"/>
                <w:szCs w:val="20"/>
                <w:lang w:val="ro-RO" w:eastAsia="ru-RU"/>
              </w:rPr>
              <w:t>113.</w:t>
            </w:r>
            <w:r w:rsidRPr="002C32BA">
              <w:rPr>
                <w:rFonts w:ascii="Times New Roman" w:hAnsi="Times New Roman"/>
                <w:sz w:val="20"/>
                <w:szCs w:val="20"/>
                <w:lang w:val="ro-RO" w:eastAsia="ru-RU"/>
              </w:rPr>
              <w:t xml:space="preserve"> Băncile trebuie să bazeze ajustările de volatilitate pentru orice neconcordanță de monede pe o perioadă de lichidare de 10 zile lucrătoare, presupunând că se efectuează o reevaluare zilnică, și efectuează calculul conform abordării bazate pe ajustări de volatilitate reglementate, după cum se prevede la capitolul VIII secțiunea 6. Băncile trebuie să majoreze ajustările de volatilitate în conformitate cu capitolul VIII secțiunea 7.</w:t>
            </w:r>
          </w:p>
        </w:tc>
        <w:tc>
          <w:tcPr>
            <w:tcW w:w="562" w:type="pct"/>
          </w:tcPr>
          <w:p w14:paraId="21AA6DAB" w14:textId="1667F552" w:rsidR="00D62F3C" w:rsidRPr="002C32BA" w:rsidRDefault="00BC1890"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00D62F3C" w:rsidRPr="002C32BA">
              <w:rPr>
                <w:rFonts w:ascii="Times New Roman" w:hAnsi="Times New Roman" w:cs="Times New Roman"/>
                <w:sz w:val="20"/>
                <w:szCs w:val="20"/>
                <w:lang w:val="ro-RO"/>
              </w:rPr>
              <w:t>ompatibil</w:t>
            </w:r>
          </w:p>
        </w:tc>
        <w:tc>
          <w:tcPr>
            <w:tcW w:w="885" w:type="pct"/>
          </w:tcPr>
          <w:p w14:paraId="405950D6" w14:textId="4E472533"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390D193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A1C2518"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 xml:space="preserve">Articolul 234 </w:t>
            </w:r>
            <w:r w:rsidRPr="002C32BA">
              <w:rPr>
                <w:rFonts w:ascii="Times New Roman" w:hAnsi="Times New Roman"/>
                <w:b/>
                <w:iCs/>
                <w:sz w:val="20"/>
                <w:szCs w:val="20"/>
                <w:lang w:val="ro-RO" w:eastAsia="ru-RU"/>
              </w:rPr>
              <w:t>Calculul cuantumurilor ponderate la risc ale expunerilor și al cuantumurilor pierderilor așteptate în cazul protecției parțiale și al segmentării pe tranșe</w:t>
            </w:r>
          </w:p>
          <w:p w14:paraId="34C7F7A4" w14:textId="77777777" w:rsidR="00D62F3C" w:rsidRPr="002C32BA" w:rsidRDefault="00D62F3C" w:rsidP="00D62F3C">
            <w:pPr>
              <w:rPr>
                <w:rFonts w:ascii="Times New Roman" w:hAnsi="Times New Roman" w:cs="Times New Roman"/>
                <w:sz w:val="20"/>
                <w:szCs w:val="20"/>
                <w:lang w:val="ro-RO"/>
              </w:rPr>
            </w:pPr>
          </w:p>
          <w:p w14:paraId="767413F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Dacă o instituție transferă în una sau mai multe tranșe o parte din riscul aferent unui credit, se aplică regulile stabilite la capitolul 5. Instituțiile pot considera că pragurile de semnificație pentru plăți, sub care nu se fac plăți în cazul producerii pierderilor, sunt echivalente cu poziții păstrate care suportă primele pierderea și dau naștere unui transfer de risc segmentat în tranșe.</w:t>
            </w:r>
          </w:p>
        </w:tc>
        <w:tc>
          <w:tcPr>
            <w:tcW w:w="1636" w:type="pct"/>
            <w:shd w:val="clear" w:color="auto" w:fill="auto"/>
          </w:tcPr>
          <w:p w14:paraId="223CFCB7" w14:textId="77777777" w:rsidR="00B61A4E" w:rsidRPr="005C3300" w:rsidRDefault="00B61A4E" w:rsidP="00B61A4E">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Secțiunea 1</w:t>
            </w:r>
            <w:r w:rsidRPr="005C3300">
              <w:rPr>
                <w:rFonts w:ascii="Times New Roman" w:eastAsia="Times New Roman" w:hAnsi="Times New Roman" w:cs="Times New Roman"/>
                <w:b/>
                <w:bCs/>
                <w:i/>
                <w:iCs/>
                <w:color w:val="000000" w:themeColor="text1"/>
                <w:sz w:val="20"/>
                <w:szCs w:val="20"/>
                <w:vertAlign w:val="superscript"/>
                <w:lang w:val="ro-RO" w:eastAsia="ro-MD"/>
              </w:rPr>
              <w:t>1</w:t>
            </w:r>
          </w:p>
          <w:p w14:paraId="18B7B3FA" w14:textId="77777777" w:rsidR="00B61A4E" w:rsidRPr="005C3300" w:rsidRDefault="00B61A4E" w:rsidP="00B61A4E">
            <w:pPr>
              <w:spacing w:after="0" w:line="240" w:lineRule="auto"/>
              <w:jc w:val="center"/>
              <w:rPr>
                <w:rFonts w:ascii="Times New Roman" w:eastAsia="Times New Roman" w:hAnsi="Times New Roman" w:cs="Times New Roman"/>
                <w:b/>
                <w:bCs/>
                <w:i/>
                <w:iCs/>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Calculul valorilor ponderate la risc ale expunerilor și al valorilor pierderilor așteptate în cazul protecției parțiale și al segmentării pe tranșe</w:t>
            </w:r>
          </w:p>
          <w:p w14:paraId="0437B38B" w14:textId="77777777" w:rsidR="00B61A4E" w:rsidRPr="005C3300" w:rsidRDefault="00B61A4E" w:rsidP="00B61A4E">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113</w:t>
            </w:r>
            <w:r w:rsidRPr="005C3300">
              <w:rPr>
                <w:rFonts w:ascii="Times New Roman" w:eastAsia="Times New Roman" w:hAnsi="Times New Roman" w:cs="Times New Roman"/>
                <w:b/>
                <w:bCs/>
                <w:color w:val="000000" w:themeColor="text1"/>
                <w:sz w:val="20"/>
                <w:szCs w:val="20"/>
                <w:vertAlign w:val="superscript"/>
                <w:lang w:val="ro-RO" w:eastAsia="ro-MD"/>
              </w:rPr>
              <w:t>1</w:t>
            </w:r>
            <w:r w:rsidRPr="005C3300">
              <w:rPr>
                <w:rFonts w:ascii="Times New Roman" w:eastAsia="Times New Roman" w:hAnsi="Times New Roman" w:cs="Times New Roman"/>
                <w:b/>
                <w:bCs/>
                <w:color w:val="000000" w:themeColor="text1"/>
                <w:sz w:val="20"/>
                <w:szCs w:val="20"/>
                <w:lang w:val="ro-RO" w:eastAsia="ro-MD"/>
              </w:rPr>
              <w:t>.</w:t>
            </w:r>
            <w:r w:rsidRPr="005C3300">
              <w:rPr>
                <w:rFonts w:ascii="Times New Roman" w:eastAsia="Times New Roman" w:hAnsi="Times New Roman" w:cs="Times New Roman"/>
                <w:color w:val="000000" w:themeColor="text1"/>
                <w:sz w:val="20"/>
                <w:szCs w:val="20"/>
                <w:lang w:val="ro-RO" w:eastAsia="ro-MD"/>
              </w:rPr>
              <w:t xml:space="preserve"> Dacă o bancă transferă în una sau mai multe tranșe o parte din riscul aferent unui credit, se aplică regulile stabilite în Regulamentul nr. 221/2025 privind tratamentul prudențial al securitizărilor. </w:t>
            </w:r>
          </w:p>
          <w:p w14:paraId="2B9F52ED" w14:textId="77777777" w:rsidR="00D62F3C" w:rsidRDefault="00B61A4E" w:rsidP="00B61A4E">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b/>
                <w:bCs/>
                <w:color w:val="000000" w:themeColor="text1"/>
                <w:sz w:val="20"/>
                <w:szCs w:val="20"/>
                <w:lang w:val="ro-RO" w:eastAsia="ro-MD"/>
              </w:rPr>
              <w:t>113</w:t>
            </w:r>
            <w:r w:rsidRPr="005C3300">
              <w:rPr>
                <w:rFonts w:ascii="Times New Roman" w:hAnsi="Times New Roman"/>
                <w:b/>
                <w:bCs/>
                <w:color w:val="000000" w:themeColor="text1"/>
                <w:sz w:val="20"/>
                <w:szCs w:val="20"/>
                <w:vertAlign w:val="superscript"/>
                <w:lang w:val="ro-RO" w:eastAsia="ro-MD"/>
              </w:rPr>
              <w:t>2</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pot considera că pragurile de semnificație pentru plăți, sub care nu se fac plăți în cazul producerii pierderilor, sunt echivalente cu poziții păstrate care suportă primele pierderea și dau naștere unui transfer de risc segmentat în tranșe.</w:t>
            </w:r>
          </w:p>
          <w:p w14:paraId="2A4F79E9" w14:textId="77777777" w:rsidR="00B61A4E" w:rsidRPr="00B61A4E" w:rsidRDefault="00B61A4E" w:rsidP="00B61A4E">
            <w:pPr>
              <w:spacing w:after="0" w:line="240" w:lineRule="auto"/>
              <w:rPr>
                <w:sz w:val="10"/>
                <w:szCs w:val="10"/>
                <w:lang w:val="ro-RO" w:eastAsia="ro-MD"/>
              </w:rPr>
            </w:pPr>
          </w:p>
          <w:p w14:paraId="5E2EA5D9" w14:textId="4DCEEE28" w:rsidR="00B61A4E" w:rsidRPr="00B61A4E" w:rsidRDefault="00B61A4E" w:rsidP="00B61A4E">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E9D5BCF" w14:textId="2B063633" w:rsidR="00D62F3C" w:rsidRPr="002C32BA" w:rsidRDefault="002F1292" w:rsidP="00D62F3C">
            <w:pPr>
              <w:rPr>
                <w:rFonts w:ascii="Times New Roman" w:hAnsi="Times New Roman" w:cs="Times New Roman"/>
                <w:sz w:val="20"/>
                <w:szCs w:val="20"/>
                <w:lang w:val="ro-RO"/>
              </w:rPr>
            </w:pPr>
            <w:r>
              <w:rPr>
                <w:rFonts w:ascii="Times New Roman" w:hAnsi="Times New Roman" w:cs="Times New Roman"/>
                <w:sz w:val="20"/>
                <w:szCs w:val="20"/>
                <w:lang w:val="ro-RO"/>
              </w:rPr>
              <w:t>C</w:t>
            </w:r>
            <w:r w:rsidRPr="002C32BA">
              <w:rPr>
                <w:rFonts w:ascii="Times New Roman" w:hAnsi="Times New Roman" w:cs="Times New Roman"/>
                <w:sz w:val="20"/>
                <w:szCs w:val="20"/>
                <w:lang w:val="ro-RO"/>
              </w:rPr>
              <w:t>ompatibil</w:t>
            </w:r>
          </w:p>
        </w:tc>
        <w:tc>
          <w:tcPr>
            <w:tcW w:w="885" w:type="pct"/>
          </w:tcPr>
          <w:p w14:paraId="35D7F635" w14:textId="64DBCB9C" w:rsidR="00D62F3C" w:rsidRPr="002C32BA" w:rsidRDefault="00D62F3C" w:rsidP="00D62F3C">
            <w:pPr>
              <w:jc w:val="both"/>
              <w:rPr>
                <w:rFonts w:ascii="Times New Roman" w:hAnsi="Times New Roman" w:cs="Times New Roman"/>
                <w:sz w:val="20"/>
                <w:szCs w:val="20"/>
                <w:lang w:val="ro-RO"/>
              </w:rPr>
            </w:pPr>
          </w:p>
        </w:tc>
      </w:tr>
      <w:tr w:rsidR="00D62F3C" w:rsidRPr="002C32BA" w14:paraId="076378E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468CEACF" w14:textId="11E0C5FE" w:rsidR="00D62F3C"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Articolul 235</w:t>
            </w:r>
            <w:r w:rsidRPr="002C32BA">
              <w:rPr>
                <w:rFonts w:ascii="Times New Roman" w:hAnsi="Times New Roman"/>
                <w:iCs/>
                <w:sz w:val="20"/>
                <w:szCs w:val="20"/>
                <w:lang w:val="ro-RO" w:eastAsia="ru-RU"/>
              </w:rPr>
              <w:t xml:space="preserve"> </w:t>
            </w:r>
            <w:r w:rsidR="004C7A9D" w:rsidRPr="004C7A9D">
              <w:rPr>
                <w:rFonts w:ascii="Times New Roman" w:hAnsi="Times New Roman"/>
                <w:b/>
                <w:iCs/>
                <w:sz w:val="20"/>
                <w:szCs w:val="20"/>
                <w:lang w:val="ro-RO" w:eastAsia="ru-RU"/>
              </w:rPr>
              <w:t>Calculul cuantumurilor ponderate la risc ale expunerilor în conformitate cu metoda substituției atunci când expunerea garantată este tratată conform abordării standardizate</w:t>
            </w:r>
          </w:p>
          <w:p w14:paraId="7A728730" w14:textId="30677AA2" w:rsidR="004C7A9D" w:rsidRPr="004C7A9D" w:rsidRDefault="004C7A9D" w:rsidP="004C7A9D">
            <w:pPr>
              <w:rPr>
                <w:lang w:val="ro-RO" w:eastAsia="ru-RU"/>
              </w:rPr>
            </w:pPr>
            <w:r w:rsidRPr="004C7A9D">
              <w:rPr>
                <w:rFonts w:ascii="Times New Roman" w:eastAsia="Times New Roman" w:hAnsi="Times New Roman" w:cs="Times New Roman"/>
                <w:sz w:val="20"/>
                <w:szCs w:val="20"/>
                <w:lang w:val="ro-RO" w:eastAsia="ru-RU"/>
              </w:rPr>
              <w:t>M17</w:t>
            </w:r>
          </w:p>
          <w:p w14:paraId="2718D7E6" w14:textId="70189C3F"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hAnsi="Times New Roman"/>
                <w:iCs/>
                <w:sz w:val="20"/>
                <w:szCs w:val="20"/>
                <w:lang w:val="ro-RO" w:eastAsia="ru-RU"/>
              </w:rPr>
              <w:t xml:space="preserve">(1) </w:t>
            </w:r>
            <w:r w:rsidR="008A2D0F" w:rsidRPr="008A2D0F">
              <w:rPr>
                <w:rFonts w:ascii="Times New Roman" w:hAnsi="Times New Roman"/>
                <w:iCs/>
                <w:sz w:val="20"/>
                <w:szCs w:val="20"/>
                <w:lang w:val="ro-RO" w:eastAsia="ru-RU"/>
              </w:rPr>
              <w:t>În sensul articolului 113 alineatul (3), instituțiile calculează cuantumurile ponderate la risc ale expunerilor cu protecție nefinanțată a creditului în cazul cărora instituțiile respective aplică abordarea standardizată, indiferent de tratamentul expunerilor directe comparabile față de furnizorul de protecție, în conformitate cu următoarea formulă</w:t>
            </w:r>
            <w:r w:rsidRPr="002C32BA">
              <w:rPr>
                <w:rFonts w:ascii="Times New Roman" w:hAnsi="Times New Roman"/>
                <w:iCs/>
                <w:sz w:val="20"/>
                <w:szCs w:val="20"/>
                <w:lang w:val="ro-RO" w:eastAsia="ru-RU"/>
              </w:rPr>
              <w:t>:</w:t>
            </w:r>
            <w:r w:rsidRPr="002C32BA">
              <w:rPr>
                <w:rFonts w:ascii="Times New Roman" w:hAnsi="Times New Roman"/>
                <w:sz w:val="20"/>
                <w:szCs w:val="20"/>
                <w:lang w:val="ro-RO"/>
              </w:rPr>
              <w:t xml:space="preserve"> </w:t>
            </w:r>
          </w:p>
          <w:p w14:paraId="7F1F5E14"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eastAsia="Arial Unicode MS" w:hAnsi="Times New Roman"/>
                <w:noProof/>
                <w:sz w:val="20"/>
                <w:szCs w:val="20"/>
                <w:lang w:val="ro-RO"/>
              </w:rPr>
              <w:drawing>
                <wp:inline distT="0" distB="0" distL="0" distR="0" wp14:anchorId="40341FC5" wp14:editId="2AB392D2">
                  <wp:extent cx="1685676" cy="217652"/>
                  <wp:effectExtent l="0" t="0" r="0" b="0"/>
                  <wp:docPr id="20" name="Picture 20"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imag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19371" cy="222003"/>
                          </a:xfrm>
                          <a:prstGeom prst="rect">
                            <a:avLst/>
                          </a:prstGeom>
                          <a:noFill/>
                          <a:ln>
                            <a:noFill/>
                          </a:ln>
                        </pic:spPr>
                      </pic:pic>
                    </a:graphicData>
                  </a:graphic>
                </wp:inline>
              </w:drawing>
            </w:r>
          </w:p>
          <w:p w14:paraId="7169291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unde:</w:t>
            </w:r>
          </w:p>
          <w:p w14:paraId="6A593821"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E = valoarea expunerii în conformitate cu articolul 111; în acest scop, valoarea expunerii unui element </w:t>
            </w:r>
            <w:proofErr w:type="spellStart"/>
            <w:r w:rsidRPr="002C32BA">
              <w:rPr>
                <w:rFonts w:ascii="Times New Roman" w:hAnsi="Times New Roman"/>
                <w:iCs/>
                <w:sz w:val="20"/>
                <w:szCs w:val="20"/>
                <w:lang w:val="ro-RO" w:eastAsia="ru-RU"/>
              </w:rPr>
              <w:t>extrabilanțier</w:t>
            </w:r>
            <w:proofErr w:type="spellEnd"/>
            <w:r w:rsidRPr="002C32BA">
              <w:rPr>
                <w:rFonts w:ascii="Times New Roman" w:hAnsi="Times New Roman"/>
                <w:iCs/>
                <w:sz w:val="20"/>
                <w:szCs w:val="20"/>
                <w:lang w:val="ro-RO" w:eastAsia="ru-RU"/>
              </w:rPr>
              <w:t xml:space="preserve"> menționat în anexa I este egală cu 100 % din valoarea elementului și nu cu valoarea expunerii indicată la articolul 111 alineatul (1);</w:t>
            </w:r>
          </w:p>
          <w:p w14:paraId="7BCB4AC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G</w:t>
            </w:r>
            <w:r w:rsidRPr="002C32BA">
              <w:rPr>
                <w:rFonts w:ascii="Times New Roman" w:hAnsi="Times New Roman"/>
                <w:iCs/>
                <w:sz w:val="20"/>
                <w:szCs w:val="20"/>
                <w:vertAlign w:val="subscript"/>
                <w:lang w:val="ro-RO" w:eastAsia="ru-RU"/>
              </w:rPr>
              <w:t xml:space="preserve"> A</w:t>
            </w:r>
            <w:r w:rsidRPr="002C32BA">
              <w:rPr>
                <w:rFonts w:ascii="Times New Roman" w:hAnsi="Times New Roman"/>
                <w:iCs/>
                <w:sz w:val="20"/>
                <w:szCs w:val="20"/>
                <w:lang w:val="ro-RO" w:eastAsia="ru-RU"/>
              </w:rPr>
              <w:t xml:space="preserve"> = cuantumul protecției pentru riscul de credit calculat în conformitate cu articolul 233 alineatul (3) (G*) și ajustat suplimentar pentru orice neconcordanță de scadențe prevăzută în secțiunea 5;</w:t>
            </w:r>
          </w:p>
          <w:p w14:paraId="41010A7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R = ponderea de risc aferentă expunerilor față de debitor, specificată în capitolul 2;</w:t>
            </w:r>
          </w:p>
          <w:p w14:paraId="5FFA499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G = ponderea de risc aferentă expunerilor față de furnizorul de protecție, specificată în capitolul 2.</w:t>
            </w:r>
          </w:p>
        </w:tc>
        <w:tc>
          <w:tcPr>
            <w:tcW w:w="1636" w:type="pct"/>
            <w:shd w:val="clear" w:color="auto" w:fill="auto"/>
          </w:tcPr>
          <w:p w14:paraId="04592670" w14:textId="13B0DE8F" w:rsidR="00D62F3C" w:rsidRPr="002C32BA" w:rsidRDefault="00D62F3C" w:rsidP="00BB5339">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Secțiunea a 2-a. </w:t>
            </w:r>
            <w:r w:rsidR="00BB5339" w:rsidRPr="00BB5339">
              <w:rPr>
                <w:rFonts w:ascii="Times New Roman" w:hAnsi="Times New Roman"/>
                <w:sz w:val="20"/>
                <w:szCs w:val="20"/>
                <w:lang w:val="ro-RO" w:eastAsia="ru-RU"/>
              </w:rPr>
              <w:t>Calculul valorilor ponderate la risc ale expunerilor în cadrul conformitate cu metoda substituției atunci când expunerea garantată este tratată conform abordării standardizate</w:t>
            </w:r>
          </w:p>
          <w:p w14:paraId="6B245806"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p w14:paraId="6C51C701" w14:textId="698D10B3" w:rsidR="00D62F3C" w:rsidRPr="002C32BA" w:rsidRDefault="00D62F3C" w:rsidP="00D62F3C">
            <w:pPr>
              <w:pStyle w:val="CM4"/>
              <w:tabs>
                <w:tab w:val="left" w:pos="150"/>
              </w:tabs>
              <w:ind w:left="-36"/>
              <w:rPr>
                <w:rFonts w:ascii="Times New Roman" w:hAnsi="Times New Roman"/>
                <w:sz w:val="20"/>
                <w:szCs w:val="20"/>
                <w:lang w:val="ro-RO" w:eastAsia="ru-RU"/>
              </w:rPr>
            </w:pPr>
            <w:r w:rsidRPr="008A2D0F">
              <w:rPr>
                <w:rFonts w:ascii="Times New Roman" w:hAnsi="Times New Roman"/>
                <w:b/>
                <w:bCs/>
                <w:sz w:val="20"/>
                <w:szCs w:val="20"/>
                <w:lang w:val="ro-RO" w:eastAsia="ru-RU"/>
              </w:rPr>
              <w:t>114.</w:t>
            </w:r>
            <w:r w:rsidRPr="002C32BA">
              <w:rPr>
                <w:rFonts w:ascii="Times New Roman" w:hAnsi="Times New Roman"/>
                <w:sz w:val="20"/>
                <w:szCs w:val="20"/>
                <w:lang w:val="ro-RO" w:eastAsia="ru-RU"/>
              </w:rPr>
              <w:t xml:space="preserve"> </w:t>
            </w:r>
            <w:r w:rsidR="008A2D0F" w:rsidRPr="008A2D0F">
              <w:rPr>
                <w:rFonts w:ascii="Times New Roman" w:hAnsi="Times New Roman"/>
                <w:sz w:val="20"/>
                <w:szCs w:val="20"/>
                <w:lang w:val="ro-RO" w:eastAsia="ru-RU"/>
              </w:rPr>
              <w:t>Pentru scopul Regulamentului nr.111/2018, băncile trebuie să calculeze valorile ponderate la risc ale expunerilor cu protecție nefinanțată a creditului în cazul cărora băncile respective aplică abordarea standardizată, indiferent de tratamentul expunerilor directe comparabile față de furnizorul de protecție, conform următoarei formule</w:t>
            </w:r>
            <w:r w:rsidRPr="002C32BA">
              <w:rPr>
                <w:rFonts w:ascii="Times New Roman" w:hAnsi="Times New Roman"/>
                <w:sz w:val="20"/>
                <w:szCs w:val="20"/>
                <w:lang w:val="ro-RO" w:eastAsia="ru-RU"/>
              </w:rPr>
              <w:t xml:space="preserve">: </w:t>
            </w:r>
          </w:p>
          <w:p w14:paraId="184C4FB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r w:rsidRPr="002C32BA">
              <w:rPr>
                <w:rFonts w:ascii="Times New Roman" w:eastAsia="Arial Unicode MS" w:hAnsi="Times New Roman"/>
                <w:noProof/>
                <w:sz w:val="20"/>
                <w:szCs w:val="20"/>
                <w:lang w:val="ro-RO"/>
              </w:rPr>
              <w:drawing>
                <wp:inline distT="0" distB="0" distL="0" distR="0" wp14:anchorId="46145C5A" wp14:editId="1627CF46">
                  <wp:extent cx="1160890" cy="149892"/>
                  <wp:effectExtent l="0" t="0" r="1270" b="2540"/>
                  <wp:docPr id="31" name="Picture 31"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imag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6834" cy="155824"/>
                          </a:xfrm>
                          <a:prstGeom prst="rect">
                            <a:avLst/>
                          </a:prstGeom>
                          <a:noFill/>
                          <a:ln>
                            <a:noFill/>
                          </a:ln>
                        </pic:spPr>
                      </pic:pic>
                    </a:graphicData>
                  </a:graphic>
                </wp:inline>
              </w:drawing>
            </w:r>
          </w:p>
          <w:p w14:paraId="429A53E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unde: </w:t>
            </w:r>
          </w:p>
          <w:p w14:paraId="3590AE03"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E = valoarea expunerii în conformitate cu actul normativ menționat supra; în acest scop, valoarea expunerii unui element </w:t>
            </w:r>
            <w:proofErr w:type="spellStart"/>
            <w:r w:rsidRPr="002C32BA">
              <w:rPr>
                <w:rFonts w:ascii="Times New Roman" w:hAnsi="Times New Roman"/>
                <w:sz w:val="20"/>
                <w:szCs w:val="20"/>
                <w:lang w:val="ro-RO" w:eastAsia="ru-RU"/>
              </w:rPr>
              <w:t>extrabilanțier</w:t>
            </w:r>
            <w:proofErr w:type="spellEnd"/>
            <w:r w:rsidRPr="002C32BA">
              <w:rPr>
                <w:rFonts w:ascii="Times New Roman" w:hAnsi="Times New Roman"/>
                <w:sz w:val="20"/>
                <w:szCs w:val="20"/>
                <w:lang w:val="ro-RO" w:eastAsia="ru-RU"/>
              </w:rPr>
              <w:t xml:space="preserve"> este egală cu 100 % din valoarea elementului și nu cu valoarea expunerii elementului </w:t>
            </w:r>
            <w:proofErr w:type="spellStart"/>
            <w:r w:rsidRPr="002C32BA">
              <w:rPr>
                <w:rFonts w:ascii="Times New Roman" w:hAnsi="Times New Roman"/>
                <w:sz w:val="20"/>
                <w:szCs w:val="20"/>
                <w:lang w:val="ro-RO" w:eastAsia="ru-RU"/>
              </w:rPr>
              <w:t>extrabilențier</w:t>
            </w:r>
            <w:proofErr w:type="spellEnd"/>
            <w:r w:rsidRPr="002C32BA">
              <w:rPr>
                <w:rFonts w:ascii="Times New Roman" w:hAnsi="Times New Roman"/>
                <w:sz w:val="20"/>
                <w:szCs w:val="20"/>
                <w:lang w:val="ro-RO" w:eastAsia="ru-RU"/>
              </w:rPr>
              <w:t xml:space="preserve"> determinată conform actului </w:t>
            </w:r>
            <w:proofErr w:type="spellStart"/>
            <w:r w:rsidRPr="002C32BA">
              <w:rPr>
                <w:rFonts w:ascii="Times New Roman" w:hAnsi="Times New Roman"/>
                <w:sz w:val="20"/>
                <w:szCs w:val="20"/>
                <w:lang w:val="ro-RO" w:eastAsia="ru-RU"/>
              </w:rPr>
              <w:t>normati</w:t>
            </w:r>
            <w:proofErr w:type="spellEnd"/>
            <w:r w:rsidRPr="002C32BA">
              <w:rPr>
                <w:rFonts w:ascii="Times New Roman" w:hAnsi="Times New Roman"/>
                <w:sz w:val="20"/>
                <w:szCs w:val="20"/>
                <w:lang w:val="ro-RO" w:eastAsia="ru-RU"/>
              </w:rPr>
              <w:t xml:space="preserve"> nominalizat;</w:t>
            </w:r>
          </w:p>
          <w:p w14:paraId="0A7089A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G</w:t>
            </w:r>
            <w:r w:rsidRPr="002C32BA">
              <w:rPr>
                <w:rFonts w:ascii="Times New Roman" w:hAnsi="Times New Roman"/>
                <w:sz w:val="20"/>
                <w:szCs w:val="20"/>
                <w:vertAlign w:val="subscript"/>
                <w:lang w:val="ro-RO" w:eastAsia="ru-RU"/>
              </w:rPr>
              <w:t>A</w:t>
            </w:r>
            <w:r w:rsidRPr="002C32BA">
              <w:rPr>
                <w:rFonts w:ascii="Times New Roman" w:hAnsi="Times New Roman"/>
                <w:sz w:val="20"/>
                <w:szCs w:val="20"/>
                <w:lang w:val="ro-RO" w:eastAsia="ru-RU"/>
              </w:rPr>
              <w:t xml:space="preserve"> = valoarea protecției pentru riscul de credit calculată în conformitate cu punctul 112 din prezentul regulament (G*) și ajustată suplimentar pentru orice neconcordanță de scadențe prevăzută în titlul V; </w:t>
            </w:r>
          </w:p>
          <w:p w14:paraId="1A5E6A7F"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r = ponderea de risc a expunerilor față de debitor, cum este specificat în actul normativ al Băncii Naționale a Moldovei aferent tratamentului riscului de credit pentru bănci potrivit abordării standardizate; </w:t>
            </w:r>
          </w:p>
          <w:p w14:paraId="70268B31" w14:textId="77777777" w:rsidR="00D62F3C" w:rsidRDefault="00D62F3C" w:rsidP="008A2D0F">
            <w:pPr>
              <w:pStyle w:val="CM4"/>
              <w:tabs>
                <w:tab w:val="left" w:pos="150"/>
              </w:tabs>
              <w:spacing w:after="120"/>
              <w:ind w:left="-34"/>
              <w:rPr>
                <w:rFonts w:ascii="Times New Roman" w:hAnsi="Times New Roman"/>
                <w:sz w:val="20"/>
                <w:szCs w:val="20"/>
                <w:lang w:val="ro-RO" w:eastAsia="ru-RU"/>
              </w:rPr>
            </w:pPr>
            <w:r w:rsidRPr="002C32BA">
              <w:rPr>
                <w:rFonts w:ascii="Times New Roman" w:hAnsi="Times New Roman"/>
                <w:sz w:val="20"/>
                <w:szCs w:val="20"/>
                <w:lang w:val="ro-RO" w:eastAsia="ru-RU"/>
              </w:rPr>
              <w:t>g = ponderea de risc a expunerilor față de furnizorul de protecție, cum este specificat în actul normativ al Băncii Naționale a Moldovei aferent tratamentului riscului de credit pentru bănci potrivit abordării standardizate.</w:t>
            </w:r>
          </w:p>
          <w:p w14:paraId="332849E7" w14:textId="13E842A8" w:rsidR="008A2D0F" w:rsidRPr="008A2D0F" w:rsidRDefault="008A2D0F" w:rsidP="008A2D0F">
            <w:pPr>
              <w:spacing w:after="0"/>
              <w:rPr>
                <w:rFonts w:ascii="Times New Roman" w:hAnsi="Times New Roman" w:cs="Times New Roman"/>
                <w:i/>
                <w:iCs/>
                <w:color w:val="000000" w:themeColor="text1"/>
                <w:sz w:val="20"/>
                <w:szCs w:val="20"/>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BA7EC80"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428AC36" w14:textId="566E6791"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186E3302"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E22BF64" w14:textId="1E4AD6CC"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(2) </w:t>
            </w:r>
            <w:r w:rsidR="005C5FD9" w:rsidRPr="005C5FD9">
              <w:rPr>
                <w:rFonts w:ascii="Times New Roman" w:hAnsi="Times New Roman"/>
                <w:iCs/>
                <w:sz w:val="20"/>
                <w:szCs w:val="20"/>
                <w:lang w:val="ro-RO" w:eastAsia="ru-RU"/>
              </w:rPr>
              <w:t>Dacă cuantumul protejat (GA) este mai mic decât expunerea (E), instituțiile pot aplica formula de la alineatul (1) numai dacă părțile protejate și cele neprotejate ale expunerii au același rang.</w:t>
            </w:r>
          </w:p>
        </w:tc>
        <w:tc>
          <w:tcPr>
            <w:tcW w:w="1636" w:type="pct"/>
            <w:shd w:val="clear" w:color="auto" w:fill="auto"/>
          </w:tcPr>
          <w:p w14:paraId="66152802"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5C5FD9">
              <w:rPr>
                <w:rFonts w:ascii="Times New Roman" w:hAnsi="Times New Roman"/>
                <w:b/>
                <w:bCs/>
                <w:sz w:val="20"/>
                <w:szCs w:val="20"/>
                <w:lang w:val="ro-RO" w:eastAsia="ru-RU"/>
              </w:rPr>
              <w:t>115</w:t>
            </w:r>
            <w:r w:rsidRPr="002C32BA">
              <w:rPr>
                <w:rFonts w:ascii="Times New Roman" w:hAnsi="Times New Roman"/>
                <w:sz w:val="20"/>
                <w:szCs w:val="20"/>
                <w:lang w:val="ro-RO" w:eastAsia="ru-RU"/>
              </w:rPr>
              <w:t>. Dacă valoarea protejată (G</w:t>
            </w:r>
            <w:r w:rsidRPr="002C32BA">
              <w:rPr>
                <w:rFonts w:ascii="Times New Roman" w:hAnsi="Times New Roman"/>
                <w:sz w:val="20"/>
                <w:szCs w:val="20"/>
                <w:vertAlign w:val="subscript"/>
                <w:lang w:val="ro-RO" w:eastAsia="ru-RU"/>
              </w:rPr>
              <w:t>A</w:t>
            </w:r>
            <w:r w:rsidRPr="002C32BA">
              <w:rPr>
                <w:rFonts w:ascii="Times New Roman" w:hAnsi="Times New Roman"/>
                <w:sz w:val="20"/>
                <w:szCs w:val="20"/>
                <w:lang w:val="ro-RO" w:eastAsia="ru-RU"/>
              </w:rPr>
              <w:t xml:space="preserve">) este mai mică decât expunerea (E), băncile pot aplica formula specificată la punctul 114 numai dacă părțile protejate și cele neprotejate ale expunerii au același rang, adică banca și garantul împart pierderile în mod </w:t>
            </w:r>
            <w:proofErr w:type="spellStart"/>
            <w:r w:rsidRPr="002C32BA">
              <w:rPr>
                <w:rFonts w:ascii="Times New Roman" w:hAnsi="Times New Roman"/>
                <w:sz w:val="20"/>
                <w:szCs w:val="20"/>
                <w:lang w:val="ro-RO" w:eastAsia="ru-RU"/>
              </w:rPr>
              <w:t>proportional</w:t>
            </w:r>
            <w:proofErr w:type="spellEnd"/>
            <w:r w:rsidRPr="002C32BA">
              <w:rPr>
                <w:rFonts w:ascii="Times New Roman" w:hAnsi="Times New Roman"/>
                <w:sz w:val="20"/>
                <w:szCs w:val="20"/>
                <w:lang w:val="ro-RO" w:eastAsia="ru-RU"/>
              </w:rPr>
              <w:t>.</w:t>
            </w:r>
          </w:p>
        </w:tc>
        <w:tc>
          <w:tcPr>
            <w:tcW w:w="562" w:type="pct"/>
          </w:tcPr>
          <w:p w14:paraId="54ACB5E8"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00CB75AE" w14:textId="50B2B901"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2FFF290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56A7A04E" w14:textId="77777777" w:rsidR="00D62F3C" w:rsidRPr="00813DCB" w:rsidRDefault="00D62F3C" w:rsidP="00D62F3C">
            <w:pPr>
              <w:pStyle w:val="CM4"/>
              <w:tabs>
                <w:tab w:val="left" w:pos="150"/>
              </w:tabs>
              <w:ind w:left="-43"/>
              <w:jc w:val="both"/>
              <w:rPr>
                <w:rFonts w:ascii="Times New Roman" w:hAnsi="Times New Roman"/>
                <w:b/>
                <w:bCs/>
                <w:iCs/>
                <w:sz w:val="20"/>
                <w:szCs w:val="20"/>
                <w:lang w:val="ro-RO" w:eastAsia="ru-RU"/>
              </w:rPr>
            </w:pPr>
            <w:r w:rsidRPr="00813DCB">
              <w:rPr>
                <w:rFonts w:ascii="Times New Roman" w:hAnsi="Times New Roman"/>
                <w:b/>
                <w:bCs/>
                <w:iCs/>
                <w:sz w:val="20"/>
                <w:szCs w:val="20"/>
                <w:lang w:val="ro-RO" w:eastAsia="ru-RU"/>
              </w:rPr>
              <w:t>▼M17</w:t>
            </w:r>
          </w:p>
          <w:p w14:paraId="77BDA7BD" w14:textId="77777777" w:rsidR="00D62F3C" w:rsidRPr="00571A11" w:rsidRDefault="00D62F3C" w:rsidP="00D62F3C">
            <w:pPr>
              <w:pStyle w:val="CM4"/>
              <w:tabs>
                <w:tab w:val="left" w:pos="150"/>
              </w:tabs>
              <w:ind w:left="-43"/>
              <w:jc w:val="both"/>
              <w:rPr>
                <w:rFonts w:ascii="Times New Roman" w:hAnsi="Times New Roman"/>
                <w:iCs/>
                <w:sz w:val="20"/>
                <w:szCs w:val="20"/>
                <w:lang w:eastAsia="ru-RU"/>
              </w:rPr>
            </w:pPr>
            <w:r w:rsidRPr="00571A11">
              <w:rPr>
                <w:rFonts w:ascii="Times New Roman" w:hAnsi="Times New Roman"/>
                <w:iCs/>
                <w:sz w:val="20"/>
                <w:szCs w:val="20"/>
                <w:lang w:val="ro-RO" w:eastAsia="ru-RU"/>
              </w:rPr>
              <w:t>(3)   Instituțiile pot extinde tratamentul preferențial prevăzut la articolul 114 alineatele (4) și (7) la expunerile sau la părțile din expuneri garantate de administrația centrală sau de banca centrală, ca și cum expunerile respective ar fi expuneri directe față de administrația centrală sau de banca centrală, cu condiția ca astfel de expuneri directe să îndeplinească condițiile prevăzute la articolul 114 alineatul (4) sau (7), după caz.</w:t>
            </w:r>
          </w:p>
        </w:tc>
        <w:tc>
          <w:tcPr>
            <w:tcW w:w="1636" w:type="pct"/>
            <w:shd w:val="clear" w:color="auto" w:fill="auto"/>
          </w:tcPr>
          <w:p w14:paraId="50B86707" w14:textId="77777777" w:rsidR="00D62F3C" w:rsidRDefault="00D62F3C" w:rsidP="005C5FD9">
            <w:pPr>
              <w:pStyle w:val="CM4"/>
              <w:tabs>
                <w:tab w:val="left" w:pos="150"/>
              </w:tabs>
              <w:spacing w:after="120"/>
              <w:ind w:left="-34"/>
              <w:rPr>
                <w:rFonts w:ascii="Times New Roman" w:hAnsi="Times New Roman"/>
                <w:sz w:val="20"/>
                <w:szCs w:val="20"/>
                <w:lang w:val="ro-RO" w:eastAsia="ru-RU"/>
              </w:rPr>
            </w:pPr>
            <w:r w:rsidRPr="005C5FD9">
              <w:rPr>
                <w:rFonts w:ascii="Times New Roman" w:hAnsi="Times New Roman"/>
                <w:b/>
                <w:bCs/>
                <w:sz w:val="20"/>
                <w:szCs w:val="20"/>
                <w:lang w:val="ro-RO" w:eastAsia="ru-RU"/>
              </w:rPr>
              <w:t>116.</w:t>
            </w:r>
            <w:r w:rsidRPr="002C32BA">
              <w:rPr>
                <w:rFonts w:ascii="Times New Roman" w:hAnsi="Times New Roman"/>
                <w:sz w:val="20"/>
                <w:szCs w:val="20"/>
                <w:lang w:val="ro-RO" w:eastAsia="ru-RU"/>
              </w:rPr>
              <w:t xml:space="preserve"> </w:t>
            </w:r>
            <w:r w:rsidR="005C5FD9" w:rsidRPr="005C5FD9">
              <w:rPr>
                <w:rFonts w:ascii="Times New Roman" w:hAnsi="Times New Roman"/>
                <w:sz w:val="20"/>
                <w:szCs w:val="20"/>
                <w:lang w:val="ro-RO" w:eastAsia="ru-RU"/>
              </w:rPr>
              <w:t>Băncile pot extinde tratamentul preferențial aferent expunerilor față de administrații centrale sau bănci centrale prevăzut în Regulamentul nr.111/2018, asupra expunerilor sau a părților din expuneri garantate de administrația centrală sau de banca centrală, ca și cum expunerile respective ar fi expuneri directe față de administrația centrală sau de banca centrală, cu condiția ca astfel de expuneri directe să îndeplinească condițiile prevăzute la punctele 31-33 din regulamentul menționat și în cazul în care garanția este exprimată în moneda națională a debitorului, iar expunerea este finanțată în aceeași monedă.</w:t>
            </w:r>
          </w:p>
          <w:p w14:paraId="41D8E643" w14:textId="325C21B1" w:rsidR="005C5FD9" w:rsidRPr="005C5FD9" w:rsidRDefault="005C5FD9" w:rsidP="005C5FD9">
            <w:pPr>
              <w:rPr>
                <w:lang w:val="ro-RO" w:eastAsia="ru-RU"/>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90661B2"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44DEBCD6" w14:textId="32991EDB"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5A14F8" w:rsidRPr="002C32BA" w14:paraId="2148A19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081F3C2D" w14:textId="20CB661A" w:rsidR="005A14F8" w:rsidRPr="005A14F8" w:rsidRDefault="005A14F8" w:rsidP="005A14F8">
            <w:pPr>
              <w:shd w:val="clear" w:color="auto" w:fill="FFFFFF"/>
              <w:spacing w:before="240" w:after="120" w:line="240" w:lineRule="auto"/>
              <w:rPr>
                <w:rFonts w:ascii="Times New Roman" w:eastAsia="Arial Unicode MS" w:hAnsi="Times New Roman" w:cs="Times New Roman"/>
                <w:b/>
                <w:bCs/>
                <w:color w:val="000000" w:themeColor="text1"/>
                <w:sz w:val="20"/>
                <w:szCs w:val="20"/>
                <w:lang w:val="ro-MD" w:eastAsia="ro-MD"/>
              </w:rPr>
            </w:pPr>
            <w:r>
              <w:rPr>
                <w:rFonts w:ascii="Times New Roman" w:eastAsia="Arial Unicode MS" w:hAnsi="Times New Roman" w:cs="Times New Roman"/>
                <w:i/>
                <w:iCs/>
                <w:color w:val="000000" w:themeColor="text1"/>
                <w:sz w:val="20"/>
                <w:szCs w:val="20"/>
                <w:lang w:val="ro-MD" w:eastAsia="ro-MD"/>
              </w:rPr>
              <w:t>A</w:t>
            </w:r>
            <w:r w:rsidRPr="005A14F8">
              <w:rPr>
                <w:rFonts w:ascii="Times New Roman" w:eastAsia="Arial Unicode MS" w:hAnsi="Times New Roman" w:cs="Times New Roman"/>
                <w:i/>
                <w:iCs/>
                <w:color w:val="000000" w:themeColor="text1"/>
                <w:sz w:val="20"/>
                <w:szCs w:val="20"/>
                <w:lang w:val="ro-MD" w:eastAsia="ro-MD"/>
              </w:rPr>
              <w:t>rticolul 235a</w:t>
            </w:r>
            <w:r>
              <w:rPr>
                <w:rFonts w:ascii="Times New Roman" w:eastAsia="Arial Unicode MS" w:hAnsi="Times New Roman" w:cs="Times New Roman"/>
                <w:i/>
                <w:iCs/>
                <w:color w:val="000000" w:themeColor="text1"/>
                <w:sz w:val="20"/>
                <w:szCs w:val="20"/>
                <w:lang w:val="ro-MD" w:eastAsia="ro-MD"/>
              </w:rPr>
              <w:t xml:space="preserve"> </w:t>
            </w:r>
            <w:r w:rsidRPr="005A14F8">
              <w:rPr>
                <w:rFonts w:ascii="Times New Roman" w:eastAsia="Arial Unicode MS" w:hAnsi="Times New Roman" w:cs="Times New Roman"/>
                <w:b/>
                <w:bCs/>
                <w:color w:val="000000" w:themeColor="text1"/>
                <w:sz w:val="20"/>
                <w:szCs w:val="20"/>
                <w:lang w:val="ro-MD" w:eastAsia="ro-MD"/>
              </w:rPr>
              <w:t>Calcularea cuantumurilor ponderate la risc ale expunerilor și a cuantumurilor pierderilor așteptate în conformitate cu metoda substituției atunci când expunerea garantată este tratată conform abordării IRB, iar o expunere directă comparabilă față de furnizorul de protecție este tratată conform abordării standardizate</w:t>
            </w:r>
          </w:p>
          <w:p w14:paraId="07DD38F1" w14:textId="3618C4E5" w:rsidR="005A14F8" w:rsidRPr="005A14F8" w:rsidRDefault="005A14F8" w:rsidP="005A14F8">
            <w:pPr>
              <w:shd w:val="clear" w:color="auto" w:fill="FFFFFF"/>
              <w:spacing w:after="0" w:line="240" w:lineRule="auto"/>
              <w:rPr>
                <w:rFonts w:ascii="Times New Roman" w:eastAsia="Arial Unicode MS" w:hAnsi="Times New Roman" w:cs="Times New Roman"/>
                <w:color w:val="000000" w:themeColor="text1"/>
                <w:sz w:val="20"/>
                <w:szCs w:val="20"/>
                <w:lang w:val="ro-MD" w:eastAsia="ro-MD"/>
              </w:rPr>
            </w:pPr>
            <w:r w:rsidRPr="005A14F8">
              <w:rPr>
                <w:rFonts w:ascii="Times New Roman" w:eastAsia="Arial Unicode MS" w:hAnsi="Times New Roman" w:cs="Times New Roman"/>
                <w:color w:val="000000" w:themeColor="text1"/>
                <w:sz w:val="20"/>
                <w:szCs w:val="20"/>
                <w:lang w:val="ro-MD" w:eastAsia="ro-MD"/>
              </w:rPr>
              <w:t>(1)   În cazul expunerilor cu protecție nefinanțată a creditului pentru care o instituție aplică abordarea IRB prevăzută în capitolul 3 și în cazul în care expunerile directe comparabile față de furnizorul de protecție sunt tratate conform abordării standardizate, instituțiile calculează cuantumurile ponderate la risc ale expunerilor în conformitate cu următoarea formulă:</w:t>
            </w:r>
          </w:p>
          <w:p w14:paraId="4CDE1C37" w14:textId="77777777" w:rsidR="005A14F8" w:rsidRPr="005A14F8" w:rsidRDefault="005A14F8" w:rsidP="005A14F8">
            <w:pPr>
              <w:shd w:val="clear" w:color="auto" w:fill="FFFFFF"/>
              <w:spacing w:before="120" w:after="0" w:line="240" w:lineRule="auto"/>
              <w:jc w:val="both"/>
              <w:rPr>
                <w:rFonts w:ascii="Times New Roman" w:eastAsia="Arial Unicode MS" w:hAnsi="Times New Roman" w:cs="Times New Roman"/>
                <w:color w:val="000000" w:themeColor="text1"/>
                <w:sz w:val="20"/>
                <w:szCs w:val="20"/>
                <w:lang w:val="ro-MD" w:eastAsia="ro-MD"/>
              </w:rPr>
            </w:pPr>
            <w:proofErr w:type="spellStart"/>
            <w:r w:rsidRPr="005A14F8">
              <w:rPr>
                <w:rFonts w:ascii="Times New Roman" w:eastAsia="Arial Unicode MS" w:hAnsi="Times New Roman" w:cs="Times New Roman"/>
                <w:i/>
                <w:iCs/>
                <w:color w:val="000000" w:themeColor="text1"/>
                <w:sz w:val="20"/>
                <w:szCs w:val="20"/>
                <w:lang w:val="ro-MD" w:eastAsia="ro-MD"/>
              </w:rPr>
              <w:t>max</w:t>
            </w:r>
            <w:proofErr w:type="spellEnd"/>
            <w:r w:rsidRPr="005A14F8">
              <w:rPr>
                <w:rFonts w:ascii="Times New Roman" w:eastAsia="Arial Unicode MS" w:hAnsi="Times New Roman" w:cs="Times New Roman"/>
                <w:i/>
                <w:iCs/>
                <w:color w:val="000000" w:themeColor="text1"/>
                <w:sz w:val="20"/>
                <w:szCs w:val="20"/>
                <w:lang w:val="ro-MD" w:eastAsia="ro-MD"/>
              </w:rPr>
              <w:t>{0, E – G</w:t>
            </w:r>
            <w:r w:rsidRPr="005A14F8">
              <w:rPr>
                <w:rFonts w:ascii="Times New Roman" w:eastAsia="Arial Unicode MS" w:hAnsi="Times New Roman" w:cs="Times New Roman"/>
                <w:i/>
                <w:iCs/>
                <w:color w:val="000000" w:themeColor="text1"/>
                <w:sz w:val="20"/>
                <w:szCs w:val="20"/>
                <w:vertAlign w:val="subscript"/>
                <w:lang w:val="ro-MD" w:eastAsia="ro-MD"/>
              </w:rPr>
              <w:t>A</w:t>
            </w:r>
            <w:r w:rsidRPr="005A14F8">
              <w:rPr>
                <w:rFonts w:ascii="Times New Roman" w:eastAsia="Arial Unicode MS" w:hAnsi="Times New Roman" w:cs="Times New Roman"/>
                <w:i/>
                <w:iCs/>
                <w:color w:val="000000" w:themeColor="text1"/>
                <w:sz w:val="20"/>
                <w:szCs w:val="20"/>
                <w:lang w:val="ro-MD" w:eastAsia="ro-MD"/>
              </w:rPr>
              <w:t>} · r + G</w:t>
            </w:r>
            <w:r w:rsidRPr="005A14F8">
              <w:rPr>
                <w:rFonts w:ascii="Times New Roman" w:eastAsia="Arial Unicode MS" w:hAnsi="Times New Roman" w:cs="Times New Roman"/>
                <w:i/>
                <w:iCs/>
                <w:color w:val="000000" w:themeColor="text1"/>
                <w:sz w:val="20"/>
                <w:szCs w:val="20"/>
                <w:vertAlign w:val="subscript"/>
                <w:lang w:val="ro-MD" w:eastAsia="ro-MD"/>
              </w:rPr>
              <w:t>A</w:t>
            </w:r>
            <w:r w:rsidRPr="005A14F8">
              <w:rPr>
                <w:rFonts w:ascii="Times New Roman" w:eastAsia="Arial Unicode MS" w:hAnsi="Times New Roman" w:cs="Times New Roman"/>
                <w:i/>
                <w:iCs/>
                <w:color w:val="000000" w:themeColor="text1"/>
                <w:sz w:val="20"/>
                <w:szCs w:val="20"/>
                <w:lang w:val="ro-MD" w:eastAsia="ro-MD"/>
              </w:rPr>
              <w:t> · g</w:t>
            </w:r>
          </w:p>
          <w:p w14:paraId="7FED3953" w14:textId="77777777" w:rsidR="005A14F8" w:rsidRPr="005A14F8" w:rsidRDefault="005A14F8" w:rsidP="005A14F8">
            <w:pPr>
              <w:shd w:val="clear" w:color="auto" w:fill="FFFFFF"/>
              <w:spacing w:before="120" w:after="0" w:line="240" w:lineRule="auto"/>
              <w:jc w:val="both"/>
              <w:rPr>
                <w:rFonts w:ascii="Times New Roman" w:eastAsia="Arial Unicode MS" w:hAnsi="Times New Roman" w:cs="Times New Roman"/>
                <w:color w:val="000000" w:themeColor="text1"/>
                <w:sz w:val="20"/>
                <w:szCs w:val="20"/>
                <w:lang w:val="ro-MD" w:eastAsia="ro-MD"/>
              </w:rPr>
            </w:pPr>
            <w:r w:rsidRPr="005A14F8">
              <w:rPr>
                <w:rFonts w:ascii="Times New Roman" w:eastAsia="Arial Unicode MS" w:hAnsi="Times New Roman" w:cs="Times New Roman"/>
                <w:color w:val="000000" w:themeColor="text1"/>
                <w:sz w:val="20"/>
                <w:szCs w:val="20"/>
                <w:lang w:val="ro-MD" w:eastAsia="ro-MD"/>
              </w:rPr>
              <w:t>unde:</w:t>
            </w:r>
          </w:p>
          <w:tbl>
            <w:tblPr>
              <w:tblW w:w="5000" w:type="pct"/>
              <w:tblLayout w:type="fixed"/>
              <w:tblCellMar>
                <w:left w:w="0" w:type="dxa"/>
                <w:right w:w="0" w:type="dxa"/>
              </w:tblCellMar>
              <w:tblLook w:val="04A0" w:firstRow="1" w:lastRow="0" w:firstColumn="1" w:lastColumn="0" w:noHBand="0" w:noVBand="1"/>
            </w:tblPr>
            <w:tblGrid>
              <w:gridCol w:w="211"/>
              <w:gridCol w:w="5289"/>
            </w:tblGrid>
            <w:tr w:rsidR="005A14F8" w:rsidRPr="005A14F8" w14:paraId="232B820F" w14:textId="77777777" w:rsidTr="005A14F8">
              <w:tc>
                <w:tcPr>
                  <w:tcW w:w="211" w:type="dxa"/>
                  <w:shd w:val="clear" w:color="auto" w:fill="auto"/>
                  <w:hideMark/>
                </w:tcPr>
                <w:p w14:paraId="4ABD3311" w14:textId="77777777" w:rsidR="005A14F8" w:rsidRPr="005A14F8" w:rsidRDefault="005A14F8" w:rsidP="005A14F8">
                  <w:pPr>
                    <w:spacing w:before="195" w:after="0" w:line="240" w:lineRule="auto"/>
                    <w:rPr>
                      <w:rFonts w:ascii="Times New Roman" w:eastAsia="Times New Roman" w:hAnsi="Times New Roman" w:cs="Times New Roman"/>
                      <w:color w:val="000000" w:themeColor="text1"/>
                      <w:sz w:val="20"/>
                      <w:szCs w:val="20"/>
                      <w:lang w:val="ro-MD" w:eastAsia="ro-MD"/>
                    </w:rPr>
                  </w:pPr>
                  <w:r w:rsidRPr="005A14F8">
                    <w:rPr>
                      <w:rFonts w:ascii="Times New Roman" w:eastAsia="Times New Roman" w:hAnsi="Times New Roman" w:cs="Times New Roman"/>
                      <w:color w:val="000000" w:themeColor="text1"/>
                      <w:sz w:val="20"/>
                      <w:szCs w:val="20"/>
                      <w:lang w:val="ro-MD" w:eastAsia="ro-MD"/>
                    </w:rPr>
                    <w:t>E</w:t>
                  </w:r>
                </w:p>
              </w:tc>
              <w:tc>
                <w:tcPr>
                  <w:tcW w:w="5289" w:type="dxa"/>
                  <w:shd w:val="clear" w:color="auto" w:fill="auto"/>
                  <w:hideMark/>
                </w:tcPr>
                <w:p w14:paraId="575CEE36" w14:textId="77777777" w:rsidR="005A14F8" w:rsidRPr="005A14F8" w:rsidRDefault="005A14F8" w:rsidP="005A14F8">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5A14F8">
                    <w:rPr>
                      <w:rFonts w:ascii="Times New Roman" w:eastAsia="Times New Roman" w:hAnsi="Times New Roman" w:cs="Times New Roman"/>
                      <w:color w:val="000000" w:themeColor="text1"/>
                      <w:sz w:val="20"/>
                      <w:szCs w:val="20"/>
                      <w:lang w:val="ro-MD" w:eastAsia="ro-MD"/>
                    </w:rPr>
                    <w:t xml:space="preserve">= valoarea expunerii determinată în conformitate cu capitolul 3 secțiunea 5; în acest scop, instituțiile calculează valoarea expunerii pentru elementele </w:t>
                  </w:r>
                  <w:proofErr w:type="spellStart"/>
                  <w:r w:rsidRPr="005A14F8">
                    <w:rPr>
                      <w:rFonts w:ascii="Times New Roman" w:eastAsia="Times New Roman" w:hAnsi="Times New Roman" w:cs="Times New Roman"/>
                      <w:color w:val="000000" w:themeColor="text1"/>
                      <w:sz w:val="20"/>
                      <w:szCs w:val="20"/>
                      <w:lang w:val="ro-MD" w:eastAsia="ro-MD"/>
                    </w:rPr>
                    <w:t>extrabilanțiere</w:t>
                  </w:r>
                  <w:proofErr w:type="spellEnd"/>
                  <w:r w:rsidRPr="005A14F8">
                    <w:rPr>
                      <w:rFonts w:ascii="Times New Roman" w:eastAsia="Times New Roman" w:hAnsi="Times New Roman" w:cs="Times New Roman"/>
                      <w:color w:val="000000" w:themeColor="text1"/>
                      <w:sz w:val="20"/>
                      <w:szCs w:val="20"/>
                      <w:lang w:val="ro-MD" w:eastAsia="ro-MD"/>
                    </w:rPr>
                    <w:t>, altele decât instrumentele financiare derivate tratate conform abordării IRB, utilizând un CCF de 100 % în locul CCF pe baza SA sau al CCF pe baza IRB prevăzuți la articolul 166 alineatele (8), (8a) și (8b);</w:t>
                  </w:r>
                </w:p>
              </w:tc>
            </w:tr>
          </w:tbl>
          <w:p w14:paraId="57293744" w14:textId="77777777" w:rsidR="005A14F8" w:rsidRPr="005A14F8" w:rsidRDefault="005A14F8" w:rsidP="005A14F8">
            <w:pPr>
              <w:shd w:val="clear" w:color="auto" w:fill="FFFFFF"/>
              <w:spacing w:after="0" w:line="240" w:lineRule="auto"/>
              <w:rPr>
                <w:rFonts w:ascii="Times New Roman" w:eastAsia="Arial Unicode MS" w:hAnsi="Times New Roman" w:cs="Times New Roman"/>
                <w:vanish/>
                <w:color w:val="000000" w:themeColor="text1"/>
                <w:sz w:val="20"/>
                <w:szCs w:val="20"/>
                <w:lang w:val="ro-MD" w:eastAsia="ro-MD"/>
              </w:rPr>
            </w:pPr>
          </w:p>
          <w:tbl>
            <w:tblPr>
              <w:tblW w:w="5000" w:type="pct"/>
              <w:tblLayout w:type="fixed"/>
              <w:tblCellMar>
                <w:left w:w="0" w:type="dxa"/>
                <w:right w:w="0" w:type="dxa"/>
              </w:tblCellMar>
              <w:tblLook w:val="04A0" w:firstRow="1" w:lastRow="0" w:firstColumn="1" w:lastColumn="0" w:noHBand="0" w:noVBand="1"/>
            </w:tblPr>
            <w:tblGrid>
              <w:gridCol w:w="353"/>
              <w:gridCol w:w="5147"/>
            </w:tblGrid>
            <w:tr w:rsidR="005A14F8" w:rsidRPr="005A14F8" w14:paraId="1F8E8037" w14:textId="77777777" w:rsidTr="005A14F8">
              <w:tc>
                <w:tcPr>
                  <w:tcW w:w="353" w:type="dxa"/>
                  <w:shd w:val="clear" w:color="auto" w:fill="auto"/>
                  <w:hideMark/>
                </w:tcPr>
                <w:p w14:paraId="6339FFEC" w14:textId="77777777" w:rsidR="005A14F8" w:rsidRPr="005A14F8" w:rsidRDefault="005A14F8" w:rsidP="005A14F8">
                  <w:pPr>
                    <w:spacing w:before="195" w:after="0" w:line="240" w:lineRule="auto"/>
                    <w:rPr>
                      <w:rFonts w:ascii="Times New Roman" w:eastAsia="Times New Roman" w:hAnsi="Times New Roman" w:cs="Times New Roman"/>
                      <w:color w:val="000000" w:themeColor="text1"/>
                      <w:sz w:val="20"/>
                      <w:szCs w:val="20"/>
                      <w:lang w:val="ro-MD" w:eastAsia="ro-MD"/>
                    </w:rPr>
                  </w:pPr>
                  <w:r w:rsidRPr="005A14F8">
                    <w:rPr>
                      <w:rFonts w:ascii="Times New Roman" w:eastAsia="Times New Roman" w:hAnsi="Times New Roman" w:cs="Times New Roman"/>
                      <w:color w:val="000000" w:themeColor="text1"/>
                      <w:sz w:val="20"/>
                      <w:szCs w:val="20"/>
                      <w:lang w:val="ro-MD" w:eastAsia="ro-MD"/>
                    </w:rPr>
                    <w:t>G</w:t>
                  </w:r>
                  <w:r w:rsidRPr="005A14F8">
                    <w:rPr>
                      <w:rFonts w:ascii="Times New Roman" w:eastAsia="Times New Roman" w:hAnsi="Times New Roman" w:cs="Times New Roman"/>
                      <w:color w:val="000000" w:themeColor="text1"/>
                      <w:sz w:val="20"/>
                      <w:szCs w:val="20"/>
                      <w:vertAlign w:val="subscript"/>
                      <w:lang w:val="ro-MD" w:eastAsia="ro-MD"/>
                    </w:rPr>
                    <w:t>A</w:t>
                  </w:r>
                </w:p>
              </w:tc>
              <w:tc>
                <w:tcPr>
                  <w:tcW w:w="5147" w:type="dxa"/>
                  <w:shd w:val="clear" w:color="auto" w:fill="auto"/>
                  <w:hideMark/>
                </w:tcPr>
                <w:p w14:paraId="431BE0DE" w14:textId="77777777" w:rsidR="005A14F8" w:rsidRPr="005A14F8" w:rsidRDefault="005A14F8" w:rsidP="005A14F8">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5A14F8">
                    <w:rPr>
                      <w:rFonts w:ascii="Times New Roman" w:eastAsia="Times New Roman" w:hAnsi="Times New Roman" w:cs="Times New Roman"/>
                      <w:color w:val="000000" w:themeColor="text1"/>
                      <w:sz w:val="20"/>
                      <w:szCs w:val="20"/>
                      <w:lang w:val="ro-MD" w:eastAsia="ro-MD"/>
                    </w:rPr>
                    <w:t>= cuantumul protecției creditului ajustat în funcție de riscul valutar (G * ) calculat în conformitate cu articolul 233 alineatul (3) și ajustat suplimentar pentru orice neconcordanță de scadențe, astfel cum se prevede în secțiunea 5 din prezentul capitol;</w:t>
                  </w:r>
                </w:p>
              </w:tc>
            </w:tr>
          </w:tbl>
          <w:p w14:paraId="38D9701C" w14:textId="77777777" w:rsidR="005A14F8" w:rsidRPr="005A14F8" w:rsidRDefault="005A14F8" w:rsidP="005A14F8">
            <w:pPr>
              <w:shd w:val="clear" w:color="auto" w:fill="FFFFFF"/>
              <w:spacing w:after="0" w:line="240" w:lineRule="auto"/>
              <w:rPr>
                <w:rFonts w:ascii="Times New Roman" w:eastAsia="Arial Unicode MS" w:hAnsi="Times New Roman" w:cs="Times New Roman"/>
                <w:vanish/>
                <w:color w:val="000000" w:themeColor="text1"/>
                <w:sz w:val="20"/>
                <w:szCs w:val="20"/>
                <w:lang w:val="ro-MD" w:eastAsia="ro-MD"/>
              </w:rPr>
            </w:pPr>
          </w:p>
          <w:tbl>
            <w:tblPr>
              <w:tblW w:w="5000" w:type="pct"/>
              <w:tblLayout w:type="fixed"/>
              <w:tblCellMar>
                <w:left w:w="0" w:type="dxa"/>
                <w:right w:w="0" w:type="dxa"/>
              </w:tblCellMar>
              <w:tblLook w:val="04A0" w:firstRow="1" w:lastRow="0" w:firstColumn="1" w:lastColumn="0" w:noHBand="0" w:noVBand="1"/>
            </w:tblPr>
            <w:tblGrid>
              <w:gridCol w:w="353"/>
              <w:gridCol w:w="5147"/>
            </w:tblGrid>
            <w:tr w:rsidR="005A14F8" w:rsidRPr="005A14F8" w14:paraId="1721373D" w14:textId="77777777" w:rsidTr="005A14F8">
              <w:tc>
                <w:tcPr>
                  <w:tcW w:w="353" w:type="dxa"/>
                  <w:shd w:val="clear" w:color="auto" w:fill="auto"/>
                  <w:hideMark/>
                </w:tcPr>
                <w:p w14:paraId="08AEA982" w14:textId="77777777" w:rsidR="005A14F8" w:rsidRPr="005A14F8" w:rsidRDefault="005A14F8" w:rsidP="005A14F8">
                  <w:pPr>
                    <w:spacing w:before="195" w:after="0" w:line="240" w:lineRule="auto"/>
                    <w:rPr>
                      <w:rFonts w:ascii="Times New Roman" w:eastAsia="Times New Roman" w:hAnsi="Times New Roman" w:cs="Times New Roman"/>
                      <w:color w:val="000000" w:themeColor="text1"/>
                      <w:sz w:val="20"/>
                      <w:szCs w:val="20"/>
                      <w:lang w:val="ro-MD" w:eastAsia="ro-MD"/>
                    </w:rPr>
                  </w:pPr>
                  <w:r w:rsidRPr="005A14F8">
                    <w:rPr>
                      <w:rFonts w:ascii="Times New Roman" w:eastAsia="Times New Roman" w:hAnsi="Times New Roman" w:cs="Times New Roman"/>
                      <w:color w:val="000000" w:themeColor="text1"/>
                      <w:sz w:val="20"/>
                      <w:szCs w:val="20"/>
                      <w:lang w:val="ro-MD" w:eastAsia="ro-MD"/>
                    </w:rPr>
                    <w:t>r</w:t>
                  </w:r>
                </w:p>
              </w:tc>
              <w:tc>
                <w:tcPr>
                  <w:tcW w:w="5147" w:type="dxa"/>
                  <w:shd w:val="clear" w:color="auto" w:fill="auto"/>
                  <w:hideMark/>
                </w:tcPr>
                <w:p w14:paraId="2FA990B5" w14:textId="77777777" w:rsidR="005A14F8" w:rsidRPr="005A14F8" w:rsidRDefault="005A14F8" w:rsidP="005A14F8">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5A14F8">
                    <w:rPr>
                      <w:rFonts w:ascii="Times New Roman" w:eastAsia="Times New Roman" w:hAnsi="Times New Roman" w:cs="Times New Roman"/>
                      <w:color w:val="000000" w:themeColor="text1"/>
                      <w:sz w:val="20"/>
                      <w:szCs w:val="20"/>
                      <w:lang w:val="ro-MD" w:eastAsia="ro-MD"/>
                    </w:rPr>
                    <w:t>= ponderea de risc aferentă expunerilor față de debitor, specificată în capitolul 3;</w:t>
                  </w:r>
                </w:p>
              </w:tc>
            </w:tr>
          </w:tbl>
          <w:p w14:paraId="7050DD93" w14:textId="77777777" w:rsidR="005A14F8" w:rsidRPr="005A14F8" w:rsidRDefault="005A14F8" w:rsidP="005A14F8">
            <w:pPr>
              <w:shd w:val="clear" w:color="auto" w:fill="FFFFFF"/>
              <w:spacing w:after="0" w:line="240" w:lineRule="auto"/>
              <w:rPr>
                <w:rFonts w:ascii="Times New Roman" w:eastAsia="Arial Unicode MS" w:hAnsi="Times New Roman" w:cs="Times New Roman"/>
                <w:vanish/>
                <w:color w:val="000000" w:themeColor="text1"/>
                <w:sz w:val="20"/>
                <w:szCs w:val="20"/>
                <w:lang w:val="ro-MD" w:eastAsia="ro-MD"/>
              </w:rPr>
            </w:pPr>
          </w:p>
          <w:tbl>
            <w:tblPr>
              <w:tblW w:w="5000" w:type="pct"/>
              <w:tblLayout w:type="fixed"/>
              <w:tblCellMar>
                <w:left w:w="0" w:type="dxa"/>
                <w:right w:w="0" w:type="dxa"/>
              </w:tblCellMar>
              <w:tblLook w:val="04A0" w:firstRow="1" w:lastRow="0" w:firstColumn="1" w:lastColumn="0" w:noHBand="0" w:noVBand="1"/>
            </w:tblPr>
            <w:tblGrid>
              <w:gridCol w:w="353"/>
              <w:gridCol w:w="5147"/>
            </w:tblGrid>
            <w:tr w:rsidR="005A14F8" w:rsidRPr="005A14F8" w14:paraId="4E2F6E63" w14:textId="77777777" w:rsidTr="005A14F8">
              <w:tc>
                <w:tcPr>
                  <w:tcW w:w="353" w:type="dxa"/>
                  <w:shd w:val="clear" w:color="auto" w:fill="auto"/>
                  <w:hideMark/>
                </w:tcPr>
                <w:p w14:paraId="69513601" w14:textId="77777777" w:rsidR="005A14F8" w:rsidRPr="005A14F8" w:rsidRDefault="005A14F8" w:rsidP="005A14F8">
                  <w:pPr>
                    <w:spacing w:before="195" w:after="0" w:line="240" w:lineRule="auto"/>
                    <w:rPr>
                      <w:rFonts w:ascii="Times New Roman" w:eastAsia="Times New Roman" w:hAnsi="Times New Roman" w:cs="Times New Roman"/>
                      <w:color w:val="000000" w:themeColor="text1"/>
                      <w:sz w:val="20"/>
                      <w:szCs w:val="20"/>
                      <w:lang w:val="ro-MD" w:eastAsia="ro-MD"/>
                    </w:rPr>
                  </w:pPr>
                  <w:r w:rsidRPr="005A14F8">
                    <w:rPr>
                      <w:rFonts w:ascii="Times New Roman" w:eastAsia="Times New Roman" w:hAnsi="Times New Roman" w:cs="Times New Roman"/>
                      <w:color w:val="000000" w:themeColor="text1"/>
                      <w:sz w:val="20"/>
                      <w:szCs w:val="20"/>
                      <w:lang w:val="ro-MD" w:eastAsia="ro-MD"/>
                    </w:rPr>
                    <w:t>g</w:t>
                  </w:r>
                </w:p>
              </w:tc>
              <w:tc>
                <w:tcPr>
                  <w:tcW w:w="5147" w:type="dxa"/>
                  <w:shd w:val="clear" w:color="auto" w:fill="auto"/>
                  <w:hideMark/>
                </w:tcPr>
                <w:p w14:paraId="6B91A9E4" w14:textId="77777777" w:rsidR="005A14F8" w:rsidRPr="005A14F8" w:rsidRDefault="005A14F8" w:rsidP="005A14F8">
                  <w:pPr>
                    <w:spacing w:before="120" w:after="0" w:line="240" w:lineRule="auto"/>
                    <w:jc w:val="both"/>
                    <w:rPr>
                      <w:rFonts w:ascii="Times New Roman" w:eastAsia="Times New Roman" w:hAnsi="Times New Roman" w:cs="Times New Roman"/>
                      <w:color w:val="000000" w:themeColor="text1"/>
                      <w:sz w:val="20"/>
                      <w:szCs w:val="20"/>
                      <w:lang w:val="ro-MD" w:eastAsia="ro-MD"/>
                    </w:rPr>
                  </w:pPr>
                  <w:r w:rsidRPr="005A14F8">
                    <w:rPr>
                      <w:rFonts w:ascii="Times New Roman" w:eastAsia="Times New Roman" w:hAnsi="Times New Roman" w:cs="Times New Roman"/>
                      <w:color w:val="000000" w:themeColor="text1"/>
                      <w:sz w:val="20"/>
                      <w:szCs w:val="20"/>
                      <w:lang w:val="ro-MD" w:eastAsia="ro-MD"/>
                    </w:rPr>
                    <w:t>= ponderea de risc aplicabilă unei expuneri directe față de furnizorul de protecție, specificată în capitolul 2.</w:t>
                  </w:r>
                </w:p>
              </w:tc>
            </w:tr>
          </w:tbl>
          <w:p w14:paraId="1F6D8662" w14:textId="77777777" w:rsidR="005A14F8" w:rsidRPr="005A14F8" w:rsidRDefault="005A14F8" w:rsidP="005A14F8">
            <w:pPr>
              <w:pStyle w:val="CM4"/>
              <w:tabs>
                <w:tab w:val="left" w:pos="150"/>
              </w:tabs>
              <w:ind w:left="-43"/>
              <w:jc w:val="both"/>
              <w:rPr>
                <w:rFonts w:ascii="Times New Roman" w:hAnsi="Times New Roman"/>
                <w:b/>
                <w:bCs/>
                <w:iCs/>
                <w:color w:val="000000" w:themeColor="text1"/>
                <w:sz w:val="20"/>
                <w:szCs w:val="20"/>
                <w:lang w:val="ro-MD" w:eastAsia="ru-RU"/>
              </w:rPr>
            </w:pPr>
          </w:p>
        </w:tc>
        <w:tc>
          <w:tcPr>
            <w:tcW w:w="1636" w:type="pct"/>
            <w:shd w:val="clear" w:color="auto" w:fill="auto"/>
          </w:tcPr>
          <w:p w14:paraId="3347585F" w14:textId="77777777" w:rsidR="00EE2EFB" w:rsidRPr="005C3300" w:rsidRDefault="00EE2EFB" w:rsidP="00EE2EFB">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Secțiunea a 2</w:t>
            </w:r>
            <w:r w:rsidRPr="005C3300">
              <w:rPr>
                <w:rFonts w:ascii="Times New Roman" w:eastAsia="Times New Roman" w:hAnsi="Times New Roman" w:cs="Times New Roman"/>
                <w:b/>
                <w:bCs/>
                <w:i/>
                <w:iCs/>
                <w:color w:val="000000" w:themeColor="text1"/>
                <w:sz w:val="20"/>
                <w:szCs w:val="20"/>
                <w:vertAlign w:val="superscript"/>
                <w:lang w:val="ro-RO" w:eastAsia="ro-MD"/>
              </w:rPr>
              <w:t>1</w:t>
            </w:r>
            <w:r w:rsidRPr="005C3300">
              <w:rPr>
                <w:rFonts w:ascii="Times New Roman" w:eastAsia="Times New Roman" w:hAnsi="Times New Roman" w:cs="Times New Roman"/>
                <w:b/>
                <w:bCs/>
                <w:i/>
                <w:iCs/>
                <w:color w:val="000000" w:themeColor="text1"/>
                <w:sz w:val="20"/>
                <w:szCs w:val="20"/>
                <w:lang w:val="ro-RO" w:eastAsia="ro-MD"/>
              </w:rPr>
              <w:t>-a</w:t>
            </w:r>
          </w:p>
          <w:p w14:paraId="5315F493" w14:textId="77777777" w:rsidR="00EE2EFB" w:rsidRPr="005C3300" w:rsidRDefault="00EE2EFB" w:rsidP="00EE2EFB">
            <w:pPr>
              <w:spacing w:after="0" w:line="240" w:lineRule="auto"/>
              <w:ind w:firstLine="567"/>
              <w:jc w:val="center"/>
              <w:rPr>
                <w:rFonts w:ascii="Times New Roman" w:eastAsia="Times New Roman" w:hAnsi="Times New Roman" w:cs="Times New Roman"/>
                <w:b/>
                <w:bCs/>
                <w:i/>
                <w:iCs/>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Calcularea cuantumurilor ponderate la risc ale expunerilor și a cuantumurilor pierderilor așteptate în conformitate cu metoda substituției atunci când expunerea garantată este tratată conform abordării IRB, iar o expunere directă comparabilă față de furnizorul de protecție este tratată conform abordării standardizate</w:t>
            </w:r>
          </w:p>
          <w:p w14:paraId="2345F927" w14:textId="77777777" w:rsidR="00EE2EFB" w:rsidRPr="005C3300" w:rsidRDefault="00EE2EFB" w:rsidP="00EE2EFB">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116</w:t>
            </w:r>
            <w:r w:rsidRPr="005C3300">
              <w:rPr>
                <w:rFonts w:ascii="Times New Roman" w:eastAsia="Times New Roman" w:hAnsi="Times New Roman" w:cs="Times New Roman"/>
                <w:b/>
                <w:bCs/>
                <w:color w:val="000000" w:themeColor="text1"/>
                <w:sz w:val="20"/>
                <w:szCs w:val="20"/>
                <w:vertAlign w:val="superscript"/>
                <w:lang w:val="ro-RO" w:eastAsia="ro-MD"/>
              </w:rPr>
              <w:t>1</w:t>
            </w:r>
            <w:r w:rsidRPr="005C3300">
              <w:rPr>
                <w:rFonts w:ascii="Times New Roman" w:eastAsia="Times New Roman" w:hAnsi="Times New Roman" w:cs="Times New Roman"/>
                <w:b/>
                <w:bCs/>
                <w:color w:val="000000" w:themeColor="text1"/>
                <w:sz w:val="20"/>
                <w:szCs w:val="20"/>
                <w:lang w:val="ro-RO" w:eastAsia="ro-MD"/>
              </w:rPr>
              <w:t>.</w:t>
            </w:r>
            <w:r w:rsidRPr="005C3300">
              <w:rPr>
                <w:rFonts w:ascii="Times New Roman" w:eastAsia="Times New Roman" w:hAnsi="Times New Roman" w:cs="Times New Roman"/>
                <w:color w:val="000000" w:themeColor="text1"/>
                <w:sz w:val="20"/>
                <w:szCs w:val="20"/>
                <w:lang w:val="ro-RO" w:eastAsia="ro-MD"/>
              </w:rPr>
              <w:t xml:space="preserve"> În cazul expunerilor cu protecție nefinanțată a creditului pentru care o bancă aplică abordarea IRB și în cazul în care expunerile directe comparabile față de furnizorul de protecție sunt tratate conform abordării standardizate, băncile calculează valorile ponderate la risc ale expunerilor în conformitate cu următoarea formulă:</w:t>
            </w:r>
          </w:p>
          <w:p w14:paraId="4E740D9B" w14:textId="77777777" w:rsidR="00EE2EFB" w:rsidRPr="005C3300" w:rsidRDefault="00EE2EFB" w:rsidP="00EE2EFB">
            <w:pPr>
              <w:spacing w:after="0" w:line="240" w:lineRule="auto"/>
              <w:ind w:firstLine="567"/>
              <w:jc w:val="center"/>
              <w:rPr>
                <w:rFonts w:ascii="Times New Roman" w:eastAsia="Times New Roman" w:hAnsi="Times New Roman" w:cs="Times New Roman"/>
                <w:color w:val="000000" w:themeColor="text1"/>
                <w:sz w:val="20"/>
                <w:szCs w:val="20"/>
                <w:lang w:val="ro-RO" w:eastAsia="ro-MD"/>
              </w:rPr>
            </w:pPr>
            <w:proofErr w:type="spellStart"/>
            <w:r w:rsidRPr="005C3300">
              <w:rPr>
                <w:rFonts w:ascii="Times New Roman" w:eastAsia="Times New Roman" w:hAnsi="Times New Roman" w:cs="Times New Roman"/>
                <w:color w:val="000000" w:themeColor="text1"/>
                <w:sz w:val="20"/>
                <w:szCs w:val="20"/>
                <w:lang w:val="ro-RO" w:eastAsia="ro-MD"/>
              </w:rPr>
              <w:t>max</w:t>
            </w:r>
            <w:proofErr w:type="spellEnd"/>
            <w:r w:rsidRPr="005C3300">
              <w:rPr>
                <w:rFonts w:ascii="Times New Roman" w:eastAsia="Times New Roman" w:hAnsi="Times New Roman" w:cs="Times New Roman"/>
                <w:color w:val="000000" w:themeColor="text1"/>
                <w:sz w:val="20"/>
                <w:szCs w:val="20"/>
                <w:lang w:val="ro-RO" w:eastAsia="ro-MD"/>
              </w:rPr>
              <w:t>{0, E – G</w:t>
            </w:r>
            <w:r w:rsidRPr="005C3300">
              <w:rPr>
                <w:rFonts w:ascii="Times New Roman" w:eastAsia="Times New Roman" w:hAnsi="Times New Roman" w:cs="Times New Roman"/>
                <w:color w:val="000000" w:themeColor="text1"/>
                <w:sz w:val="20"/>
                <w:szCs w:val="20"/>
                <w:vertAlign w:val="subscript"/>
                <w:lang w:val="ro-RO" w:eastAsia="ro-MD"/>
              </w:rPr>
              <w:t>A</w:t>
            </w:r>
            <w:r w:rsidRPr="005C3300">
              <w:rPr>
                <w:rFonts w:ascii="Times New Roman" w:eastAsia="Times New Roman" w:hAnsi="Times New Roman" w:cs="Times New Roman"/>
                <w:color w:val="000000" w:themeColor="text1"/>
                <w:sz w:val="20"/>
                <w:szCs w:val="20"/>
                <w:lang w:val="ro-RO" w:eastAsia="ro-MD"/>
              </w:rPr>
              <w:t>} · r + G</w:t>
            </w:r>
            <w:r w:rsidRPr="005C3300">
              <w:rPr>
                <w:rFonts w:ascii="Times New Roman" w:eastAsia="Times New Roman" w:hAnsi="Times New Roman" w:cs="Times New Roman"/>
                <w:color w:val="000000" w:themeColor="text1"/>
                <w:sz w:val="20"/>
                <w:szCs w:val="20"/>
                <w:vertAlign w:val="subscript"/>
                <w:lang w:val="ro-RO" w:eastAsia="ro-MD"/>
              </w:rPr>
              <w:t>A</w:t>
            </w:r>
            <w:r w:rsidRPr="005C3300">
              <w:rPr>
                <w:rFonts w:ascii="Times New Roman" w:eastAsia="Times New Roman" w:hAnsi="Times New Roman" w:cs="Times New Roman"/>
                <w:color w:val="000000" w:themeColor="text1"/>
                <w:sz w:val="20"/>
                <w:szCs w:val="20"/>
                <w:lang w:val="ro-RO" w:eastAsia="ro-MD"/>
              </w:rPr>
              <w:t xml:space="preserve"> · g</w:t>
            </w:r>
          </w:p>
          <w:p w14:paraId="553AD53D" w14:textId="77777777" w:rsidR="00EE2EFB" w:rsidRPr="005C3300" w:rsidRDefault="00EE2EFB" w:rsidP="00EE2EFB">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unde:</w:t>
            </w:r>
          </w:p>
          <w:p w14:paraId="4D136E82" w14:textId="756C72A6" w:rsidR="00EE2EFB" w:rsidRPr="005C3300" w:rsidRDefault="00EE2EFB" w:rsidP="00EE2EFB">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 xml:space="preserve">E = valoarea expunerii determinată în conformitate cu actul normativ al Băncii Naționale a Moldovei aferent tratamentului riscului de credit pentru bănci potrivit abordării bazate pe modele interne de rating; în acest scop, băncile calculează valoarea expunerii pentru elementele </w:t>
            </w:r>
            <w:proofErr w:type="spellStart"/>
            <w:r w:rsidRPr="005C3300">
              <w:rPr>
                <w:rFonts w:ascii="Times New Roman" w:eastAsia="Times New Roman" w:hAnsi="Times New Roman" w:cs="Times New Roman"/>
                <w:color w:val="000000" w:themeColor="text1"/>
                <w:sz w:val="20"/>
                <w:szCs w:val="20"/>
                <w:lang w:val="ro-RO" w:eastAsia="ro-MD"/>
              </w:rPr>
              <w:t>extrabilanțiere</w:t>
            </w:r>
            <w:proofErr w:type="spellEnd"/>
            <w:r w:rsidRPr="005C3300">
              <w:rPr>
                <w:rFonts w:ascii="Times New Roman" w:eastAsia="Times New Roman" w:hAnsi="Times New Roman" w:cs="Times New Roman"/>
                <w:color w:val="000000" w:themeColor="text1"/>
                <w:sz w:val="20"/>
                <w:szCs w:val="20"/>
                <w:lang w:val="ro-RO" w:eastAsia="ro-MD"/>
              </w:rPr>
              <w:t>, altele decât instrumentele financiare derivate tratate conform abordării IRB, utilizând un CCF de 100 % în locul CCF pe baza abordării standardizate sau al CCF pe baza IRB prevăzuți în actul normativ al Băncii Naționale a Moldovei aferent tratamentului riscului de credit pentru bănci potrivit abordării bazate pe modele interne de rating;</w:t>
            </w:r>
          </w:p>
          <w:p w14:paraId="7D8359E6" w14:textId="77777777" w:rsidR="00EE2EFB" w:rsidRPr="005C3300" w:rsidRDefault="00EE2EFB" w:rsidP="00EE2EFB">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G</w:t>
            </w:r>
            <w:r w:rsidRPr="005C3300">
              <w:rPr>
                <w:rFonts w:ascii="Times New Roman" w:eastAsia="Times New Roman" w:hAnsi="Times New Roman" w:cs="Times New Roman"/>
                <w:color w:val="000000" w:themeColor="text1"/>
                <w:sz w:val="20"/>
                <w:szCs w:val="20"/>
                <w:vertAlign w:val="subscript"/>
                <w:lang w:val="ro-RO" w:eastAsia="ro-MD"/>
              </w:rPr>
              <w:t>A</w:t>
            </w:r>
            <w:r w:rsidRPr="005C3300">
              <w:rPr>
                <w:rFonts w:ascii="Times New Roman" w:eastAsia="Times New Roman" w:hAnsi="Times New Roman" w:cs="Times New Roman"/>
                <w:color w:val="000000" w:themeColor="text1"/>
                <w:sz w:val="20"/>
                <w:szCs w:val="20"/>
                <w:lang w:val="ro-RO" w:eastAsia="ro-MD"/>
              </w:rPr>
              <w:t xml:space="preserve"> = cuantumul protecției creditului ajustat în funcție de riscul valutar (G*) calculat în conformitate cu punctul 112 și ajustat suplimentar pentru orice neconcordanță de scadențe, astfel cum se prevede în titlul V;</w:t>
            </w:r>
          </w:p>
          <w:p w14:paraId="331CC33E" w14:textId="77777777" w:rsidR="00EE2EFB" w:rsidRPr="005C3300" w:rsidRDefault="00EE2EFB" w:rsidP="00EE2EFB">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color w:val="000000" w:themeColor="text1"/>
                <w:sz w:val="20"/>
                <w:szCs w:val="20"/>
                <w:lang w:val="ro-RO" w:eastAsia="ro-MD"/>
              </w:rPr>
              <w:t>r = ponderea de risc aferentă expunerilor față de debitor, specificată în actul normativ al Băncii Naționale a Moldovei aferent tratamentului riscului de credit pentru bănci potrivit abordării bazate pe modele interne de rating;</w:t>
            </w:r>
          </w:p>
          <w:p w14:paraId="6707D3D5" w14:textId="77777777" w:rsidR="005A14F8" w:rsidRDefault="00EE2EFB" w:rsidP="00EE2EFB">
            <w:pPr>
              <w:pStyle w:val="CM4"/>
              <w:tabs>
                <w:tab w:val="left" w:pos="150"/>
              </w:tabs>
              <w:spacing w:after="120"/>
              <w:ind w:left="-34"/>
              <w:rPr>
                <w:rFonts w:ascii="Times New Roman" w:hAnsi="Times New Roman"/>
                <w:color w:val="000000" w:themeColor="text1"/>
                <w:sz w:val="20"/>
                <w:szCs w:val="20"/>
                <w:lang w:val="ro-RO" w:eastAsia="ro-MD"/>
              </w:rPr>
            </w:pPr>
            <w:r w:rsidRPr="005C3300">
              <w:rPr>
                <w:rFonts w:ascii="Times New Roman" w:hAnsi="Times New Roman"/>
                <w:color w:val="000000" w:themeColor="text1"/>
                <w:sz w:val="20"/>
                <w:szCs w:val="20"/>
                <w:lang w:val="ro-RO" w:eastAsia="ro-MD"/>
              </w:rPr>
              <w:t>g = ponderea de risc aplicabilă unei expuneri directe față de furnizorul de protecție, specificată în Regulamentul nr.111/2018.</w:t>
            </w:r>
          </w:p>
          <w:p w14:paraId="47C917E6" w14:textId="1EF6298E" w:rsidR="00EE2EFB" w:rsidRPr="00EE2EFB" w:rsidRDefault="00EE2EFB" w:rsidP="00EE2EFB">
            <w:pPr>
              <w:spacing w:after="0"/>
              <w:rPr>
                <w:rFonts w:ascii="Times New Roman" w:hAnsi="Times New Roman" w:cs="Times New Roman"/>
                <w:i/>
                <w:iCs/>
                <w:color w:val="000000" w:themeColor="text1"/>
                <w:sz w:val="20"/>
                <w:szCs w:val="20"/>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08A69DAD" w14:textId="34EE4B99" w:rsidR="005A14F8" w:rsidRPr="002C32BA" w:rsidRDefault="005A14F8"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AFB99CF" w14:textId="77777777" w:rsidR="005A14F8" w:rsidRDefault="005A14F8" w:rsidP="00D62F3C">
            <w:pPr>
              <w:jc w:val="both"/>
              <w:rPr>
                <w:rFonts w:ascii="Times New Roman" w:hAnsi="Times New Roman" w:cs="Times New Roman"/>
                <w:sz w:val="20"/>
                <w:szCs w:val="20"/>
                <w:lang w:val="ro-RO"/>
              </w:rPr>
            </w:pPr>
          </w:p>
        </w:tc>
      </w:tr>
      <w:tr w:rsidR="005A14F8" w:rsidRPr="002C32BA" w14:paraId="3215AC4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6"/>
        </w:trPr>
        <w:tc>
          <w:tcPr>
            <w:tcW w:w="1916" w:type="pct"/>
          </w:tcPr>
          <w:p w14:paraId="0457622A" w14:textId="1CE02D1F" w:rsidR="005A14F8" w:rsidRPr="005A14F8" w:rsidRDefault="005A14F8" w:rsidP="005A14F8">
            <w:pPr>
              <w:shd w:val="clear" w:color="auto" w:fill="FFFFFF"/>
              <w:spacing w:after="0" w:line="240" w:lineRule="auto"/>
              <w:jc w:val="both"/>
              <w:rPr>
                <w:rFonts w:ascii="Times New Roman" w:eastAsia="Times New Roman" w:hAnsi="Times New Roman" w:cs="Times New Roman"/>
                <w:iCs/>
                <w:sz w:val="20"/>
                <w:szCs w:val="20"/>
                <w:lang w:val="ro-RO" w:eastAsia="ru-RU"/>
              </w:rPr>
            </w:pPr>
            <w:r w:rsidRPr="005A14F8">
              <w:rPr>
                <w:rFonts w:ascii="Times New Roman" w:eastAsia="Times New Roman" w:hAnsi="Times New Roman" w:cs="Times New Roman"/>
                <w:iCs/>
                <w:sz w:val="20"/>
                <w:szCs w:val="20"/>
                <w:lang w:val="ro-RO" w:eastAsia="ru-RU"/>
              </w:rPr>
              <w:t>(2)   În cazul în care cuantumul protecției creditului (GA) este mai mic decât valoarea expunerii (E), instituțiile pot aplica formula de la alineatul (1) numai dacă părțile protejate și cele neprotejate ale expunerii au același rang.</w:t>
            </w:r>
          </w:p>
        </w:tc>
        <w:tc>
          <w:tcPr>
            <w:tcW w:w="1636" w:type="pct"/>
            <w:shd w:val="clear" w:color="auto" w:fill="auto"/>
          </w:tcPr>
          <w:p w14:paraId="639983E6" w14:textId="77777777" w:rsidR="005A14F8" w:rsidRDefault="00EE2EFB" w:rsidP="005A14F8">
            <w:pPr>
              <w:pStyle w:val="CM4"/>
              <w:tabs>
                <w:tab w:val="left" w:pos="150"/>
              </w:tabs>
              <w:spacing w:after="120"/>
              <w:ind w:left="-34"/>
              <w:rPr>
                <w:rFonts w:ascii="Times New Roman" w:hAnsi="Times New Roman"/>
                <w:color w:val="000000" w:themeColor="text1"/>
                <w:sz w:val="20"/>
                <w:szCs w:val="20"/>
                <w:lang w:val="ro-RO" w:eastAsia="ro-MD"/>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2</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În cazul în care cuantumul protecției creditului (G</w:t>
            </w:r>
            <w:r w:rsidRPr="005C3300">
              <w:rPr>
                <w:rFonts w:ascii="Times New Roman" w:hAnsi="Times New Roman"/>
                <w:color w:val="000000" w:themeColor="text1"/>
                <w:sz w:val="20"/>
                <w:szCs w:val="20"/>
                <w:vertAlign w:val="subscript"/>
                <w:lang w:val="ro-RO" w:eastAsia="ro-MD"/>
              </w:rPr>
              <w:t>A</w:t>
            </w:r>
            <w:r w:rsidRPr="005C3300">
              <w:rPr>
                <w:rFonts w:ascii="Times New Roman" w:hAnsi="Times New Roman"/>
                <w:color w:val="000000" w:themeColor="text1"/>
                <w:sz w:val="20"/>
                <w:szCs w:val="20"/>
                <w:lang w:val="ro-RO" w:eastAsia="ro-MD"/>
              </w:rPr>
              <w:t>) este mai mic decât valoarea expunerii (E), băncile pot aplica formula de la punctul 116</w:t>
            </w:r>
            <w:r w:rsidRPr="005C3300">
              <w:rPr>
                <w:rFonts w:ascii="Times New Roman" w:hAnsi="Times New Roman"/>
                <w:color w:val="000000" w:themeColor="text1"/>
                <w:sz w:val="20"/>
                <w:szCs w:val="20"/>
                <w:vertAlign w:val="superscript"/>
                <w:lang w:val="ro-RO" w:eastAsia="ro-MD"/>
              </w:rPr>
              <w:t>1</w:t>
            </w:r>
            <w:r w:rsidRPr="005C3300">
              <w:rPr>
                <w:rFonts w:ascii="Times New Roman" w:hAnsi="Times New Roman"/>
                <w:color w:val="000000" w:themeColor="text1"/>
                <w:sz w:val="20"/>
                <w:szCs w:val="20"/>
                <w:lang w:val="ro-RO" w:eastAsia="ro-MD"/>
              </w:rPr>
              <w:t xml:space="preserve"> numai dacă părțile protejate și cele neprotejate ale expunerii au același rang.</w:t>
            </w:r>
          </w:p>
          <w:p w14:paraId="275D88DA" w14:textId="2DB27A69" w:rsidR="00EE2EFB" w:rsidRPr="00EE2EFB" w:rsidRDefault="00EE2EFB" w:rsidP="00EE2EFB">
            <w:pPr>
              <w:spacing w:after="0"/>
              <w:rPr>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4A57D163" w14:textId="7682B52F" w:rsidR="005A14F8" w:rsidRPr="002C32BA" w:rsidRDefault="005A14F8" w:rsidP="005A14F8">
            <w:pPr>
              <w:rPr>
                <w:rFonts w:ascii="Times New Roman" w:hAnsi="Times New Roman" w:cs="Times New Roman"/>
                <w:sz w:val="20"/>
                <w:szCs w:val="20"/>
                <w:lang w:val="ro-RO"/>
              </w:rPr>
            </w:pPr>
            <w:r w:rsidRPr="00E339DF">
              <w:rPr>
                <w:rFonts w:ascii="Times New Roman" w:hAnsi="Times New Roman" w:cs="Times New Roman"/>
                <w:sz w:val="20"/>
                <w:szCs w:val="20"/>
                <w:lang w:val="ro-RO"/>
              </w:rPr>
              <w:t>Compatibil</w:t>
            </w:r>
          </w:p>
        </w:tc>
        <w:tc>
          <w:tcPr>
            <w:tcW w:w="885" w:type="pct"/>
          </w:tcPr>
          <w:p w14:paraId="260893AA" w14:textId="77777777" w:rsidR="005A14F8" w:rsidRDefault="005A14F8" w:rsidP="005A14F8">
            <w:pPr>
              <w:jc w:val="both"/>
              <w:rPr>
                <w:rFonts w:ascii="Times New Roman" w:hAnsi="Times New Roman" w:cs="Times New Roman"/>
                <w:sz w:val="20"/>
                <w:szCs w:val="20"/>
                <w:lang w:val="ro-RO"/>
              </w:rPr>
            </w:pPr>
          </w:p>
        </w:tc>
      </w:tr>
      <w:tr w:rsidR="005A14F8" w:rsidRPr="002C32BA" w14:paraId="6D2FA1E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9441B09" w14:textId="68174343" w:rsidR="005A14F8" w:rsidRPr="005A14F8" w:rsidRDefault="005A14F8" w:rsidP="005A14F8">
            <w:pPr>
              <w:shd w:val="clear" w:color="auto" w:fill="FFFFFF"/>
              <w:spacing w:after="0" w:line="240" w:lineRule="auto"/>
              <w:jc w:val="both"/>
              <w:rPr>
                <w:rFonts w:ascii="Times New Roman" w:eastAsia="Times New Roman" w:hAnsi="Times New Roman" w:cs="Times New Roman"/>
                <w:iCs/>
                <w:sz w:val="20"/>
                <w:szCs w:val="20"/>
                <w:lang w:val="ro-RO" w:eastAsia="ru-RU"/>
              </w:rPr>
            </w:pPr>
            <w:r w:rsidRPr="005A14F8">
              <w:rPr>
                <w:rFonts w:ascii="Times New Roman" w:eastAsia="Times New Roman" w:hAnsi="Times New Roman" w:cs="Times New Roman"/>
                <w:iCs/>
                <w:sz w:val="20"/>
                <w:szCs w:val="20"/>
                <w:lang w:val="ro-RO" w:eastAsia="ru-RU"/>
              </w:rPr>
              <w:t>(3)   Instituțiile pot extinde tratamentul preferențial prevăzut la articolul 114 alineatele (4) și (7) la expunerile sau la părțile din expuneri garantate de administrația centrală sau de banca centrală, ca și cum expunerile respective ar fi expuneri directe față de administrația centrală sau de banca centrală, cu condiția ca astfel de expuneri directe să îndeplinească condițiile prevăzute la articolul 114 alineatul (4) sau (7), după caz.</w:t>
            </w:r>
          </w:p>
        </w:tc>
        <w:tc>
          <w:tcPr>
            <w:tcW w:w="1636" w:type="pct"/>
            <w:shd w:val="clear" w:color="auto" w:fill="auto"/>
          </w:tcPr>
          <w:p w14:paraId="5EDF0279" w14:textId="77777777" w:rsidR="005A14F8" w:rsidRDefault="00EE2EFB" w:rsidP="005A14F8">
            <w:pPr>
              <w:pStyle w:val="CM4"/>
              <w:tabs>
                <w:tab w:val="left" w:pos="150"/>
              </w:tabs>
              <w:spacing w:after="120"/>
              <w:ind w:left="-34"/>
              <w:rPr>
                <w:rFonts w:ascii="Times New Roman" w:hAnsi="Times New Roman"/>
                <w:color w:val="000000" w:themeColor="text1"/>
                <w:sz w:val="20"/>
                <w:szCs w:val="20"/>
                <w:lang w:val="ro-RO" w:eastAsia="ro-MD"/>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3</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pot extinde tratamentul preferențial prevăzut în Regulamentul nr.111/2018 la expunerile sau la părțile din expuneri garantate de administrația centrală sau de banca centrală, ca și cum expunerile respective ar fi expuneri directe față de administrația centrală sau de banca centrală, cu condiția ca astfel de expuneri directe să îndeplinească condițiile prevăzute la punctele 31-33 din regulamentul menționat.</w:t>
            </w:r>
          </w:p>
          <w:p w14:paraId="74CE1849" w14:textId="7E674D97" w:rsidR="00EE2EFB" w:rsidRPr="00EE2EFB" w:rsidRDefault="00EE2EFB" w:rsidP="00EE2EFB">
            <w:pPr>
              <w:spacing w:after="0"/>
              <w:rPr>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1869791" w14:textId="0F6DC8D5" w:rsidR="005A14F8" w:rsidRPr="002C32BA" w:rsidRDefault="005A14F8" w:rsidP="005A14F8">
            <w:pPr>
              <w:rPr>
                <w:rFonts w:ascii="Times New Roman" w:hAnsi="Times New Roman" w:cs="Times New Roman"/>
                <w:sz w:val="20"/>
                <w:szCs w:val="20"/>
                <w:lang w:val="ro-RO"/>
              </w:rPr>
            </w:pPr>
            <w:r w:rsidRPr="00E339DF">
              <w:rPr>
                <w:rFonts w:ascii="Times New Roman" w:hAnsi="Times New Roman" w:cs="Times New Roman"/>
                <w:sz w:val="20"/>
                <w:szCs w:val="20"/>
                <w:lang w:val="ro-RO"/>
              </w:rPr>
              <w:t>Compatibil</w:t>
            </w:r>
          </w:p>
        </w:tc>
        <w:tc>
          <w:tcPr>
            <w:tcW w:w="885" w:type="pct"/>
          </w:tcPr>
          <w:p w14:paraId="437150A5" w14:textId="77777777" w:rsidR="005A14F8" w:rsidRDefault="005A14F8" w:rsidP="005A14F8">
            <w:pPr>
              <w:jc w:val="both"/>
              <w:rPr>
                <w:rFonts w:ascii="Times New Roman" w:hAnsi="Times New Roman" w:cs="Times New Roman"/>
                <w:sz w:val="20"/>
                <w:szCs w:val="20"/>
                <w:lang w:val="ro-RO"/>
              </w:rPr>
            </w:pPr>
          </w:p>
        </w:tc>
      </w:tr>
      <w:tr w:rsidR="005A14F8" w:rsidRPr="002C32BA" w14:paraId="4B9FD56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E2A4BDA" w14:textId="77777777" w:rsidR="005A14F8" w:rsidRPr="005A14F8" w:rsidRDefault="005A14F8" w:rsidP="005A14F8">
            <w:pPr>
              <w:shd w:val="clear" w:color="auto" w:fill="FFFFFF"/>
              <w:spacing w:after="0" w:line="240" w:lineRule="auto"/>
              <w:jc w:val="both"/>
              <w:rPr>
                <w:rFonts w:ascii="Times New Roman" w:eastAsia="Times New Roman" w:hAnsi="Times New Roman" w:cs="Times New Roman"/>
                <w:iCs/>
                <w:sz w:val="20"/>
                <w:szCs w:val="20"/>
                <w:lang w:val="ro-MD" w:eastAsia="ru-RU"/>
              </w:rPr>
            </w:pPr>
            <w:r w:rsidRPr="005A14F8">
              <w:rPr>
                <w:rFonts w:ascii="Times New Roman" w:eastAsia="Times New Roman" w:hAnsi="Times New Roman" w:cs="Times New Roman"/>
                <w:iCs/>
                <w:sz w:val="20"/>
                <w:szCs w:val="20"/>
                <w:lang w:val="ro-MD" w:eastAsia="ru-RU"/>
              </w:rPr>
              <w:t>(4)   Cuantumul pierderii așteptate pentru partea garantată a valorii expunerii este zero.</w:t>
            </w:r>
          </w:p>
          <w:p w14:paraId="62880EEE" w14:textId="77ACD005" w:rsidR="005A14F8" w:rsidRPr="005A14F8" w:rsidRDefault="005A14F8" w:rsidP="005A14F8">
            <w:pPr>
              <w:shd w:val="clear" w:color="auto" w:fill="FFFFFF"/>
              <w:spacing w:after="0" w:line="240" w:lineRule="auto"/>
              <w:jc w:val="both"/>
              <w:rPr>
                <w:rFonts w:ascii="Times New Roman" w:eastAsia="Times New Roman" w:hAnsi="Times New Roman" w:cs="Times New Roman"/>
                <w:iCs/>
                <w:sz w:val="20"/>
                <w:szCs w:val="20"/>
                <w:lang w:val="ro-MD" w:eastAsia="ru-RU"/>
              </w:rPr>
            </w:pPr>
            <w:r w:rsidRPr="005A14F8">
              <w:rPr>
                <w:rFonts w:ascii="Times New Roman" w:eastAsia="Times New Roman" w:hAnsi="Times New Roman" w:cs="Times New Roman"/>
                <w:iCs/>
                <w:sz w:val="20"/>
                <w:szCs w:val="20"/>
                <w:lang w:val="ro-MD" w:eastAsia="ru-RU"/>
              </w:rPr>
              <w:t>(5)   Pentru orice parte negarantată a valorii expunerii (E), instituțiile utilizează ponderea de risc și pierderea așteptată corespunzătoare expunerii-suport. Pentru calculul prevăzut la articolul 159, instituțiile atribuie părții negarantate a valorii expunerii orice ajustare generală sau specifică pentru riscul de credit sau orice ajustare de valoare suplimentară în conformitate cu articolul 34 legată de activitățile din afara portofoliului de tranzacționare ale instituției sau orice altă reducere a fondurilor proprii legată de expunere, alta decât deducerile efectuate în conformitate cu articolul 36 alineatul (1) litera (m).</w:t>
            </w:r>
          </w:p>
        </w:tc>
        <w:tc>
          <w:tcPr>
            <w:tcW w:w="1636" w:type="pct"/>
            <w:shd w:val="clear" w:color="auto" w:fill="auto"/>
          </w:tcPr>
          <w:p w14:paraId="4A02FEC1" w14:textId="7C387566" w:rsidR="00EE2EFB" w:rsidRPr="005C3300" w:rsidRDefault="00EE2EFB" w:rsidP="00EE2EFB">
            <w:pPr>
              <w:spacing w:after="0" w:line="240" w:lineRule="auto"/>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color w:val="000000" w:themeColor="text1"/>
                <w:sz w:val="20"/>
                <w:szCs w:val="20"/>
                <w:lang w:val="ro-RO" w:eastAsia="ro-MD"/>
              </w:rPr>
              <w:t>116</w:t>
            </w:r>
            <w:r w:rsidRPr="005C3300">
              <w:rPr>
                <w:rFonts w:ascii="Times New Roman" w:eastAsia="Times New Roman" w:hAnsi="Times New Roman" w:cs="Times New Roman"/>
                <w:b/>
                <w:bCs/>
                <w:color w:val="000000" w:themeColor="text1"/>
                <w:sz w:val="20"/>
                <w:szCs w:val="20"/>
                <w:vertAlign w:val="superscript"/>
                <w:lang w:val="ro-RO" w:eastAsia="ro-MD"/>
              </w:rPr>
              <w:t>4</w:t>
            </w:r>
            <w:r w:rsidRPr="005C3300">
              <w:rPr>
                <w:rFonts w:ascii="Times New Roman" w:eastAsia="Times New Roman" w:hAnsi="Times New Roman" w:cs="Times New Roman"/>
                <w:b/>
                <w:bCs/>
                <w:color w:val="000000" w:themeColor="text1"/>
                <w:sz w:val="20"/>
                <w:szCs w:val="20"/>
                <w:lang w:val="ro-RO" w:eastAsia="ro-MD"/>
              </w:rPr>
              <w:t>.</w:t>
            </w:r>
            <w:r w:rsidRPr="005C3300">
              <w:rPr>
                <w:rFonts w:ascii="Times New Roman" w:eastAsia="Times New Roman" w:hAnsi="Times New Roman" w:cs="Times New Roman"/>
                <w:color w:val="000000" w:themeColor="text1"/>
                <w:sz w:val="20"/>
                <w:szCs w:val="20"/>
                <w:lang w:val="ro-RO" w:eastAsia="ro-MD"/>
              </w:rPr>
              <w:t xml:space="preserve"> Valoarea pierderii așteptate pentru partea garantată a valorii expunerii este zero.</w:t>
            </w:r>
          </w:p>
          <w:p w14:paraId="104DA84C" w14:textId="5A17D049" w:rsidR="00EE2EFB" w:rsidRDefault="00EE2EFB" w:rsidP="00EE2EFB">
            <w:pPr>
              <w:pStyle w:val="CM4"/>
              <w:tabs>
                <w:tab w:val="left" w:pos="150"/>
              </w:tabs>
              <w:spacing w:after="120"/>
              <w:ind w:left="-34"/>
              <w:rPr>
                <w:rFonts w:ascii="Times New Roman" w:hAnsi="Times New Roman"/>
                <w:color w:val="000000" w:themeColor="text1"/>
                <w:sz w:val="20"/>
                <w:szCs w:val="20"/>
                <w:lang w:val="ro-RO" w:eastAsia="ro-MD"/>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5</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Pentru orice parte negarantată a valorii expunerii (E), băncile utilizează ponderea de risc și pierderea așteptată corespunzătoare expunerii-suport. Pentru calculul prevăzut în actul normativ al Băncii Naționale a Moldovei aferent tratamentului riscului de credit pentru bănci potrivit abordării bazate pe modele interne de rating, băncile atribuie părții negarantate a valorii expunerii orice ajustare generală sau specifică pentru riscul de credit sau orice ajustare de valoare suplimentară în conformitate cu Regulamentul</w:t>
            </w:r>
            <w:r w:rsidR="00665D1A">
              <w:t xml:space="preserve"> </w:t>
            </w:r>
            <w:r w:rsidR="00665D1A" w:rsidRPr="00665D1A">
              <w:rPr>
                <w:rFonts w:ascii="Times New Roman" w:hAnsi="Times New Roman"/>
                <w:color w:val="000000" w:themeColor="text1"/>
                <w:sz w:val="20"/>
                <w:szCs w:val="20"/>
                <w:lang w:val="ro-RO" w:eastAsia="ro-MD"/>
              </w:rPr>
              <w:t>cu privire la fondurile proprii ale băncilor și cerințele de capital, aprobat prin Hotărârea Comitetului executiv al Băncii Naționale a Moldovei nr.</w:t>
            </w:r>
            <w:r w:rsidRPr="005C3300">
              <w:rPr>
                <w:rFonts w:ascii="Times New Roman" w:hAnsi="Times New Roman"/>
                <w:color w:val="000000" w:themeColor="text1"/>
                <w:sz w:val="20"/>
                <w:szCs w:val="20"/>
                <w:lang w:val="ro-RO" w:eastAsia="ro-MD"/>
              </w:rPr>
              <w:t xml:space="preserve"> 109/2018</w:t>
            </w:r>
            <w:r w:rsidR="00665D1A">
              <w:rPr>
                <w:rFonts w:ascii="Times New Roman" w:hAnsi="Times New Roman"/>
                <w:color w:val="000000" w:themeColor="text1"/>
                <w:sz w:val="20"/>
                <w:szCs w:val="20"/>
                <w:lang w:val="ro-RO" w:eastAsia="ro-MD"/>
              </w:rPr>
              <w:t xml:space="preserve"> </w:t>
            </w:r>
            <w:r w:rsidR="00665D1A" w:rsidRPr="00665D1A">
              <w:rPr>
                <w:rFonts w:ascii="Times New Roman" w:hAnsi="Times New Roman"/>
                <w:color w:val="000000" w:themeColor="text1"/>
                <w:sz w:val="20"/>
                <w:szCs w:val="20"/>
                <w:lang w:val="ro-RO" w:eastAsia="ro-MD"/>
              </w:rPr>
              <w:t xml:space="preserve">(în continuare – Regulamentul 109/2018) </w:t>
            </w:r>
            <w:r w:rsidRPr="005C3300">
              <w:rPr>
                <w:rFonts w:ascii="Times New Roman" w:hAnsi="Times New Roman"/>
                <w:color w:val="000000" w:themeColor="text1"/>
                <w:sz w:val="20"/>
                <w:szCs w:val="20"/>
                <w:lang w:val="ro-RO" w:eastAsia="ro-MD"/>
              </w:rPr>
              <w:t>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w:t>
            </w:r>
            <w:r>
              <w:rPr>
                <w:rFonts w:ascii="Times New Roman" w:hAnsi="Times New Roman"/>
                <w:color w:val="000000" w:themeColor="text1"/>
                <w:sz w:val="20"/>
                <w:szCs w:val="20"/>
                <w:lang w:val="ro-RO" w:eastAsia="ro-MD"/>
              </w:rPr>
              <w:t>.</w:t>
            </w:r>
          </w:p>
          <w:p w14:paraId="18B1AB63" w14:textId="1537DE05" w:rsidR="005A14F8" w:rsidRPr="005C5FD9" w:rsidRDefault="00EE2EFB" w:rsidP="00EE2EFB">
            <w:pPr>
              <w:pStyle w:val="CM4"/>
              <w:tabs>
                <w:tab w:val="left" w:pos="150"/>
              </w:tabs>
              <w:spacing w:after="120"/>
              <w:ind w:left="-34"/>
              <w:rPr>
                <w:rFonts w:ascii="Times New Roman" w:hAnsi="Times New Roman"/>
                <w:b/>
                <w:bCs/>
                <w:sz w:val="20"/>
                <w:szCs w:val="20"/>
                <w:lang w:val="ro-RO" w:eastAsia="ru-RU"/>
              </w:rPr>
            </w:pPr>
            <w:proofErr w:type="spellStart"/>
            <w:r w:rsidRPr="00684853">
              <w:rPr>
                <w:rFonts w:ascii="Times New Roman" w:hAnsi="Times New Roman"/>
                <w:i/>
                <w:iCs/>
                <w:color w:val="000000" w:themeColor="text1"/>
                <w:sz w:val="20"/>
                <w:szCs w:val="20"/>
              </w:rPr>
              <w:t>Proiectul</w:t>
            </w:r>
            <w:proofErr w:type="spellEnd"/>
            <w:r w:rsidRPr="00684853">
              <w:rPr>
                <w:rFonts w:ascii="Times New Roman" w:hAnsi="Times New Roman"/>
                <w:i/>
                <w:iCs/>
                <w:color w:val="000000" w:themeColor="text1"/>
                <w:sz w:val="20"/>
                <w:szCs w:val="20"/>
              </w:rPr>
              <w:t xml:space="preserve"> HCE al BNM </w:t>
            </w:r>
            <w:proofErr w:type="spellStart"/>
            <w:r w:rsidRPr="00684853">
              <w:rPr>
                <w:rFonts w:ascii="Times New Roman" w:hAnsi="Times New Roman"/>
                <w:i/>
                <w:iCs/>
                <w:color w:val="000000" w:themeColor="text1"/>
                <w:sz w:val="20"/>
                <w:szCs w:val="20"/>
              </w:rPr>
              <w:t>pentru</w:t>
            </w:r>
            <w:proofErr w:type="spellEnd"/>
            <w:r w:rsidRPr="00684853">
              <w:rPr>
                <w:rFonts w:ascii="Times New Roman" w:hAnsi="Times New Roman"/>
                <w:i/>
                <w:iCs/>
                <w:color w:val="000000" w:themeColor="text1"/>
                <w:sz w:val="20"/>
                <w:szCs w:val="20"/>
              </w:rPr>
              <w:t xml:space="preserve"> </w:t>
            </w:r>
            <w:proofErr w:type="spellStart"/>
            <w:r w:rsidRPr="00684853">
              <w:rPr>
                <w:rFonts w:ascii="Times New Roman" w:hAnsi="Times New Roman"/>
                <w:i/>
                <w:iCs/>
                <w:color w:val="000000" w:themeColor="text1"/>
                <w:sz w:val="20"/>
                <w:szCs w:val="20"/>
              </w:rPr>
              <w:t>modificarea</w:t>
            </w:r>
            <w:proofErr w:type="spellEnd"/>
            <w:r>
              <w:rPr>
                <w:rFonts w:ascii="Times New Roman" w:hAnsi="Times New Roman"/>
                <w:i/>
                <w:iCs/>
                <w:color w:val="000000" w:themeColor="text1"/>
                <w:sz w:val="20"/>
                <w:szCs w:val="20"/>
              </w:rPr>
              <w:t xml:space="preserve"> </w:t>
            </w:r>
            <w:proofErr w:type="spellStart"/>
            <w:r w:rsidRPr="00314B7C">
              <w:rPr>
                <w:rFonts w:ascii="Times New Roman" w:hAnsi="Times New Roman"/>
                <w:i/>
                <w:iCs/>
                <w:color w:val="000000" w:themeColor="text1"/>
                <w:sz w:val="20"/>
                <w:szCs w:val="20"/>
              </w:rPr>
              <w:t>Regulamentului</w:t>
            </w:r>
            <w:proofErr w:type="spellEnd"/>
            <w:r w:rsidRPr="00314B7C">
              <w:rPr>
                <w:rFonts w:ascii="Times New Roman" w:hAnsi="Times New Roman"/>
                <w:i/>
                <w:iCs/>
                <w:color w:val="000000" w:themeColor="text1"/>
                <w:sz w:val="20"/>
                <w:szCs w:val="20"/>
              </w:rPr>
              <w:t xml:space="preserve"> </w:t>
            </w:r>
            <w:r>
              <w:rPr>
                <w:rFonts w:ascii="Times New Roman" w:hAnsi="Times New Roman"/>
                <w:i/>
                <w:iCs/>
                <w:color w:val="000000" w:themeColor="text1"/>
                <w:sz w:val="20"/>
                <w:szCs w:val="20"/>
              </w:rPr>
              <w:t xml:space="preserve">nr.112/2018 </w:t>
            </w:r>
            <w:r w:rsidRPr="00314B7C">
              <w:rPr>
                <w:rFonts w:ascii="Times New Roman" w:hAnsi="Times New Roman"/>
                <w:i/>
                <w:iCs/>
                <w:color w:val="000000" w:themeColor="text1"/>
                <w:sz w:val="20"/>
                <w:szCs w:val="20"/>
              </w:rPr>
              <w:t xml:space="preserve">cu </w:t>
            </w:r>
            <w:proofErr w:type="spellStart"/>
            <w:r w:rsidRPr="00314B7C">
              <w:rPr>
                <w:rFonts w:ascii="Times New Roman" w:hAnsi="Times New Roman"/>
                <w:i/>
                <w:iCs/>
                <w:color w:val="000000" w:themeColor="text1"/>
                <w:sz w:val="20"/>
                <w:szCs w:val="20"/>
              </w:rPr>
              <w:t>privire</w:t>
            </w:r>
            <w:proofErr w:type="spellEnd"/>
            <w:r w:rsidRPr="00314B7C">
              <w:rPr>
                <w:rFonts w:ascii="Times New Roman" w:hAnsi="Times New Roman"/>
                <w:i/>
                <w:iCs/>
                <w:color w:val="000000" w:themeColor="text1"/>
                <w:sz w:val="20"/>
                <w:szCs w:val="20"/>
              </w:rPr>
              <w:t xml:space="preserve"> la </w:t>
            </w:r>
            <w:proofErr w:type="spellStart"/>
            <w:r w:rsidRPr="00314B7C">
              <w:rPr>
                <w:rFonts w:ascii="Times New Roman" w:hAnsi="Times New Roman"/>
                <w:i/>
                <w:iCs/>
                <w:color w:val="000000" w:themeColor="text1"/>
                <w:sz w:val="20"/>
                <w:szCs w:val="20"/>
              </w:rPr>
              <w:t>tehnicile</w:t>
            </w:r>
            <w:proofErr w:type="spellEnd"/>
            <w:r w:rsidRPr="00314B7C">
              <w:rPr>
                <w:rFonts w:ascii="Times New Roman" w:hAnsi="Times New Roman"/>
                <w:i/>
                <w:iCs/>
                <w:color w:val="000000" w:themeColor="text1"/>
                <w:sz w:val="20"/>
                <w:szCs w:val="20"/>
              </w:rPr>
              <w:t xml:space="preserve"> de </w:t>
            </w:r>
            <w:proofErr w:type="spellStart"/>
            <w:r w:rsidRPr="00314B7C">
              <w:rPr>
                <w:rFonts w:ascii="Times New Roman" w:hAnsi="Times New Roman"/>
                <w:i/>
                <w:iCs/>
                <w:color w:val="000000" w:themeColor="text1"/>
                <w:sz w:val="20"/>
                <w:szCs w:val="20"/>
              </w:rPr>
              <w:t>diminuare</w:t>
            </w:r>
            <w:proofErr w:type="spellEnd"/>
            <w:r w:rsidRPr="00314B7C">
              <w:rPr>
                <w:rFonts w:ascii="Times New Roman" w:hAnsi="Times New Roman"/>
                <w:i/>
                <w:iCs/>
                <w:color w:val="000000" w:themeColor="text1"/>
                <w:sz w:val="20"/>
                <w:szCs w:val="20"/>
              </w:rPr>
              <w:t xml:space="preserve"> a </w:t>
            </w:r>
            <w:proofErr w:type="spellStart"/>
            <w:r w:rsidRPr="00314B7C">
              <w:rPr>
                <w:rFonts w:ascii="Times New Roman" w:hAnsi="Times New Roman"/>
                <w:i/>
                <w:iCs/>
                <w:color w:val="000000" w:themeColor="text1"/>
                <w:sz w:val="20"/>
                <w:szCs w:val="20"/>
              </w:rPr>
              <w:t>riscului</w:t>
            </w:r>
            <w:proofErr w:type="spellEnd"/>
            <w:r w:rsidRPr="00314B7C">
              <w:rPr>
                <w:rFonts w:ascii="Times New Roman" w:hAnsi="Times New Roman"/>
                <w:i/>
                <w:iCs/>
                <w:color w:val="000000" w:themeColor="text1"/>
                <w:sz w:val="20"/>
                <w:szCs w:val="20"/>
              </w:rPr>
              <w:t xml:space="preserve"> de credit </w:t>
            </w:r>
            <w:proofErr w:type="spellStart"/>
            <w:r w:rsidRPr="00314B7C">
              <w:rPr>
                <w:rFonts w:ascii="Times New Roman" w:hAnsi="Times New Roman"/>
                <w:i/>
                <w:iCs/>
                <w:color w:val="000000" w:themeColor="text1"/>
                <w:sz w:val="20"/>
                <w:szCs w:val="20"/>
              </w:rPr>
              <w:t>utilizate</w:t>
            </w:r>
            <w:proofErr w:type="spellEnd"/>
            <w:r w:rsidRPr="00314B7C">
              <w:rPr>
                <w:rFonts w:ascii="Times New Roman" w:hAnsi="Times New Roman"/>
                <w:i/>
                <w:iCs/>
                <w:color w:val="000000" w:themeColor="text1"/>
                <w:sz w:val="20"/>
                <w:szCs w:val="20"/>
              </w:rPr>
              <w:t xml:space="preserve"> de </w:t>
            </w:r>
            <w:proofErr w:type="spellStart"/>
            <w:r w:rsidRPr="00314B7C">
              <w:rPr>
                <w:rFonts w:ascii="Times New Roman" w:hAnsi="Times New Roman"/>
                <w:i/>
                <w:iCs/>
                <w:color w:val="000000" w:themeColor="text1"/>
                <w:sz w:val="20"/>
                <w:szCs w:val="20"/>
              </w:rPr>
              <w:t>bănci</w:t>
            </w:r>
            <w:proofErr w:type="spellEnd"/>
          </w:p>
        </w:tc>
        <w:tc>
          <w:tcPr>
            <w:tcW w:w="562" w:type="pct"/>
          </w:tcPr>
          <w:p w14:paraId="7308B028" w14:textId="01BE577E" w:rsidR="005A14F8" w:rsidRPr="002C32BA" w:rsidRDefault="005A14F8" w:rsidP="005A14F8">
            <w:pPr>
              <w:rPr>
                <w:rFonts w:ascii="Times New Roman" w:hAnsi="Times New Roman" w:cs="Times New Roman"/>
                <w:sz w:val="20"/>
                <w:szCs w:val="20"/>
                <w:lang w:val="ro-RO"/>
              </w:rPr>
            </w:pPr>
            <w:r w:rsidRPr="00E339DF">
              <w:rPr>
                <w:rFonts w:ascii="Times New Roman" w:hAnsi="Times New Roman" w:cs="Times New Roman"/>
                <w:sz w:val="20"/>
                <w:szCs w:val="20"/>
                <w:lang w:val="ro-RO"/>
              </w:rPr>
              <w:t>Compatibil</w:t>
            </w:r>
          </w:p>
        </w:tc>
        <w:tc>
          <w:tcPr>
            <w:tcW w:w="885" w:type="pct"/>
          </w:tcPr>
          <w:p w14:paraId="2F5ADB67" w14:textId="77777777" w:rsidR="005A14F8" w:rsidRDefault="005A14F8" w:rsidP="005A14F8">
            <w:pPr>
              <w:jc w:val="both"/>
              <w:rPr>
                <w:rFonts w:ascii="Times New Roman" w:hAnsi="Times New Roman" w:cs="Times New Roman"/>
                <w:sz w:val="20"/>
                <w:szCs w:val="20"/>
                <w:lang w:val="ro-RO"/>
              </w:rPr>
            </w:pPr>
          </w:p>
        </w:tc>
      </w:tr>
      <w:tr w:rsidR="00D62F3C" w:rsidRPr="002C32BA" w14:paraId="12E9F7C7"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6AD679E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236</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Calculul cuantumurilor ponderate la risc ale expunerilor și al cuantumurilor pierderilor așteptate în cadrul abordării IRB</w:t>
            </w:r>
          </w:p>
          <w:p w14:paraId="49E7DDBB" w14:textId="77777777" w:rsidR="00D62F3C" w:rsidRDefault="00D62F3C" w:rsidP="00800622">
            <w:pPr>
              <w:pStyle w:val="CM4"/>
              <w:tabs>
                <w:tab w:val="left" w:pos="150"/>
              </w:tabs>
              <w:ind w:left="-43"/>
              <w:jc w:val="both"/>
              <w:rPr>
                <w:rFonts w:ascii="Times New Roman" w:hAnsi="Times New Roman"/>
                <w:iCs/>
                <w:color w:val="000000" w:themeColor="text1"/>
                <w:sz w:val="20"/>
                <w:szCs w:val="20"/>
                <w:lang w:val="ro-RO" w:eastAsia="ru-RU"/>
              </w:rPr>
            </w:pPr>
            <w:r w:rsidRPr="00800622">
              <w:rPr>
                <w:rFonts w:ascii="Times New Roman" w:hAnsi="Times New Roman"/>
                <w:iCs/>
                <w:color w:val="000000" w:themeColor="text1"/>
                <w:sz w:val="20"/>
                <w:szCs w:val="20"/>
                <w:lang w:val="ro-RO" w:eastAsia="ru-RU"/>
              </w:rPr>
              <w:t xml:space="preserve"> </w:t>
            </w:r>
            <w:r w:rsidR="00800622" w:rsidRPr="00800622">
              <w:rPr>
                <w:rFonts w:ascii="Times New Roman" w:hAnsi="Times New Roman"/>
                <w:iCs/>
                <w:color w:val="000000" w:themeColor="text1"/>
                <w:sz w:val="20"/>
                <w:szCs w:val="20"/>
                <w:lang w:val="ro-RO" w:eastAsia="ru-RU"/>
              </w:rPr>
              <w:t>M17</w:t>
            </w:r>
          </w:p>
          <w:p w14:paraId="7B5F5AEB" w14:textId="77777777" w:rsidR="00337B13" w:rsidRDefault="00337B13" w:rsidP="00337B13">
            <w:pPr>
              <w:rPr>
                <w:lang w:val="ro-RO" w:eastAsia="ru-RU"/>
              </w:rPr>
            </w:pPr>
          </w:p>
          <w:p w14:paraId="0CC1A27F" w14:textId="77777777" w:rsidR="00337B13" w:rsidRPr="00337B13" w:rsidRDefault="00337B13" w:rsidP="00337B13">
            <w:pPr>
              <w:rPr>
                <w:lang w:val="ro-RO" w:eastAsia="ru-RU"/>
              </w:rPr>
            </w:pPr>
          </w:p>
          <w:p w14:paraId="410EF313" w14:textId="7AE7045F" w:rsidR="00800622" w:rsidRPr="00800622" w:rsidRDefault="00800622" w:rsidP="00800622">
            <w:pPr>
              <w:jc w:val="both"/>
              <w:rPr>
                <w:lang w:val="ro-MD" w:eastAsia="ru-RU"/>
              </w:rPr>
            </w:pPr>
            <w:r w:rsidRPr="00800622">
              <w:rPr>
                <w:rFonts w:ascii="Times New Roman" w:hAnsi="Times New Roman" w:cs="Times New Roman"/>
                <w:color w:val="000000" w:themeColor="text1"/>
                <w:sz w:val="20"/>
                <w:szCs w:val="20"/>
                <w:lang w:val="ro-MD" w:eastAsia="ru-RU"/>
              </w:rPr>
              <w:t>(1)   În cazul unei expuneri cu protecție nefinanțată a creditului pentru care o instituție aplică abordarea IRB prevăzută în capitolul 3, fără a utiliza însă propriile estimări ale LGD, și în cazul în care expunerile directe comparabile față de furnizorul de protecție sunt tratate în conformitate cu abordarea IRB prevăzută în capitolul 3, instituția determină partea garantată a expunerii ca fiind cea mai mică dintre valoarea expunerii (E) și valoarea ajustată a protecției nefinanțate a creditului (GA).</w:t>
            </w:r>
          </w:p>
        </w:tc>
        <w:tc>
          <w:tcPr>
            <w:tcW w:w="1636" w:type="pct"/>
            <w:shd w:val="clear" w:color="auto" w:fill="auto"/>
          </w:tcPr>
          <w:p w14:paraId="599ABE02" w14:textId="77777777" w:rsidR="00337B13" w:rsidRPr="005C3300" w:rsidRDefault="00337B13" w:rsidP="00337B13">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Secțiunea a 2</w:t>
            </w:r>
            <w:r w:rsidRPr="005C3300">
              <w:rPr>
                <w:rFonts w:ascii="Times New Roman" w:eastAsia="Times New Roman" w:hAnsi="Times New Roman" w:cs="Times New Roman"/>
                <w:b/>
                <w:bCs/>
                <w:i/>
                <w:iCs/>
                <w:color w:val="000000" w:themeColor="text1"/>
                <w:sz w:val="20"/>
                <w:szCs w:val="20"/>
                <w:vertAlign w:val="superscript"/>
                <w:lang w:val="ro-RO" w:eastAsia="ro-MD"/>
              </w:rPr>
              <w:t>2</w:t>
            </w:r>
            <w:r w:rsidRPr="005C3300">
              <w:rPr>
                <w:rFonts w:ascii="Times New Roman" w:eastAsia="Times New Roman" w:hAnsi="Times New Roman" w:cs="Times New Roman"/>
                <w:b/>
                <w:bCs/>
                <w:i/>
                <w:iCs/>
                <w:color w:val="000000" w:themeColor="text1"/>
                <w:sz w:val="20"/>
                <w:szCs w:val="20"/>
                <w:lang w:val="ro-RO" w:eastAsia="ro-MD"/>
              </w:rPr>
              <w:t>-a</w:t>
            </w:r>
          </w:p>
          <w:p w14:paraId="2078285F" w14:textId="77777777" w:rsidR="00337B13" w:rsidRPr="005C3300" w:rsidRDefault="00337B13" w:rsidP="00337B13">
            <w:pPr>
              <w:spacing w:after="0" w:line="240" w:lineRule="auto"/>
              <w:ind w:firstLine="567"/>
              <w:jc w:val="both"/>
              <w:rPr>
                <w:rFonts w:ascii="Times New Roman" w:eastAsia="Times New Roman" w:hAnsi="Times New Roman" w:cs="Times New Roman"/>
                <w:b/>
                <w:bCs/>
                <w:i/>
                <w:iCs/>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Calculul valorilor ponderate la risc ale expunerilor și al cuantumurilor pierderilor așteptate în conformitate cu metoda substituției atunci când expunerea garantată este tratată conform abordării IRB fără utilizarea estimărilor proprii ale LGD, iar expunerea directă comparabilă față de furnizorul de protecție este tratată conform abordării IRB</w:t>
            </w:r>
          </w:p>
          <w:p w14:paraId="3CB18F97" w14:textId="77777777" w:rsidR="00337B13" w:rsidRPr="005C3300" w:rsidRDefault="00337B13" w:rsidP="00337B13">
            <w:pPr>
              <w:spacing w:after="0" w:line="240" w:lineRule="auto"/>
              <w:ind w:firstLine="567"/>
              <w:jc w:val="both"/>
              <w:rPr>
                <w:rFonts w:ascii="Times New Roman" w:eastAsia="Times New Roman" w:hAnsi="Times New Roman" w:cs="Times New Roman"/>
                <w:color w:val="000000" w:themeColor="text1"/>
                <w:sz w:val="20"/>
                <w:szCs w:val="20"/>
                <w:lang w:val="ro-RO" w:eastAsia="ro-MD"/>
              </w:rPr>
            </w:pPr>
          </w:p>
          <w:p w14:paraId="0A3F14CC" w14:textId="77777777" w:rsidR="00D62F3C" w:rsidRDefault="00337B13" w:rsidP="00337B13">
            <w:pPr>
              <w:pStyle w:val="CM4"/>
              <w:tabs>
                <w:tab w:val="left" w:pos="150"/>
              </w:tabs>
              <w:ind w:left="-36"/>
              <w:rPr>
                <w:rFonts w:ascii="Times New Roman" w:hAnsi="Times New Roman"/>
                <w:color w:val="000000" w:themeColor="text1"/>
                <w:sz w:val="20"/>
                <w:szCs w:val="20"/>
                <w:lang w:val="ro-RO" w:eastAsia="ro-MD"/>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6</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În cazul unei expuneri cu protecție nefinanțată a creditului pentru care o bancă aplică abordarea IRB, fără a utiliza însă propriile estimări ale LGD, și în cazul în care expunerile directe comparabile față de furnizorul de protecție sunt tratate în conformitate cu abordarea IRB prevăzută în actul normativ al Băncii Naționale a Moldovei aferent tratamentului riscului de credit pentru bănci potrivit abordării bazate pe modele interne de rating, banca determină partea garantată a expunerii ca fiind cea mai mică dintre valoarea expunerii (E) și valoarea ajustată a protecției nefinanțate a creditului (G</w:t>
            </w:r>
            <w:r w:rsidRPr="005C3300">
              <w:rPr>
                <w:rFonts w:ascii="Times New Roman" w:hAnsi="Times New Roman"/>
                <w:color w:val="000000" w:themeColor="text1"/>
                <w:sz w:val="20"/>
                <w:szCs w:val="20"/>
                <w:vertAlign w:val="subscript"/>
                <w:lang w:val="ro-RO" w:eastAsia="ro-MD"/>
              </w:rPr>
              <w:t>A</w:t>
            </w:r>
            <w:r w:rsidRPr="005C3300">
              <w:rPr>
                <w:rFonts w:ascii="Times New Roman" w:hAnsi="Times New Roman"/>
                <w:color w:val="000000" w:themeColor="text1"/>
                <w:sz w:val="20"/>
                <w:szCs w:val="20"/>
                <w:lang w:val="ro-RO" w:eastAsia="ro-MD"/>
              </w:rPr>
              <w:t>).</w:t>
            </w:r>
          </w:p>
          <w:p w14:paraId="758FF23F" w14:textId="310D7DAC" w:rsidR="00337B13" w:rsidRPr="00337B13" w:rsidRDefault="00337B13" w:rsidP="00337B13">
            <w:pPr>
              <w:spacing w:before="120" w:after="0"/>
              <w:rPr>
                <w:lang w:val="ro-RO" w:eastAsia="ro-MD"/>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E4D4CA1" w14:textId="03474652" w:rsidR="00D62F3C" w:rsidRPr="002C32BA" w:rsidRDefault="00EE2EFB"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66818C23" w14:textId="60617215" w:rsidR="00D62F3C" w:rsidRPr="002C32BA" w:rsidRDefault="00D62F3C" w:rsidP="00D62F3C">
            <w:pPr>
              <w:rPr>
                <w:rFonts w:ascii="Times New Roman" w:hAnsi="Times New Roman" w:cs="Times New Roman"/>
                <w:sz w:val="20"/>
                <w:szCs w:val="20"/>
                <w:lang w:val="ro-RO"/>
              </w:rPr>
            </w:pPr>
          </w:p>
        </w:tc>
      </w:tr>
      <w:tr w:rsidR="002A4B49" w:rsidRPr="002C32BA" w14:paraId="7A878B4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24202853" w14:textId="78CB1A6C" w:rsidR="002A4B49" w:rsidRPr="006B79A1" w:rsidRDefault="002A4B49" w:rsidP="002A4B49">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(1a)   Instituțiile care aplică abordarea IRB expunerilor directe comparabile față de furnizorul de protecție utilizând propriile estimări ale PD calculează cuantumul ponderat la risc al expunerii și cuantumul pierderii așteptate pentru partea garantată a valorii expunerii utilizând PD a furnizorului de protecție și LGD aplicabilă pentru o expunere directă comparabilă față de furnizorul de protecție, astfel cum se menționează la articolul 161 alineatul (1), în conformitate cu alineatul (1b) din prezentul articol. Pentru expunerile subordonate și protecția nefinanțată a creditului nesubordonată, LGD care trebuie aplicată de către instituții părții garantate a valorii expunerii este LGD asociată creanțelor cu rang prioritar, iar instituțiile pot ține seama de orice protecție finanțată a creditului care garantează protecția nefinanțată a creditului în conformitate cu prezentul capitol.</w:t>
            </w:r>
          </w:p>
        </w:tc>
        <w:tc>
          <w:tcPr>
            <w:tcW w:w="1636" w:type="pct"/>
            <w:shd w:val="clear" w:color="auto" w:fill="auto"/>
          </w:tcPr>
          <w:p w14:paraId="6F378D07" w14:textId="2F42C6EF" w:rsidR="002A4B49" w:rsidRDefault="00337B13" w:rsidP="002A4B49">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7</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care aplică abordarea IRB expunerilor directe comparabile față de furnizorul de protecție utilizând propriile estimări ale PD calculează cuantumul ponderat la risc al expunerii și cuantumul pierderii așteptate pentru partea garantată a valorii expunerii utilizând PD a furnizorului de protecție și LGD aplicabilă pentru o expunere directă comparabilă față de furnizorul de protecție, astfel cum se menționează în </w:t>
            </w:r>
            <w:proofErr w:type="spellStart"/>
            <w:r w:rsidRPr="005C3300">
              <w:rPr>
                <w:rFonts w:ascii="Times New Roman" w:hAnsi="Times New Roman"/>
                <w:color w:val="000000" w:themeColor="text1"/>
                <w:sz w:val="20"/>
                <w:szCs w:val="20"/>
              </w:rPr>
              <w:t>actul</w:t>
            </w:r>
            <w:proofErr w:type="spellEnd"/>
            <w:r w:rsidRPr="005C3300">
              <w:rPr>
                <w:rFonts w:ascii="Times New Roman" w:hAnsi="Times New Roman"/>
                <w:color w:val="000000" w:themeColor="text1"/>
                <w:sz w:val="20"/>
                <w:szCs w:val="20"/>
              </w:rPr>
              <w:t xml:space="preserve"> </w:t>
            </w:r>
            <w:proofErr w:type="spellStart"/>
            <w:r w:rsidRPr="005C3300">
              <w:rPr>
                <w:rFonts w:ascii="Times New Roman" w:hAnsi="Times New Roman"/>
                <w:color w:val="000000" w:themeColor="text1"/>
                <w:sz w:val="20"/>
                <w:szCs w:val="20"/>
              </w:rPr>
              <w:t>normativ</w:t>
            </w:r>
            <w:proofErr w:type="spellEnd"/>
            <w:r w:rsidRPr="005C3300">
              <w:rPr>
                <w:rFonts w:ascii="Times New Roman" w:hAnsi="Times New Roman"/>
                <w:color w:val="000000" w:themeColor="text1"/>
                <w:sz w:val="20"/>
                <w:szCs w:val="20"/>
              </w:rPr>
              <w:t xml:space="preserve"> al Băncii </w:t>
            </w:r>
            <w:proofErr w:type="spellStart"/>
            <w:r w:rsidRPr="005C3300">
              <w:rPr>
                <w:rFonts w:ascii="Times New Roman" w:hAnsi="Times New Roman"/>
                <w:color w:val="000000" w:themeColor="text1"/>
                <w:sz w:val="20"/>
                <w:szCs w:val="20"/>
              </w:rPr>
              <w:t>Naționale</w:t>
            </w:r>
            <w:proofErr w:type="spellEnd"/>
            <w:r w:rsidRPr="005C3300">
              <w:rPr>
                <w:rFonts w:ascii="Times New Roman" w:hAnsi="Times New Roman"/>
                <w:color w:val="000000" w:themeColor="text1"/>
                <w:sz w:val="20"/>
                <w:szCs w:val="20"/>
              </w:rPr>
              <w:t xml:space="preserve"> a </w:t>
            </w:r>
            <w:proofErr w:type="spellStart"/>
            <w:r w:rsidRPr="005C3300">
              <w:rPr>
                <w:rFonts w:ascii="Times New Roman" w:hAnsi="Times New Roman"/>
                <w:color w:val="000000" w:themeColor="text1"/>
                <w:sz w:val="20"/>
                <w:szCs w:val="20"/>
              </w:rPr>
              <w:t>Moldovei</w:t>
            </w:r>
            <w:proofErr w:type="spellEnd"/>
            <w:r w:rsidRPr="005C3300">
              <w:rPr>
                <w:rFonts w:ascii="Times New Roman" w:hAnsi="Times New Roman"/>
                <w:color w:val="000000" w:themeColor="text1"/>
                <w:sz w:val="20"/>
                <w:szCs w:val="20"/>
              </w:rPr>
              <w:t xml:space="preserve"> </w:t>
            </w:r>
            <w:proofErr w:type="spellStart"/>
            <w:r w:rsidRPr="005C3300">
              <w:rPr>
                <w:rFonts w:ascii="Times New Roman" w:hAnsi="Times New Roman"/>
                <w:color w:val="000000" w:themeColor="text1"/>
                <w:sz w:val="20"/>
                <w:szCs w:val="20"/>
              </w:rPr>
              <w:t>aferent</w:t>
            </w:r>
            <w:proofErr w:type="spellEnd"/>
            <w:r w:rsidRPr="005C3300">
              <w:rPr>
                <w:rFonts w:ascii="Times New Roman" w:hAnsi="Times New Roman"/>
                <w:color w:val="000000" w:themeColor="text1"/>
                <w:sz w:val="20"/>
                <w:szCs w:val="20"/>
              </w:rPr>
              <w:t xml:space="preserve"> </w:t>
            </w:r>
            <w:proofErr w:type="spellStart"/>
            <w:r w:rsidRPr="005C3300">
              <w:rPr>
                <w:rFonts w:ascii="Times New Roman" w:hAnsi="Times New Roman"/>
                <w:color w:val="000000" w:themeColor="text1"/>
                <w:sz w:val="20"/>
                <w:szCs w:val="20"/>
              </w:rPr>
              <w:t>tratamentului</w:t>
            </w:r>
            <w:proofErr w:type="spellEnd"/>
            <w:r w:rsidRPr="005C3300">
              <w:rPr>
                <w:rFonts w:ascii="Times New Roman" w:hAnsi="Times New Roman"/>
                <w:color w:val="000000" w:themeColor="text1"/>
                <w:sz w:val="20"/>
                <w:szCs w:val="20"/>
              </w:rPr>
              <w:t xml:space="preserve"> </w:t>
            </w:r>
            <w:proofErr w:type="spellStart"/>
            <w:r w:rsidRPr="005C3300">
              <w:rPr>
                <w:rFonts w:ascii="Times New Roman" w:hAnsi="Times New Roman"/>
                <w:color w:val="000000" w:themeColor="text1"/>
                <w:sz w:val="20"/>
                <w:szCs w:val="20"/>
              </w:rPr>
              <w:t>riscului</w:t>
            </w:r>
            <w:proofErr w:type="spellEnd"/>
            <w:r w:rsidRPr="005C3300">
              <w:rPr>
                <w:rFonts w:ascii="Times New Roman" w:hAnsi="Times New Roman"/>
                <w:color w:val="000000" w:themeColor="text1"/>
                <w:sz w:val="20"/>
                <w:szCs w:val="20"/>
              </w:rPr>
              <w:t xml:space="preserve"> de credit </w:t>
            </w:r>
            <w:proofErr w:type="spellStart"/>
            <w:r w:rsidRPr="005C3300">
              <w:rPr>
                <w:rFonts w:ascii="Times New Roman" w:hAnsi="Times New Roman"/>
                <w:color w:val="000000" w:themeColor="text1"/>
                <w:sz w:val="20"/>
                <w:szCs w:val="20"/>
              </w:rPr>
              <w:t>pentru</w:t>
            </w:r>
            <w:proofErr w:type="spellEnd"/>
            <w:r w:rsidRPr="005C3300">
              <w:rPr>
                <w:rFonts w:ascii="Times New Roman" w:hAnsi="Times New Roman"/>
                <w:color w:val="000000" w:themeColor="text1"/>
                <w:sz w:val="20"/>
                <w:szCs w:val="20"/>
              </w:rPr>
              <w:t xml:space="preserve"> </w:t>
            </w:r>
            <w:proofErr w:type="spellStart"/>
            <w:r w:rsidRPr="005C3300">
              <w:rPr>
                <w:rFonts w:ascii="Times New Roman" w:hAnsi="Times New Roman"/>
                <w:color w:val="000000" w:themeColor="text1"/>
                <w:sz w:val="20"/>
                <w:szCs w:val="20"/>
              </w:rPr>
              <w:t>bănci</w:t>
            </w:r>
            <w:proofErr w:type="spellEnd"/>
            <w:r w:rsidRPr="005C3300">
              <w:rPr>
                <w:rFonts w:ascii="Times New Roman" w:hAnsi="Times New Roman"/>
                <w:color w:val="000000" w:themeColor="text1"/>
                <w:sz w:val="20"/>
                <w:szCs w:val="20"/>
              </w:rPr>
              <w:t xml:space="preserve"> </w:t>
            </w:r>
            <w:proofErr w:type="spellStart"/>
            <w:r w:rsidRPr="005C3300">
              <w:rPr>
                <w:rFonts w:ascii="Times New Roman" w:hAnsi="Times New Roman"/>
                <w:color w:val="000000" w:themeColor="text1"/>
                <w:sz w:val="20"/>
                <w:szCs w:val="20"/>
              </w:rPr>
              <w:t>potrivit</w:t>
            </w:r>
            <w:proofErr w:type="spellEnd"/>
            <w:r w:rsidRPr="005C3300">
              <w:rPr>
                <w:rFonts w:ascii="Times New Roman" w:hAnsi="Times New Roman"/>
                <w:color w:val="000000" w:themeColor="text1"/>
                <w:sz w:val="20"/>
                <w:szCs w:val="20"/>
              </w:rPr>
              <w:t xml:space="preserve"> </w:t>
            </w:r>
            <w:proofErr w:type="spellStart"/>
            <w:r w:rsidRPr="005C3300">
              <w:rPr>
                <w:rFonts w:ascii="Times New Roman" w:hAnsi="Times New Roman"/>
                <w:color w:val="000000" w:themeColor="text1"/>
                <w:sz w:val="20"/>
                <w:szCs w:val="20"/>
              </w:rPr>
              <w:t>abordării</w:t>
            </w:r>
            <w:proofErr w:type="spellEnd"/>
            <w:r w:rsidRPr="005C3300">
              <w:rPr>
                <w:rFonts w:ascii="Times New Roman" w:hAnsi="Times New Roman"/>
                <w:color w:val="000000" w:themeColor="text1"/>
                <w:sz w:val="20"/>
                <w:szCs w:val="20"/>
              </w:rPr>
              <w:t xml:space="preserve"> </w:t>
            </w:r>
            <w:proofErr w:type="spellStart"/>
            <w:r w:rsidRPr="005C3300">
              <w:rPr>
                <w:rFonts w:ascii="Times New Roman" w:hAnsi="Times New Roman"/>
                <w:color w:val="000000" w:themeColor="text1"/>
                <w:sz w:val="20"/>
                <w:szCs w:val="20"/>
              </w:rPr>
              <w:t>bazate</w:t>
            </w:r>
            <w:proofErr w:type="spellEnd"/>
            <w:r w:rsidRPr="005C3300">
              <w:rPr>
                <w:rFonts w:ascii="Times New Roman" w:hAnsi="Times New Roman"/>
                <w:color w:val="000000" w:themeColor="text1"/>
                <w:sz w:val="20"/>
                <w:szCs w:val="20"/>
              </w:rPr>
              <w:t xml:space="preserve"> pe </w:t>
            </w:r>
            <w:proofErr w:type="spellStart"/>
            <w:r w:rsidRPr="005C3300">
              <w:rPr>
                <w:rFonts w:ascii="Times New Roman" w:hAnsi="Times New Roman"/>
                <w:color w:val="000000" w:themeColor="text1"/>
                <w:sz w:val="20"/>
                <w:szCs w:val="20"/>
              </w:rPr>
              <w:t>modele</w:t>
            </w:r>
            <w:proofErr w:type="spellEnd"/>
            <w:r w:rsidRPr="005C3300">
              <w:rPr>
                <w:rFonts w:ascii="Times New Roman" w:hAnsi="Times New Roman"/>
                <w:color w:val="000000" w:themeColor="text1"/>
                <w:sz w:val="20"/>
                <w:szCs w:val="20"/>
              </w:rPr>
              <w:t xml:space="preserve"> interne de rating</w:t>
            </w:r>
            <w:r w:rsidRPr="005C3300">
              <w:rPr>
                <w:rFonts w:ascii="Times New Roman" w:hAnsi="Times New Roman"/>
                <w:color w:val="000000" w:themeColor="text1"/>
                <w:sz w:val="20"/>
                <w:szCs w:val="20"/>
                <w:lang w:val="ro-RO" w:eastAsia="ro-MD"/>
              </w:rPr>
              <w:t>, în conformitate cu punctul 116</w:t>
            </w:r>
            <w:r w:rsidRPr="005C3300">
              <w:rPr>
                <w:rFonts w:ascii="Times New Roman" w:hAnsi="Times New Roman"/>
                <w:color w:val="000000" w:themeColor="text1"/>
                <w:sz w:val="20"/>
                <w:szCs w:val="20"/>
                <w:vertAlign w:val="superscript"/>
                <w:lang w:val="ro-RO" w:eastAsia="ro-MD"/>
              </w:rPr>
              <w:t>8</w:t>
            </w:r>
            <w:r w:rsidRPr="005C3300">
              <w:rPr>
                <w:rFonts w:ascii="Times New Roman" w:hAnsi="Times New Roman"/>
                <w:color w:val="000000" w:themeColor="text1"/>
                <w:sz w:val="20"/>
                <w:szCs w:val="20"/>
                <w:lang w:val="ro-RO" w:eastAsia="ro-MD"/>
              </w:rPr>
              <w:t>. Pentru expunerile subordonate și protecția nefinanțată a creditului nesubordonată, LGD care trebuie aplicată de către bănci părții garantate a valorii expunerii este LGD asociată creanțelor cu rang prioritar, iar băncile pot ține seama de orice protecție finanțată a creditului care garantează protecția nefinanțată a creditului în conformitate cu prezentul capitol.</w:t>
            </w:r>
          </w:p>
          <w:p w14:paraId="00B7AC62" w14:textId="45A7535B" w:rsidR="00337B13" w:rsidRPr="00337B13" w:rsidRDefault="00337B13" w:rsidP="00337B13">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15CCFDE" w14:textId="75719840" w:rsidR="002A4B49" w:rsidRPr="002C32BA" w:rsidRDefault="002A4B49" w:rsidP="002A4B49">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009F4E32" w14:textId="77777777" w:rsidR="002A4B49" w:rsidRPr="002C32BA" w:rsidRDefault="002A4B49" w:rsidP="002A4B49">
            <w:pPr>
              <w:rPr>
                <w:rFonts w:ascii="Times New Roman" w:hAnsi="Times New Roman" w:cs="Times New Roman"/>
                <w:sz w:val="20"/>
                <w:szCs w:val="20"/>
                <w:lang w:val="ro-RO"/>
              </w:rPr>
            </w:pPr>
          </w:p>
        </w:tc>
      </w:tr>
      <w:tr w:rsidR="002A4B49" w:rsidRPr="002C32BA" w14:paraId="3D7417A1"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4B3B0D1C" w14:textId="22718A15" w:rsidR="002A4B49" w:rsidRPr="006B79A1" w:rsidRDefault="002A4B49" w:rsidP="002A4B49">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(1b)   Instituțiile calculează ponderea de risc și pierderea așteptată aplicabile părții garantate a expunerii-suport utilizând PD, LGD specificată la alineatul (1a) din prezentul articol și aceeași funcție de ponderare a riscului ca cele utilizate pentru o expunere directă comparabilă față de furnizorul de protecție și, dacă este cazul, utilizează scadența (M) aferentă expunerii-suport, calculată în conformitate cu articolul 162.</w:t>
            </w:r>
          </w:p>
        </w:tc>
        <w:tc>
          <w:tcPr>
            <w:tcW w:w="1636" w:type="pct"/>
            <w:shd w:val="clear" w:color="auto" w:fill="auto"/>
          </w:tcPr>
          <w:p w14:paraId="36EEA267" w14:textId="151700A6" w:rsidR="002A4B49" w:rsidRDefault="001E299A" w:rsidP="002A4B49">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8</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calculează ponderea de risc și pierderea așteptată aplicabile părții garantate a expunerii-suport utilizând PD, LGD specificată la punctul 116</w:t>
            </w:r>
            <w:r w:rsidRPr="005C3300">
              <w:rPr>
                <w:rFonts w:ascii="Times New Roman" w:hAnsi="Times New Roman"/>
                <w:color w:val="000000" w:themeColor="text1"/>
                <w:sz w:val="20"/>
                <w:szCs w:val="20"/>
                <w:vertAlign w:val="superscript"/>
                <w:lang w:val="ro-RO" w:eastAsia="ro-MD"/>
              </w:rPr>
              <w:t>7</w:t>
            </w:r>
            <w:r w:rsidRPr="005C3300">
              <w:rPr>
                <w:rFonts w:ascii="Times New Roman" w:hAnsi="Times New Roman"/>
                <w:color w:val="000000" w:themeColor="text1"/>
                <w:sz w:val="20"/>
                <w:szCs w:val="20"/>
                <w:lang w:val="ro-RO" w:eastAsia="ro-MD"/>
              </w:rPr>
              <w:t xml:space="preserve"> și aceeași funcție de ponderare a riscului ca cele utilizate pentru o expunere directă comparabilă față de furnizorul de protecție și, dacă este cazul, utilizează scadența (M) aferentă expunerii-suport, calculată în conformitate cu actul normativ al Băncii Naționale a Moldovei aferent tratamentului riscului de credit pentru bănci potrivit abordării bazate pe modele interne de rating</w:t>
            </w:r>
            <w:r>
              <w:rPr>
                <w:rFonts w:ascii="Times New Roman" w:hAnsi="Times New Roman"/>
                <w:color w:val="000000" w:themeColor="text1"/>
                <w:sz w:val="20"/>
                <w:szCs w:val="20"/>
                <w:lang w:val="ro-RO" w:eastAsia="ro-MD"/>
              </w:rPr>
              <w:t>.</w:t>
            </w:r>
          </w:p>
          <w:p w14:paraId="3372CEFA" w14:textId="7BD909A1" w:rsidR="00337B13" w:rsidRPr="00337B13" w:rsidRDefault="00337B13" w:rsidP="00337B13">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567B248F" w14:textId="21EAD12E" w:rsidR="002A4B49" w:rsidRPr="002C32BA" w:rsidRDefault="002A4B49" w:rsidP="002A4B49">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4D3676B0" w14:textId="77777777" w:rsidR="002A4B49" w:rsidRPr="002C32BA" w:rsidRDefault="002A4B49" w:rsidP="002A4B49">
            <w:pPr>
              <w:rPr>
                <w:rFonts w:ascii="Times New Roman" w:hAnsi="Times New Roman" w:cs="Times New Roman"/>
                <w:sz w:val="20"/>
                <w:szCs w:val="20"/>
                <w:lang w:val="ro-RO"/>
              </w:rPr>
            </w:pPr>
          </w:p>
        </w:tc>
      </w:tr>
      <w:tr w:rsidR="00337B13" w:rsidRPr="002C32BA" w14:paraId="229409B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3A87D781" w14:textId="575706E3" w:rsidR="00337B13" w:rsidRPr="006B79A1" w:rsidRDefault="00337B13" w:rsidP="00337B13">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(1c)   Instituțiile care aplică abordarea IRB expunerilor directe comparabile față de furnizorul de protecție utilizând metoda prevăzută la articolul 153 alineatul (5) utilizează ponderea de risc și pierderea așteptată aplicabile părții garantate a expunerii care corespund celor prevăzute la articolul 153 alineatul (5) și la articolul 158 alineatul (6).</w:t>
            </w:r>
          </w:p>
        </w:tc>
        <w:tc>
          <w:tcPr>
            <w:tcW w:w="1636" w:type="pct"/>
            <w:shd w:val="clear" w:color="auto" w:fill="auto"/>
          </w:tcPr>
          <w:p w14:paraId="57E6F4E3" w14:textId="18A2076E" w:rsidR="00337B13" w:rsidRDefault="001E299A" w:rsidP="00337B13">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9</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care aplică abordarea IRB expunerilor directe comparabile față de furnizorul de protecție utilizând metoda aplicabilă determinării vaporii ponderate la risc pentru expunerile provenind din finanțări specializate prevăzută în</w:t>
            </w:r>
            <w:r w:rsidRPr="005C3300">
              <w:rPr>
                <w:color w:val="000000" w:themeColor="text1"/>
                <w:sz w:val="20"/>
                <w:szCs w:val="20"/>
              </w:rPr>
              <w:t xml:space="preserve"> </w:t>
            </w:r>
            <w:r w:rsidRPr="005C3300">
              <w:rPr>
                <w:rFonts w:ascii="Times New Roman" w:hAnsi="Times New Roman"/>
                <w:color w:val="000000" w:themeColor="text1"/>
                <w:sz w:val="20"/>
                <w:szCs w:val="20"/>
                <w:lang w:val="ro-RO" w:eastAsia="ro-MD"/>
              </w:rPr>
              <w:t>actul normativ al Băncii Naționale a Moldovei aferent tratamentului riscului de credit pentru bănci potrivit abordării bazate pe modele interne de rating</w:t>
            </w:r>
            <w:r>
              <w:rPr>
                <w:rFonts w:ascii="Times New Roman" w:hAnsi="Times New Roman"/>
                <w:color w:val="000000" w:themeColor="text1"/>
                <w:sz w:val="20"/>
                <w:szCs w:val="20"/>
                <w:lang w:val="ro-RO" w:eastAsia="ro-MD"/>
              </w:rPr>
              <w:t xml:space="preserve"> </w:t>
            </w:r>
            <w:r w:rsidRPr="005C3300">
              <w:rPr>
                <w:rFonts w:ascii="Times New Roman" w:hAnsi="Times New Roman"/>
                <w:color w:val="000000" w:themeColor="text1"/>
                <w:sz w:val="20"/>
                <w:szCs w:val="20"/>
                <w:lang w:val="ro-RO" w:eastAsia="ro-MD"/>
              </w:rPr>
              <w:t xml:space="preserve">utilizează ponderea de risc și pierderea așteptată aplicabile părții garantate a expunerii care corespund </w:t>
            </w:r>
            <w:proofErr w:type="spellStart"/>
            <w:r w:rsidRPr="005C3300">
              <w:rPr>
                <w:rFonts w:ascii="Times New Roman" w:hAnsi="Times New Roman" w:hint="eastAsia"/>
                <w:color w:val="000000" w:themeColor="text1"/>
                <w:sz w:val="20"/>
                <w:szCs w:val="20"/>
                <w:lang w:eastAsia="ro-MD"/>
              </w:rPr>
              <w:t>expuneril</w:t>
            </w:r>
            <w:r w:rsidRPr="005C3300">
              <w:rPr>
                <w:rFonts w:ascii="Times New Roman" w:hAnsi="Times New Roman"/>
                <w:color w:val="000000" w:themeColor="text1"/>
                <w:sz w:val="20"/>
                <w:szCs w:val="20"/>
                <w:lang w:eastAsia="ro-MD"/>
              </w:rPr>
              <w:t>or</w:t>
            </w:r>
            <w:proofErr w:type="spellEnd"/>
            <w:r w:rsidRPr="005C3300">
              <w:rPr>
                <w:rFonts w:ascii="Times New Roman" w:hAnsi="Times New Roman" w:hint="eastAsia"/>
                <w:color w:val="000000" w:themeColor="text1"/>
                <w:sz w:val="20"/>
                <w:szCs w:val="20"/>
                <w:lang w:eastAsia="ro-MD"/>
              </w:rPr>
              <w:t xml:space="preserve"> </w:t>
            </w:r>
            <w:proofErr w:type="spellStart"/>
            <w:r w:rsidRPr="005C3300">
              <w:rPr>
                <w:rFonts w:ascii="Times New Roman" w:hAnsi="Times New Roman" w:hint="eastAsia"/>
                <w:color w:val="000000" w:themeColor="text1"/>
                <w:sz w:val="20"/>
                <w:szCs w:val="20"/>
                <w:lang w:eastAsia="ro-MD"/>
              </w:rPr>
              <w:t>provenind</w:t>
            </w:r>
            <w:proofErr w:type="spellEnd"/>
            <w:r w:rsidRPr="005C3300">
              <w:rPr>
                <w:rFonts w:ascii="Times New Roman" w:hAnsi="Times New Roman" w:hint="eastAsia"/>
                <w:color w:val="000000" w:themeColor="text1"/>
                <w:sz w:val="20"/>
                <w:szCs w:val="20"/>
                <w:lang w:eastAsia="ro-MD"/>
              </w:rPr>
              <w:t xml:space="preserve"> din </w:t>
            </w:r>
            <w:proofErr w:type="spellStart"/>
            <w:r w:rsidRPr="005C3300">
              <w:rPr>
                <w:rFonts w:ascii="Times New Roman" w:hAnsi="Times New Roman" w:hint="eastAsia"/>
                <w:color w:val="000000" w:themeColor="text1"/>
                <w:sz w:val="20"/>
                <w:szCs w:val="20"/>
                <w:lang w:eastAsia="ro-MD"/>
              </w:rPr>
              <w:t>finanțări</w:t>
            </w:r>
            <w:proofErr w:type="spellEnd"/>
            <w:r w:rsidRPr="005C3300">
              <w:rPr>
                <w:rFonts w:ascii="Times New Roman" w:hAnsi="Times New Roman" w:hint="eastAsia"/>
                <w:color w:val="000000" w:themeColor="text1"/>
                <w:sz w:val="20"/>
                <w:szCs w:val="20"/>
                <w:lang w:eastAsia="ro-MD"/>
              </w:rPr>
              <w:t xml:space="preserve"> </w:t>
            </w:r>
            <w:proofErr w:type="spellStart"/>
            <w:r w:rsidRPr="005C3300">
              <w:rPr>
                <w:rFonts w:ascii="Times New Roman" w:hAnsi="Times New Roman" w:hint="eastAsia"/>
                <w:color w:val="000000" w:themeColor="text1"/>
                <w:sz w:val="20"/>
                <w:szCs w:val="20"/>
                <w:lang w:eastAsia="ro-MD"/>
              </w:rPr>
              <w:t>specializate</w:t>
            </w:r>
            <w:proofErr w:type="spellEnd"/>
            <w:r w:rsidRPr="005C3300">
              <w:rPr>
                <w:rFonts w:ascii="Times New Roman" w:hAnsi="Times New Roman"/>
                <w:color w:val="000000" w:themeColor="text1"/>
                <w:sz w:val="20"/>
                <w:szCs w:val="20"/>
                <w:lang w:eastAsia="ro-MD"/>
              </w:rPr>
              <w:t xml:space="preserve"> </w:t>
            </w:r>
            <w:r w:rsidRPr="005C3300">
              <w:rPr>
                <w:rFonts w:ascii="Times New Roman" w:hAnsi="Times New Roman"/>
                <w:color w:val="000000" w:themeColor="text1"/>
                <w:sz w:val="20"/>
                <w:szCs w:val="20"/>
                <w:lang w:val="ro-RO" w:eastAsia="ro-MD"/>
              </w:rPr>
              <w:t>prevăzute în actul normativ menționat</w:t>
            </w:r>
            <w:r>
              <w:rPr>
                <w:rFonts w:ascii="Times New Roman" w:hAnsi="Times New Roman"/>
                <w:color w:val="000000" w:themeColor="text1"/>
                <w:sz w:val="20"/>
                <w:szCs w:val="20"/>
                <w:lang w:val="ro-RO" w:eastAsia="ro-MD"/>
              </w:rPr>
              <w:t>.</w:t>
            </w:r>
          </w:p>
          <w:p w14:paraId="086354A5" w14:textId="524D83F4" w:rsidR="00337B13" w:rsidRPr="00337B13" w:rsidRDefault="00337B13" w:rsidP="001E299A">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65B2FD2E" w14:textId="486783FD" w:rsidR="00337B13" w:rsidRPr="002C32BA" w:rsidRDefault="00337B13" w:rsidP="00337B13">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1EA7B33E" w14:textId="77777777" w:rsidR="00337B13" w:rsidRPr="002C32BA" w:rsidRDefault="00337B13" w:rsidP="00337B13">
            <w:pPr>
              <w:rPr>
                <w:rFonts w:ascii="Times New Roman" w:hAnsi="Times New Roman" w:cs="Times New Roman"/>
                <w:sz w:val="20"/>
                <w:szCs w:val="20"/>
                <w:lang w:val="ro-RO"/>
              </w:rPr>
            </w:pPr>
          </w:p>
        </w:tc>
      </w:tr>
      <w:tr w:rsidR="00337B13" w:rsidRPr="002C32BA" w14:paraId="08D23E98"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393B25DB" w14:textId="1A83820D" w:rsidR="00337B13" w:rsidRPr="006B79A1" w:rsidRDefault="00337B13" w:rsidP="00337B13">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(1d)   În pofida alineatului (1c) din prezentul articol, instituțiile care aplică abordarea IRB expunerilor garantate utilizând metoda prevăzută la articolul 153 alineatul (5) calculează ponderea de risc și pierderea așteptată aplicabile părții garantate a expunerii utilizând PD, LGD aplicabilă unei expuneri directe comparabile față de furnizorul de protecție, astfel cum se menționează la articolul 161 alineatul (1), în conformitate cu alineatul (1b) din prezentul articol, și aceeași funcție de ponderare a riscului ca cele utilizate pentru o expunere directă comparabilă față de furnizorul de protecție și, dacă este cazul, utilizează scadența (M) aferentă expunerii-suport, calculată în conformitate cu articolul 162. Pentru expunerile subordonate și protecția nefinanțată a creditului nesubordonată, LGD care trebuie aplicată de către instituții părții garantate a valorii expunerii este LGD asociată creanțelor cu rang prioritar, iar instituțiile pot ține seama de orice protecție finanțată a creditului care garantează protecția nefinanțată a creditului în conformitate cu prezentul capitol.</w:t>
            </w:r>
          </w:p>
        </w:tc>
        <w:tc>
          <w:tcPr>
            <w:tcW w:w="1636" w:type="pct"/>
            <w:shd w:val="clear" w:color="auto" w:fill="auto"/>
          </w:tcPr>
          <w:p w14:paraId="66228BB5" w14:textId="67F67158" w:rsidR="00337B13" w:rsidRDefault="001E299A" w:rsidP="00337B13">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10</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În pofida punctului 116</w:t>
            </w:r>
            <w:r w:rsidRPr="005C3300">
              <w:rPr>
                <w:rFonts w:ascii="Times New Roman" w:hAnsi="Times New Roman"/>
                <w:color w:val="000000" w:themeColor="text1"/>
                <w:sz w:val="20"/>
                <w:szCs w:val="20"/>
                <w:vertAlign w:val="superscript"/>
                <w:lang w:val="ro-RO" w:eastAsia="ro-MD"/>
              </w:rPr>
              <w:t>9</w:t>
            </w:r>
            <w:r w:rsidRPr="005C3300">
              <w:rPr>
                <w:rFonts w:ascii="Times New Roman" w:hAnsi="Times New Roman"/>
                <w:color w:val="000000" w:themeColor="text1"/>
                <w:sz w:val="20"/>
                <w:szCs w:val="20"/>
                <w:lang w:val="ro-RO" w:eastAsia="ro-MD"/>
              </w:rPr>
              <w:t>, băncile care aplică abordarea IRB expunerilor garantate utilizând metoda aplicabilă determinării vaporii ponderate la risc pentru expunerile provenind din finanțări specializate prevăzută în</w:t>
            </w:r>
            <w:r w:rsidRPr="005C3300">
              <w:rPr>
                <w:color w:val="000000" w:themeColor="text1"/>
                <w:sz w:val="20"/>
                <w:szCs w:val="20"/>
              </w:rPr>
              <w:t xml:space="preserve"> </w:t>
            </w:r>
            <w:r w:rsidRPr="005C3300">
              <w:rPr>
                <w:rFonts w:ascii="Times New Roman" w:hAnsi="Times New Roman"/>
                <w:color w:val="000000" w:themeColor="text1"/>
                <w:sz w:val="20"/>
                <w:szCs w:val="20"/>
                <w:lang w:val="ro-RO" w:eastAsia="ro-MD"/>
              </w:rPr>
              <w:t>actul normativ al Băncii Naționale a Moldovei aferent tratamentului riscului de credit pentru bănci potrivit abordării bazate pe modele interne de rating calculează ponderea de risc și pierderea așteptată aplicabile părții garantate a expunerii utilizând PD, LGD aplicabilă unei expuneri directe comparabile față de furnizorul de protecție, astfel cum se menționează în actul normativ al Băncii Naționale a Moldovei aferent tratamentului riscului de credit pentru bănci potrivit abordării bazate pe modele interne de rating, în conformitate cu punctul 116</w:t>
            </w:r>
            <w:r w:rsidRPr="005C3300">
              <w:rPr>
                <w:rFonts w:ascii="Times New Roman" w:hAnsi="Times New Roman"/>
                <w:color w:val="000000" w:themeColor="text1"/>
                <w:sz w:val="20"/>
                <w:szCs w:val="20"/>
                <w:vertAlign w:val="superscript"/>
                <w:lang w:val="ro-RO" w:eastAsia="ro-MD"/>
              </w:rPr>
              <w:t>8</w:t>
            </w:r>
            <w:r w:rsidRPr="005C3300">
              <w:rPr>
                <w:rFonts w:ascii="Times New Roman" w:hAnsi="Times New Roman"/>
                <w:color w:val="000000" w:themeColor="text1"/>
                <w:sz w:val="20"/>
                <w:szCs w:val="20"/>
                <w:lang w:val="ro-RO" w:eastAsia="ro-MD"/>
              </w:rPr>
              <w:t>, și aceeași funcție de ponderare a riscului ca cele utilizate pentru o expunere directă comparabilă față de furnizorul de protecție și, dacă este cazul, utilizează scadența (M) aferentă expunerii-suport, calculată în conformitate cu. Pentru expunerile subordonate și protecția nefinanțată a creditului nesubordonată, LGD care trebuie aplicată de către bănci părții garantate a valorii expunerii este LGD asociată creanțelor cu rang prioritar, iar băncile pot ține seama de orice protecție finanțată a creditului care garantează protecția nefinanțată a creditului în conformitate cu prezentul regulament.</w:t>
            </w:r>
          </w:p>
          <w:p w14:paraId="2D281847" w14:textId="56569B96" w:rsidR="00337B13" w:rsidRPr="00337B13" w:rsidRDefault="00337B13" w:rsidP="001E299A">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76382DD6" w14:textId="463F562E" w:rsidR="00337B13" w:rsidRPr="002C32BA" w:rsidRDefault="00337B13" w:rsidP="00337B13">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644366F9" w14:textId="77777777" w:rsidR="00337B13" w:rsidRPr="002C32BA" w:rsidRDefault="00337B13" w:rsidP="00337B13">
            <w:pPr>
              <w:rPr>
                <w:rFonts w:ascii="Times New Roman" w:hAnsi="Times New Roman" w:cs="Times New Roman"/>
                <w:sz w:val="20"/>
                <w:szCs w:val="20"/>
                <w:lang w:val="ro-RO"/>
              </w:rPr>
            </w:pPr>
          </w:p>
        </w:tc>
      </w:tr>
      <w:tr w:rsidR="00337B13" w:rsidRPr="002C32BA" w14:paraId="269DF64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4AC38B5E" w14:textId="1684134B" w:rsidR="00337B13" w:rsidRPr="006B79A1" w:rsidRDefault="00337B13" w:rsidP="00337B13">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(2)   Pentru orice parte negarantată a valorii expunerii (E), instituțiile utilizează ponderea de risc și pierderea așteptată corespunzătoare expunerii-suport. Pentru calculul prevăzut la articolul 159, instituțiile atribuie părții negarantate a valorii expunerii orice ajustare generală sau specifică pentru riscul de credit sau orice ajustare de valoare suplimentară în conformitate cu articolul 34 legată de activitățile din afara portofoliului de tranzacționare ale instituției sau orice altă reducere a fondurilor proprii legată de expunere, alta decât deducerile efectuate în conformitate cu articolul 36 alineatul (1) litera (m).</w:t>
            </w:r>
          </w:p>
        </w:tc>
        <w:tc>
          <w:tcPr>
            <w:tcW w:w="1636" w:type="pct"/>
            <w:shd w:val="clear" w:color="auto" w:fill="auto"/>
          </w:tcPr>
          <w:p w14:paraId="7CB5137F" w14:textId="00002F0E" w:rsidR="00337B13" w:rsidRDefault="008C6F7A" w:rsidP="00337B13">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11</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Pentru orice parte negarantată a valorii expunerii (E), băncile utilizează ponderea de risc și pierderea așteptată corespunzătoare expunerii-suport. Pentru calculul valorilor pierderilor așteptate, al deficitului conform IRB și al excedentului conform IRB prevăzut în actul normativ al Băncii Naționale a Moldovei aferent tratamentului riscului de credit pentru bănci potrivit abordării bazate pe modele interne de rating, băncile atribuie părții negarantate a valorii expunerii orice ajustare generală sau specifică pentru riscul de credit sau orice ajustare de valoare suplimentară în conformitate cu Regulamentul 109/2018 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w:t>
            </w:r>
          </w:p>
          <w:p w14:paraId="4AC671D6" w14:textId="49B9DC62" w:rsidR="00337B13" w:rsidRPr="00337B13" w:rsidRDefault="00337B13" w:rsidP="008C6F7A">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A09ECAB" w14:textId="06D9F151" w:rsidR="00337B13" w:rsidRPr="002C32BA" w:rsidRDefault="00337B13" w:rsidP="00337B13">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29C9325E" w14:textId="77777777" w:rsidR="00337B13" w:rsidRPr="002C32BA" w:rsidRDefault="00337B13" w:rsidP="00337B13">
            <w:pPr>
              <w:rPr>
                <w:rFonts w:ascii="Times New Roman" w:hAnsi="Times New Roman" w:cs="Times New Roman"/>
                <w:sz w:val="20"/>
                <w:szCs w:val="20"/>
                <w:lang w:val="ro-RO"/>
              </w:rPr>
            </w:pPr>
          </w:p>
        </w:tc>
      </w:tr>
      <w:tr w:rsidR="00337B13" w:rsidRPr="002C32BA" w14:paraId="1CD95FB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3F0F8EF4" w14:textId="4E1D713A" w:rsidR="00337B13" w:rsidRPr="006B79A1" w:rsidRDefault="00337B13" w:rsidP="00337B13">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 xml:space="preserve">(3)   În sensul prezentului articol, (GA) este cuantumul protecției creditului ajustat în funcție de riscul valutar (G * ) calculată în conformitate cu articolul 233 alineatul (3) și ajustată suplimentar pentru orice neconcordanță de scadențe astfel cum se prevede în secțiunea 5 din prezentul capitol. Valoarea expunerii (E) este valoarea expunerii determinată în conformitate cu capitolul 3 secțiunea 5. Instituțiile calculează valoarea expunerii pentru elementele </w:t>
            </w:r>
            <w:proofErr w:type="spellStart"/>
            <w:r w:rsidRPr="006B79A1">
              <w:rPr>
                <w:rFonts w:ascii="Times New Roman" w:hAnsi="Times New Roman"/>
                <w:sz w:val="20"/>
                <w:szCs w:val="20"/>
                <w:lang w:val="ro-RO" w:eastAsia="ru-RU"/>
              </w:rPr>
              <w:t>extrabilanțiere</w:t>
            </w:r>
            <w:proofErr w:type="spellEnd"/>
            <w:r w:rsidRPr="006B79A1">
              <w:rPr>
                <w:rFonts w:ascii="Times New Roman" w:hAnsi="Times New Roman"/>
                <w:sz w:val="20"/>
                <w:szCs w:val="20"/>
                <w:lang w:val="ro-RO" w:eastAsia="ru-RU"/>
              </w:rPr>
              <w:t>, altele decât instrumentele financiare derivate tratate conform abordării IRB, utilizând un CCF de 100 % în locul CCF pe baza SA sau al CCF pe baza IRB prevăzuți la articolul 166 alineatele (8), (8a) și (8b).</w:t>
            </w:r>
          </w:p>
        </w:tc>
        <w:tc>
          <w:tcPr>
            <w:tcW w:w="1636" w:type="pct"/>
            <w:shd w:val="clear" w:color="auto" w:fill="auto"/>
          </w:tcPr>
          <w:p w14:paraId="47DCCC96" w14:textId="0C92B0A6" w:rsidR="00337B13" w:rsidRDefault="008C6F7A" w:rsidP="00337B13">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12</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În sensul prezentei secțiuni, (G</w:t>
            </w:r>
            <w:r w:rsidRPr="005C3300">
              <w:rPr>
                <w:rFonts w:ascii="Times New Roman" w:hAnsi="Times New Roman"/>
                <w:color w:val="000000" w:themeColor="text1"/>
                <w:sz w:val="20"/>
                <w:szCs w:val="20"/>
                <w:vertAlign w:val="subscript"/>
                <w:lang w:val="ro-RO" w:eastAsia="ro-MD"/>
              </w:rPr>
              <w:t>A</w:t>
            </w:r>
            <w:r w:rsidRPr="005C3300">
              <w:rPr>
                <w:rFonts w:ascii="Times New Roman" w:hAnsi="Times New Roman"/>
                <w:color w:val="000000" w:themeColor="text1"/>
                <w:sz w:val="20"/>
                <w:szCs w:val="20"/>
                <w:lang w:val="ro-RO" w:eastAsia="ro-MD"/>
              </w:rPr>
              <w:t xml:space="preserve">) este valoarea protecției creditului ajustat în funcție de riscul valutar (G*) calculată în conformitate cu punctul 12 și ajustată suplimentar pentru orice neconcordanță de scadențe astfel cum se prevede în titlul V „neconcordanța de scadențe”. Valoarea expunerii (E) este valoarea expunerii determinată în conformitate cu actul normativ al Băncii Naționale a Moldovei aferent tratamentului riscului de credit pentru bănci potrivit abordării bazate pe modele interne de rating. Băncile calculează valoarea expunerii pentru elementele </w:t>
            </w:r>
            <w:proofErr w:type="spellStart"/>
            <w:r w:rsidRPr="005C3300">
              <w:rPr>
                <w:rFonts w:ascii="Times New Roman" w:hAnsi="Times New Roman"/>
                <w:color w:val="000000" w:themeColor="text1"/>
                <w:sz w:val="20"/>
                <w:szCs w:val="20"/>
                <w:lang w:val="ro-RO" w:eastAsia="ro-MD"/>
              </w:rPr>
              <w:t>extrabilanțiere</w:t>
            </w:r>
            <w:proofErr w:type="spellEnd"/>
            <w:r w:rsidRPr="005C3300">
              <w:rPr>
                <w:rFonts w:ascii="Times New Roman" w:hAnsi="Times New Roman"/>
                <w:color w:val="000000" w:themeColor="text1"/>
                <w:sz w:val="20"/>
                <w:szCs w:val="20"/>
                <w:lang w:val="ro-RO" w:eastAsia="ro-MD"/>
              </w:rPr>
              <w:t>, altele decât instrumentele financiare derivate tratate conform abordării IRB, utilizând un CCF de 100 % în locul CCF pe baza abordării standardizate sau al CCF pe baza IRB prevăzuți în actul normativ al Băncii Naționale a Moldovei aferent tratamentului riscului de credit pentru bănci potrivit abordării bazate pe modele interne de rating</w:t>
            </w:r>
            <w:r>
              <w:rPr>
                <w:rFonts w:ascii="Times New Roman" w:hAnsi="Times New Roman"/>
                <w:color w:val="000000" w:themeColor="text1"/>
                <w:sz w:val="20"/>
                <w:szCs w:val="20"/>
                <w:lang w:val="ro-RO" w:eastAsia="ro-MD"/>
              </w:rPr>
              <w:t>.</w:t>
            </w:r>
          </w:p>
          <w:p w14:paraId="52EC0413" w14:textId="7CA170ED" w:rsidR="00337B13" w:rsidRPr="00337B13" w:rsidRDefault="00337B13" w:rsidP="003A55F4">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43653A26" w14:textId="720B524A" w:rsidR="00337B13" w:rsidRPr="002C32BA" w:rsidRDefault="00337B13" w:rsidP="00337B13">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1D749734" w14:textId="77777777" w:rsidR="00337B13" w:rsidRPr="002C32BA" w:rsidRDefault="00337B13" w:rsidP="00337B13">
            <w:pPr>
              <w:rPr>
                <w:rFonts w:ascii="Times New Roman" w:hAnsi="Times New Roman" w:cs="Times New Roman"/>
                <w:sz w:val="20"/>
                <w:szCs w:val="20"/>
                <w:lang w:val="ro-RO"/>
              </w:rPr>
            </w:pPr>
          </w:p>
        </w:tc>
      </w:tr>
      <w:tr w:rsidR="00337B13" w:rsidRPr="006B79A1" w14:paraId="759899C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46BB5E81" w14:textId="30012AF0" w:rsidR="00337B13" w:rsidRPr="006B79A1" w:rsidRDefault="00337B13" w:rsidP="00337B13">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i/>
                <w:iCs/>
                <w:sz w:val="20"/>
                <w:szCs w:val="20"/>
                <w:lang w:val="ro-RO" w:eastAsia="ru-RU"/>
              </w:rPr>
              <w:t>Articolul 236a</w:t>
            </w:r>
            <w:r>
              <w:rPr>
                <w:rFonts w:ascii="Times New Roman" w:hAnsi="Times New Roman"/>
                <w:sz w:val="20"/>
                <w:szCs w:val="20"/>
                <w:lang w:val="ro-RO" w:eastAsia="ru-RU"/>
              </w:rPr>
              <w:t xml:space="preserve"> </w:t>
            </w:r>
            <w:r w:rsidRPr="006B79A1">
              <w:rPr>
                <w:rFonts w:ascii="Times New Roman" w:hAnsi="Times New Roman"/>
                <w:b/>
                <w:bCs/>
                <w:sz w:val="20"/>
                <w:szCs w:val="20"/>
                <w:lang w:val="ro-RO" w:eastAsia="ru-RU"/>
              </w:rPr>
              <w:t>Calculul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 IRB</w:t>
            </w:r>
          </w:p>
          <w:p w14:paraId="1D255767" w14:textId="77777777" w:rsidR="00337B13" w:rsidRDefault="00337B13" w:rsidP="00337B13">
            <w:pPr>
              <w:pStyle w:val="CM4"/>
              <w:tabs>
                <w:tab w:val="left" w:pos="150"/>
              </w:tabs>
              <w:ind w:left="-43"/>
              <w:jc w:val="both"/>
              <w:rPr>
                <w:rFonts w:ascii="Times New Roman" w:hAnsi="Times New Roman"/>
                <w:sz w:val="20"/>
                <w:szCs w:val="20"/>
                <w:lang w:val="ro-RO" w:eastAsia="ru-RU"/>
              </w:rPr>
            </w:pPr>
          </w:p>
          <w:p w14:paraId="3A78BDF5" w14:textId="77777777" w:rsidR="003A55F4" w:rsidRPr="003A55F4" w:rsidRDefault="003A55F4" w:rsidP="003A55F4">
            <w:pPr>
              <w:rPr>
                <w:lang w:val="ro-RO" w:eastAsia="ru-RU"/>
              </w:rPr>
            </w:pPr>
          </w:p>
          <w:p w14:paraId="2FDA4048" w14:textId="3C96CA68" w:rsidR="00337B13" w:rsidRPr="006B79A1" w:rsidRDefault="00337B13" w:rsidP="00337B13">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(1)   În cazul unei expuneri cu protecție nefinanțată a creditului pentru care o instituție aplică abordarea IRB prevăzută în capitolul 3 utilizând propriile estimări ale LGD și în cazul în care expunerile directe comparabile față de furnizorul de protecție sunt tratate în conformitate cu abordarea IRB prevăzută în capitolul 3, însă fără utilizarea propriilor estimări ale LGD, instituția determină partea garantată a expunerii ca fiind cea mai mică dintre valoarea expunerii (E) și valoarea ajustată a protecției nefinanțate a creditului (GA), calculată în conformitate cu articolul 235a alineatul (1). Instituția calculează cuantumul ponderat la risc al expunerii și cuantumul pierderii așteptate pentru partea garantată a valorii expunerii utilizând PD, LGD și aceeași funcție de ponderare a riscului ca cele utilizate pentru o expunere directă comparabilă față de furnizorul de protecție și utilizează, dacă este cazul, scadența (M) aferentă expunerii-suport, calculată în conformitate cu articolul 162.</w:t>
            </w:r>
          </w:p>
        </w:tc>
        <w:tc>
          <w:tcPr>
            <w:tcW w:w="1636" w:type="pct"/>
            <w:shd w:val="clear" w:color="auto" w:fill="auto"/>
          </w:tcPr>
          <w:p w14:paraId="4FC653C3" w14:textId="77777777" w:rsidR="003A55F4" w:rsidRPr="005C3300" w:rsidRDefault="003A55F4" w:rsidP="003A55F4">
            <w:pPr>
              <w:spacing w:after="0" w:line="240" w:lineRule="auto"/>
              <w:jc w:val="center"/>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Secțiunea a 2</w:t>
            </w:r>
            <w:r w:rsidRPr="005C3300">
              <w:rPr>
                <w:rFonts w:ascii="Times New Roman" w:eastAsia="Times New Roman" w:hAnsi="Times New Roman" w:cs="Times New Roman"/>
                <w:b/>
                <w:bCs/>
                <w:i/>
                <w:iCs/>
                <w:color w:val="000000" w:themeColor="text1"/>
                <w:sz w:val="20"/>
                <w:szCs w:val="20"/>
                <w:vertAlign w:val="superscript"/>
                <w:lang w:val="ro-RO" w:eastAsia="ro-MD"/>
              </w:rPr>
              <w:t>3</w:t>
            </w:r>
            <w:r w:rsidRPr="005C3300">
              <w:rPr>
                <w:rFonts w:ascii="Times New Roman" w:eastAsia="Times New Roman" w:hAnsi="Times New Roman" w:cs="Times New Roman"/>
                <w:b/>
                <w:bCs/>
                <w:i/>
                <w:iCs/>
                <w:color w:val="000000" w:themeColor="text1"/>
                <w:sz w:val="20"/>
                <w:szCs w:val="20"/>
                <w:lang w:val="ro-RO" w:eastAsia="ro-MD"/>
              </w:rPr>
              <w:t>-a</w:t>
            </w:r>
          </w:p>
          <w:p w14:paraId="068849DE" w14:textId="77777777" w:rsidR="003A55F4" w:rsidRPr="005C3300" w:rsidRDefault="003A55F4" w:rsidP="003A55F4">
            <w:pPr>
              <w:spacing w:after="0" w:line="240" w:lineRule="auto"/>
              <w:ind w:firstLine="567"/>
              <w:jc w:val="both"/>
              <w:rPr>
                <w:rFonts w:ascii="Times New Roman" w:eastAsia="Times New Roman" w:hAnsi="Times New Roman" w:cs="Times New Roman"/>
                <w:color w:val="000000" w:themeColor="text1"/>
                <w:sz w:val="20"/>
                <w:szCs w:val="20"/>
                <w:lang w:val="ro-RO" w:eastAsia="ro-MD"/>
              </w:rPr>
            </w:pPr>
            <w:r w:rsidRPr="005C3300">
              <w:rPr>
                <w:rFonts w:ascii="Times New Roman" w:eastAsia="Times New Roman" w:hAnsi="Times New Roman" w:cs="Times New Roman"/>
                <w:b/>
                <w:bCs/>
                <w:i/>
                <w:iCs/>
                <w:color w:val="000000" w:themeColor="text1"/>
                <w:sz w:val="20"/>
                <w:szCs w:val="20"/>
                <w:lang w:val="ro-RO" w:eastAsia="ro-MD"/>
              </w:rPr>
              <w:t>Calculul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 IRB</w:t>
            </w:r>
          </w:p>
          <w:p w14:paraId="35867DF3" w14:textId="77777777" w:rsidR="003A55F4" w:rsidRPr="005C3300" w:rsidRDefault="003A55F4" w:rsidP="003A55F4">
            <w:pPr>
              <w:spacing w:after="0" w:line="240" w:lineRule="auto"/>
              <w:ind w:firstLine="567"/>
              <w:jc w:val="both"/>
              <w:rPr>
                <w:rFonts w:ascii="Times New Roman" w:eastAsia="Times New Roman" w:hAnsi="Times New Roman" w:cs="Times New Roman"/>
                <w:color w:val="000000" w:themeColor="text1"/>
                <w:sz w:val="20"/>
                <w:szCs w:val="20"/>
                <w:lang w:val="ro-RO" w:eastAsia="ro-MD"/>
              </w:rPr>
            </w:pPr>
          </w:p>
          <w:p w14:paraId="00ECC086" w14:textId="039AA4E1" w:rsidR="00337B13" w:rsidRDefault="003A55F4" w:rsidP="003A55F4">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13</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În cazul unei expuneri cu protecție nefinanțată a creditului pentru care o bancă aplică abordarea IRB utilizând propriile estimări ale LGD și în cazul în care expunerile directe comparabile față de furnizorul de protecție sunt tratate în conformitate cu abordarea IRB, însă fără utilizarea propriilor estimări ale LGD, banca determină partea garantată a expunerii ca fiind cea mai mică dintre valoarea expunerii (E) și valoarea ajustată a protecției nefinanțate a creditului (G</w:t>
            </w:r>
            <w:r w:rsidRPr="005C3300">
              <w:rPr>
                <w:rFonts w:ascii="Times New Roman" w:hAnsi="Times New Roman"/>
                <w:color w:val="000000" w:themeColor="text1"/>
                <w:sz w:val="20"/>
                <w:szCs w:val="20"/>
                <w:vertAlign w:val="subscript"/>
                <w:lang w:val="ro-RO" w:eastAsia="ro-MD"/>
              </w:rPr>
              <w:t>A</w:t>
            </w:r>
            <w:r w:rsidRPr="005C3300">
              <w:rPr>
                <w:rFonts w:ascii="Times New Roman" w:hAnsi="Times New Roman"/>
                <w:color w:val="000000" w:themeColor="text1"/>
                <w:sz w:val="20"/>
                <w:szCs w:val="20"/>
                <w:lang w:val="ro-RO" w:eastAsia="ro-MD"/>
              </w:rPr>
              <w:t>), calculată în conformitate cu punctul 116</w:t>
            </w:r>
            <w:r w:rsidRPr="005C3300">
              <w:rPr>
                <w:rFonts w:ascii="Times New Roman" w:hAnsi="Times New Roman"/>
                <w:color w:val="000000" w:themeColor="text1"/>
                <w:sz w:val="20"/>
                <w:szCs w:val="20"/>
                <w:vertAlign w:val="superscript"/>
                <w:lang w:val="ro-RO" w:eastAsia="ro-MD"/>
              </w:rPr>
              <w:t>1</w:t>
            </w:r>
            <w:r w:rsidRPr="005C3300">
              <w:rPr>
                <w:rFonts w:ascii="Times New Roman" w:hAnsi="Times New Roman"/>
                <w:color w:val="000000" w:themeColor="text1"/>
                <w:sz w:val="20"/>
                <w:szCs w:val="20"/>
                <w:lang w:val="ro-RO" w:eastAsia="ro-MD"/>
              </w:rPr>
              <w:t>. Banca calculează valoarea ponderată la risc a expunerii și cuantumul pierderii așteptate pentru partea garantată a valorii expunerii utilizând PD, LGD și aceeași funcție de ponderare a riscului ca cele utilizate pentru o expunere directă comparabilă față de furnizorul de protecție și utilizează, dacă este cazul, scadența (M) aferentă expunerii-suport.</w:t>
            </w:r>
          </w:p>
          <w:p w14:paraId="62E0DEE6" w14:textId="15A28C94" w:rsidR="00337B13" w:rsidRPr="00337B13" w:rsidRDefault="00337B13" w:rsidP="003A55F4">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67D4081A" w14:textId="3760E4FB" w:rsidR="00337B13" w:rsidRPr="002C32BA" w:rsidRDefault="00337B13" w:rsidP="00337B13">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4C47B286" w14:textId="77777777" w:rsidR="00337B13" w:rsidRPr="002C32BA" w:rsidRDefault="00337B13" w:rsidP="00337B13">
            <w:pPr>
              <w:rPr>
                <w:rFonts w:ascii="Times New Roman" w:hAnsi="Times New Roman" w:cs="Times New Roman"/>
                <w:sz w:val="20"/>
                <w:szCs w:val="20"/>
                <w:lang w:val="ro-RO"/>
              </w:rPr>
            </w:pPr>
          </w:p>
        </w:tc>
      </w:tr>
      <w:tr w:rsidR="00337B13" w:rsidRPr="006B79A1" w14:paraId="4A6924E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43081F1A" w14:textId="23F0CA93" w:rsidR="00337B13" w:rsidRPr="006B79A1" w:rsidRDefault="00337B13" w:rsidP="00337B13">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(2)   Instituțiile care aplică abordarea IRB prevăzută în capitolul 3, dar fără a utiliza propriile estimări ale LGD, expunerilor directe comparabile față de furnizorul de protecție determină LGD în conformitate cu articolul 161 alineatul (1). Pentru expunerile subordonate și protecția nefinanțată a creditului nesubordonată, LGD care trebuie aplicată de către instituții părții garantate a valorii expunerii este LGD asociată creanțelor cu rang prioritar, iar instituțiile ar putea ține seama de orice protecție finanțată a creditului care garantează protecția nefinanțată a creditului în conformitate cu prezentul capitol.</w:t>
            </w:r>
          </w:p>
        </w:tc>
        <w:tc>
          <w:tcPr>
            <w:tcW w:w="1636" w:type="pct"/>
            <w:shd w:val="clear" w:color="auto" w:fill="auto"/>
          </w:tcPr>
          <w:p w14:paraId="4B544068" w14:textId="12088E05" w:rsidR="00337B13" w:rsidRDefault="003A55F4" w:rsidP="00337B13">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14</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care aplică abordarea IRB, dar fără a utiliza propriile estimări ale LGD, expunerilor directe comparabile față de furnizorul de protecție determină LGD în conformitate cu actul normativ al Băncii Naționale a Moldovei aferent tratamentului riscului de credit pentru bănci potrivit abordării bazate pe modele interne de rating. Pentru expunerile subordonate și protecția nefinanțată a creditului nesubordonată, LGD care trebuie aplicată de către bănci părții garantate a valorii expunerii este LGD asociată creanțelor cu rang prioritar, iar băncile ar putea ține seama de orice protecție finanțată a creditului care garantează protecția nefinanțată a creditului în conformitate cu prezentul regulament.</w:t>
            </w:r>
          </w:p>
          <w:p w14:paraId="299E0A61" w14:textId="7A37A940" w:rsidR="00337B13" w:rsidRPr="00337B13" w:rsidRDefault="00337B13" w:rsidP="003A55F4">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F00EE3A" w14:textId="1B3D5404" w:rsidR="00337B13" w:rsidRPr="002C32BA" w:rsidRDefault="00337B13" w:rsidP="00337B13">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51BFE962" w14:textId="77777777" w:rsidR="00337B13" w:rsidRPr="002C32BA" w:rsidRDefault="00337B13" w:rsidP="00337B13">
            <w:pPr>
              <w:rPr>
                <w:rFonts w:ascii="Times New Roman" w:hAnsi="Times New Roman" w:cs="Times New Roman"/>
                <w:sz w:val="20"/>
                <w:szCs w:val="20"/>
                <w:lang w:val="ro-RO"/>
              </w:rPr>
            </w:pPr>
          </w:p>
        </w:tc>
      </w:tr>
      <w:tr w:rsidR="003A55F4" w:rsidRPr="006B79A1" w14:paraId="33D24F3A"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2187CCD8" w14:textId="4FF52CAB" w:rsidR="003A55F4" w:rsidRPr="006B79A1" w:rsidRDefault="003A55F4" w:rsidP="003A55F4">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(3)   Instituțiile care aplică abordarea IRB prevăzută în capitolul 3, utilizând propriile estimări ale LGD, expunerilor directe comparabile față de furnizorul de protecție calculează ponderea de risc și pierderea așteptată aplicabile părții garantate a expunerii-suport utilizând PD, LGD și aceeași funcție de ponderare a riscului ca cele utilizate pentru o expunere directă comparabilă față de furnizorul de protecție și utilizează, dacă este cazul, scadența (M) aferentă expunerii-suport, calculată în conformitate cu articolul 162.</w:t>
            </w:r>
          </w:p>
        </w:tc>
        <w:tc>
          <w:tcPr>
            <w:tcW w:w="1636" w:type="pct"/>
            <w:shd w:val="clear" w:color="auto" w:fill="auto"/>
          </w:tcPr>
          <w:p w14:paraId="209D3B0C" w14:textId="0A72430C" w:rsidR="003A55F4" w:rsidRDefault="003A55F4" w:rsidP="003A55F4">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15</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care aplică abordarea IRB, utilizând propriile estimări ale LGD, expunerilor directe comparabile față de furnizorul de protecție calculează ponderea de risc și pierderea așteptată aplicabile părții garantate a expunerii-suport utilizând PD, LGD și aceeași funcție de ponderare a riscului ca cele utilizate pentru o expunere directă comparabilă față de furnizorul de protecție și utilizează, dacă este cazul, scadența (M) aferentă expunerii-suport, calculată în conformitate cu actul normativ al Băncii Naționale a Moldovei aferent tratamentului riscului de credit pentru bănci potrivit abordării bazate pe modele interne de rating</w:t>
            </w:r>
            <w:r>
              <w:rPr>
                <w:rFonts w:ascii="Times New Roman" w:hAnsi="Times New Roman"/>
                <w:color w:val="000000" w:themeColor="text1"/>
                <w:sz w:val="20"/>
                <w:szCs w:val="20"/>
                <w:lang w:val="ro-RO" w:eastAsia="ro-MD"/>
              </w:rPr>
              <w:t>.</w:t>
            </w:r>
          </w:p>
          <w:p w14:paraId="71CA50B5" w14:textId="4AEF040A" w:rsidR="003A55F4" w:rsidRPr="00337B13" w:rsidRDefault="003A55F4" w:rsidP="003A55F4">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79873293" w14:textId="1ACCE756" w:rsidR="003A55F4" w:rsidRPr="002C32BA" w:rsidRDefault="003A55F4" w:rsidP="003A55F4">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52AC374C" w14:textId="77777777" w:rsidR="003A55F4" w:rsidRPr="002C32BA" w:rsidRDefault="003A55F4" w:rsidP="003A55F4">
            <w:pPr>
              <w:rPr>
                <w:rFonts w:ascii="Times New Roman" w:hAnsi="Times New Roman" w:cs="Times New Roman"/>
                <w:sz w:val="20"/>
                <w:szCs w:val="20"/>
                <w:lang w:val="ro-RO"/>
              </w:rPr>
            </w:pPr>
          </w:p>
        </w:tc>
      </w:tr>
      <w:tr w:rsidR="003A55F4" w:rsidRPr="006B79A1" w14:paraId="3C6D559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5D4851C1" w14:textId="5E05E542" w:rsidR="003A55F4" w:rsidRPr="006B79A1" w:rsidRDefault="003A55F4" w:rsidP="003A55F4">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(4)   Instituțiile care aplică abordarea IRB expunerilor directe comparabile față de furnizorul de protecție utilizând metoda prevăzută la articolul 153 alineatul (5) utilizează ponderea de risc și pierderea așteptată aplicabile părții garantate a expunerii care corespund celor prevăzute la articolul 153 alineatul (5) și la articolul 158 alineatul (6).</w:t>
            </w:r>
          </w:p>
        </w:tc>
        <w:tc>
          <w:tcPr>
            <w:tcW w:w="1636" w:type="pct"/>
            <w:shd w:val="clear" w:color="auto" w:fill="auto"/>
          </w:tcPr>
          <w:p w14:paraId="59431FF4" w14:textId="21C703AE" w:rsidR="003A55F4" w:rsidRDefault="003A55F4" w:rsidP="003A55F4">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16</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Băncile care aplică abordarea IRB expunerilor directe comparabile față de furnizorul de protecție utilizând metoda aplicabilă determinării vaporii ponderate la risc pentru expunerile provenind din finanțări specializate prevăzută în</w:t>
            </w:r>
            <w:r w:rsidRPr="005C3300">
              <w:rPr>
                <w:color w:val="000000" w:themeColor="text1"/>
                <w:sz w:val="20"/>
                <w:szCs w:val="20"/>
              </w:rPr>
              <w:t xml:space="preserve"> </w:t>
            </w:r>
            <w:r w:rsidRPr="005C3300">
              <w:rPr>
                <w:rFonts w:ascii="Times New Roman" w:hAnsi="Times New Roman"/>
                <w:color w:val="000000" w:themeColor="text1"/>
                <w:sz w:val="20"/>
                <w:szCs w:val="20"/>
                <w:lang w:val="ro-RO" w:eastAsia="ro-MD"/>
              </w:rPr>
              <w:t xml:space="preserve">actul normativ al Băncii Naționale a Moldovei aferent tratamentului riscului de credit pentru bănci potrivit abordării bazate pe modele interne de rating utilizează ponderea de risc și pierderea așteptată aplicabile părții garantate a expunerii care corespund </w:t>
            </w:r>
            <w:proofErr w:type="spellStart"/>
            <w:r w:rsidRPr="005C3300">
              <w:rPr>
                <w:rFonts w:ascii="Times New Roman" w:hAnsi="Times New Roman" w:hint="eastAsia"/>
                <w:color w:val="000000" w:themeColor="text1"/>
                <w:sz w:val="20"/>
                <w:szCs w:val="20"/>
                <w:lang w:eastAsia="ro-MD"/>
              </w:rPr>
              <w:t>expuneril</w:t>
            </w:r>
            <w:r w:rsidRPr="005C3300">
              <w:rPr>
                <w:rFonts w:ascii="Times New Roman" w:hAnsi="Times New Roman"/>
                <w:color w:val="000000" w:themeColor="text1"/>
                <w:sz w:val="20"/>
                <w:szCs w:val="20"/>
                <w:lang w:eastAsia="ro-MD"/>
              </w:rPr>
              <w:t>or</w:t>
            </w:r>
            <w:proofErr w:type="spellEnd"/>
            <w:r w:rsidRPr="005C3300">
              <w:rPr>
                <w:rFonts w:ascii="Times New Roman" w:hAnsi="Times New Roman" w:hint="eastAsia"/>
                <w:color w:val="000000" w:themeColor="text1"/>
                <w:sz w:val="20"/>
                <w:szCs w:val="20"/>
                <w:lang w:eastAsia="ro-MD"/>
              </w:rPr>
              <w:t xml:space="preserve"> </w:t>
            </w:r>
            <w:proofErr w:type="spellStart"/>
            <w:r w:rsidRPr="005C3300">
              <w:rPr>
                <w:rFonts w:ascii="Times New Roman" w:hAnsi="Times New Roman" w:hint="eastAsia"/>
                <w:color w:val="000000" w:themeColor="text1"/>
                <w:sz w:val="20"/>
                <w:szCs w:val="20"/>
                <w:lang w:eastAsia="ro-MD"/>
              </w:rPr>
              <w:t>provenind</w:t>
            </w:r>
            <w:proofErr w:type="spellEnd"/>
            <w:r w:rsidRPr="005C3300">
              <w:rPr>
                <w:rFonts w:ascii="Times New Roman" w:hAnsi="Times New Roman" w:hint="eastAsia"/>
                <w:color w:val="000000" w:themeColor="text1"/>
                <w:sz w:val="20"/>
                <w:szCs w:val="20"/>
                <w:lang w:eastAsia="ro-MD"/>
              </w:rPr>
              <w:t xml:space="preserve"> din </w:t>
            </w:r>
            <w:proofErr w:type="spellStart"/>
            <w:r w:rsidRPr="005C3300">
              <w:rPr>
                <w:rFonts w:ascii="Times New Roman" w:hAnsi="Times New Roman" w:hint="eastAsia"/>
                <w:color w:val="000000" w:themeColor="text1"/>
                <w:sz w:val="20"/>
                <w:szCs w:val="20"/>
                <w:lang w:eastAsia="ro-MD"/>
              </w:rPr>
              <w:t>finanțări</w:t>
            </w:r>
            <w:proofErr w:type="spellEnd"/>
            <w:r w:rsidRPr="005C3300">
              <w:rPr>
                <w:rFonts w:ascii="Times New Roman" w:hAnsi="Times New Roman" w:hint="eastAsia"/>
                <w:color w:val="000000" w:themeColor="text1"/>
                <w:sz w:val="20"/>
                <w:szCs w:val="20"/>
                <w:lang w:eastAsia="ro-MD"/>
              </w:rPr>
              <w:t xml:space="preserve"> </w:t>
            </w:r>
            <w:proofErr w:type="spellStart"/>
            <w:r w:rsidRPr="005C3300">
              <w:rPr>
                <w:rFonts w:ascii="Times New Roman" w:hAnsi="Times New Roman" w:hint="eastAsia"/>
                <w:color w:val="000000" w:themeColor="text1"/>
                <w:sz w:val="20"/>
                <w:szCs w:val="20"/>
                <w:lang w:eastAsia="ro-MD"/>
              </w:rPr>
              <w:t>specializate</w:t>
            </w:r>
            <w:proofErr w:type="spellEnd"/>
            <w:r w:rsidRPr="005C3300">
              <w:rPr>
                <w:rFonts w:ascii="Times New Roman" w:hAnsi="Times New Roman"/>
                <w:color w:val="000000" w:themeColor="text1"/>
                <w:sz w:val="20"/>
                <w:szCs w:val="20"/>
                <w:lang w:eastAsia="ro-MD"/>
              </w:rPr>
              <w:t xml:space="preserve"> </w:t>
            </w:r>
            <w:r w:rsidRPr="005C3300">
              <w:rPr>
                <w:rFonts w:ascii="Times New Roman" w:hAnsi="Times New Roman"/>
                <w:color w:val="000000" w:themeColor="text1"/>
                <w:sz w:val="20"/>
                <w:szCs w:val="20"/>
                <w:lang w:val="ro-RO" w:eastAsia="ro-MD"/>
              </w:rPr>
              <w:t>prevăzute în actul normativ menționat</w:t>
            </w:r>
            <w:r>
              <w:rPr>
                <w:rFonts w:ascii="Times New Roman" w:hAnsi="Times New Roman"/>
                <w:color w:val="000000" w:themeColor="text1"/>
                <w:sz w:val="20"/>
                <w:szCs w:val="20"/>
                <w:lang w:val="ro-RO" w:eastAsia="ro-MD"/>
              </w:rPr>
              <w:t>.</w:t>
            </w:r>
          </w:p>
          <w:p w14:paraId="3A7548D5" w14:textId="7F2DBF29" w:rsidR="003A55F4" w:rsidRPr="00337B13" w:rsidRDefault="003A55F4" w:rsidP="003A55F4">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4077E68D" w14:textId="41D38577" w:rsidR="003A55F4" w:rsidRPr="002C32BA" w:rsidRDefault="003A55F4" w:rsidP="003A55F4">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52D47A86" w14:textId="77777777" w:rsidR="003A55F4" w:rsidRPr="002C32BA" w:rsidRDefault="003A55F4" w:rsidP="003A55F4">
            <w:pPr>
              <w:rPr>
                <w:rFonts w:ascii="Times New Roman" w:hAnsi="Times New Roman" w:cs="Times New Roman"/>
                <w:sz w:val="20"/>
                <w:szCs w:val="20"/>
                <w:lang w:val="ro-RO"/>
              </w:rPr>
            </w:pPr>
          </w:p>
        </w:tc>
      </w:tr>
      <w:tr w:rsidR="003A55F4" w:rsidRPr="006B79A1" w14:paraId="5531DDE4"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9"/>
        </w:trPr>
        <w:tc>
          <w:tcPr>
            <w:tcW w:w="1916" w:type="pct"/>
          </w:tcPr>
          <w:p w14:paraId="5C30DDB0" w14:textId="52B054D2" w:rsidR="003A55F4" w:rsidRPr="006B79A1" w:rsidRDefault="003A55F4" w:rsidP="003A55F4">
            <w:pPr>
              <w:pStyle w:val="CM4"/>
              <w:tabs>
                <w:tab w:val="left" w:pos="150"/>
              </w:tabs>
              <w:ind w:left="-43"/>
              <w:jc w:val="both"/>
              <w:rPr>
                <w:rFonts w:ascii="Times New Roman" w:hAnsi="Times New Roman"/>
                <w:sz w:val="20"/>
                <w:szCs w:val="20"/>
                <w:lang w:val="ro-RO" w:eastAsia="ru-RU"/>
              </w:rPr>
            </w:pPr>
            <w:r w:rsidRPr="006B79A1">
              <w:rPr>
                <w:rFonts w:ascii="Times New Roman" w:hAnsi="Times New Roman"/>
                <w:sz w:val="20"/>
                <w:szCs w:val="20"/>
                <w:lang w:val="ro-RO" w:eastAsia="ru-RU"/>
              </w:rPr>
              <w:t>(5)   Pentru orice parte negarantată a valorii expunerii (E), instituțiile utilizează ponderea de risc și pierderea așteptată corespunzătoare expunerii-suport. Pentru calculul prevăzut la articolul 159, instituțiile atribuie părții negarantate a valorii expunerii orice ajustare generală sau specifică pentru riscul de credit sau orice ajustare de valoare suplimentară în conformitate cu articolul 34 legată de activitățile din afara portofoliului de tranzacționare ale instituției sau orice altă reducere a fondurilor proprii legată de expunere, alta decât deducerile efectuate în conformitate cu articolul 36 alineatul (1) litera (m).</w:t>
            </w:r>
          </w:p>
        </w:tc>
        <w:tc>
          <w:tcPr>
            <w:tcW w:w="1636" w:type="pct"/>
            <w:shd w:val="clear" w:color="auto" w:fill="auto"/>
          </w:tcPr>
          <w:p w14:paraId="68742FCB" w14:textId="745D3583" w:rsidR="003A55F4" w:rsidRDefault="009B430A" w:rsidP="003A55F4">
            <w:pPr>
              <w:pStyle w:val="CM4"/>
              <w:tabs>
                <w:tab w:val="left" w:pos="150"/>
              </w:tabs>
              <w:ind w:left="-36"/>
              <w:rPr>
                <w:rFonts w:ascii="Times New Roman" w:hAnsi="Times New Roman"/>
                <w:sz w:val="20"/>
                <w:szCs w:val="20"/>
                <w:lang w:val="ro-RO" w:eastAsia="ru-RU"/>
              </w:rPr>
            </w:pPr>
            <w:r w:rsidRPr="005C3300">
              <w:rPr>
                <w:rFonts w:ascii="Times New Roman" w:hAnsi="Times New Roman"/>
                <w:b/>
                <w:bCs/>
                <w:color w:val="000000" w:themeColor="text1"/>
                <w:sz w:val="20"/>
                <w:szCs w:val="20"/>
                <w:lang w:val="ro-RO" w:eastAsia="ro-MD"/>
              </w:rPr>
              <w:t>116</w:t>
            </w:r>
            <w:r w:rsidRPr="005C3300">
              <w:rPr>
                <w:rFonts w:ascii="Times New Roman" w:hAnsi="Times New Roman"/>
                <w:b/>
                <w:bCs/>
                <w:color w:val="000000" w:themeColor="text1"/>
                <w:sz w:val="20"/>
                <w:szCs w:val="20"/>
                <w:vertAlign w:val="superscript"/>
                <w:lang w:val="ro-RO" w:eastAsia="ro-MD"/>
              </w:rPr>
              <w:t>17</w:t>
            </w:r>
            <w:r w:rsidRPr="005C3300">
              <w:rPr>
                <w:rFonts w:ascii="Times New Roman" w:hAnsi="Times New Roman"/>
                <w:b/>
                <w:bCs/>
                <w:color w:val="000000" w:themeColor="text1"/>
                <w:sz w:val="20"/>
                <w:szCs w:val="20"/>
                <w:lang w:val="ro-RO" w:eastAsia="ro-MD"/>
              </w:rPr>
              <w:t>.</w:t>
            </w:r>
            <w:r w:rsidRPr="005C3300">
              <w:rPr>
                <w:rFonts w:ascii="Times New Roman" w:hAnsi="Times New Roman"/>
                <w:color w:val="000000" w:themeColor="text1"/>
                <w:sz w:val="20"/>
                <w:szCs w:val="20"/>
                <w:lang w:val="ro-RO" w:eastAsia="ro-MD"/>
              </w:rPr>
              <w:t xml:space="preserve"> Pentru orice parte negarantată a valorii expunerii (E), băncile utilizează ponderea de risc și pierderea așteptată corespunzătoare expunerii-suport. Pentru calculul valorilor pierderilor așteptate, al deficitului conform IRB și al excedentului conform IRB prevăzut în actul normativ al Băncii Naționale a Moldovei aferent tratamentului riscului de credit pentru bănci potrivit abordării bazate pe modele interne de rating prevăzut la, băncile atribuie părții negarantate a valorii expunerii orice ajustare generală sau specifică pentru riscul de credit sau orice ajustare de valoare suplimentară în conformitate cu Regulamentul 109/2018 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 </w:t>
            </w:r>
          </w:p>
          <w:p w14:paraId="59B5932F" w14:textId="4C5A6699" w:rsidR="003A55F4" w:rsidRPr="00337B13" w:rsidRDefault="003A55F4" w:rsidP="009B430A">
            <w:pPr>
              <w:spacing w:before="120" w:after="0" w:line="240" w:lineRule="auto"/>
              <w:rPr>
                <w:lang w:val="ro-RO" w:eastAsia="ru-RU"/>
              </w:rPr>
            </w:pPr>
            <w:proofErr w:type="spellStart"/>
            <w:r w:rsidRPr="00684853">
              <w:rPr>
                <w:rFonts w:ascii="Times New Roman" w:hAnsi="Times New Roman" w:cs="Times New Roman"/>
                <w:i/>
                <w:iCs/>
                <w:color w:val="000000" w:themeColor="text1"/>
                <w:sz w:val="20"/>
                <w:szCs w:val="20"/>
              </w:rPr>
              <w:t>Proiectul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25DC61A5" w14:textId="6AB3FB0C" w:rsidR="003A55F4" w:rsidRPr="002C32BA" w:rsidRDefault="003A55F4" w:rsidP="003A55F4">
            <w:pPr>
              <w:rPr>
                <w:rFonts w:ascii="Times New Roman" w:hAnsi="Times New Roman" w:cs="Times New Roman"/>
                <w:sz w:val="20"/>
                <w:szCs w:val="20"/>
                <w:lang w:val="ro-RO"/>
              </w:rPr>
            </w:pPr>
            <w:r w:rsidRPr="00790D5B">
              <w:rPr>
                <w:rFonts w:ascii="Times New Roman" w:hAnsi="Times New Roman" w:cs="Times New Roman"/>
                <w:sz w:val="20"/>
                <w:szCs w:val="20"/>
                <w:lang w:val="ro-RO"/>
              </w:rPr>
              <w:t>Compatibil</w:t>
            </w:r>
          </w:p>
        </w:tc>
        <w:tc>
          <w:tcPr>
            <w:tcW w:w="885" w:type="pct"/>
          </w:tcPr>
          <w:p w14:paraId="129ABC2E" w14:textId="77777777" w:rsidR="003A55F4" w:rsidRPr="002C32BA" w:rsidRDefault="003A55F4" w:rsidP="003A55F4">
            <w:pPr>
              <w:rPr>
                <w:rFonts w:ascii="Times New Roman" w:hAnsi="Times New Roman" w:cs="Times New Roman"/>
                <w:sz w:val="20"/>
                <w:szCs w:val="20"/>
                <w:lang w:val="ro-RO"/>
              </w:rPr>
            </w:pPr>
          </w:p>
        </w:tc>
      </w:tr>
      <w:tr w:rsidR="00D62F3C" w:rsidRPr="002C32BA" w14:paraId="7DA190D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5"/>
        </w:trPr>
        <w:tc>
          <w:tcPr>
            <w:tcW w:w="1916" w:type="pct"/>
          </w:tcPr>
          <w:p w14:paraId="34D357B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Secțiunea 5</w:t>
            </w:r>
          </w:p>
          <w:p w14:paraId="2AD82FAB"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b/>
                <w:iCs/>
                <w:sz w:val="20"/>
                <w:szCs w:val="20"/>
                <w:lang w:val="ro-RO" w:eastAsia="ru-RU"/>
              </w:rPr>
              <w:t>Neconcordanța de scadențe</w:t>
            </w:r>
          </w:p>
        </w:tc>
        <w:tc>
          <w:tcPr>
            <w:tcW w:w="1636" w:type="pct"/>
            <w:shd w:val="clear" w:color="auto" w:fill="auto"/>
          </w:tcPr>
          <w:p w14:paraId="67AAEA3E" w14:textId="77777777" w:rsidR="00CB6787" w:rsidRPr="002C32BA" w:rsidRDefault="00CB6787" w:rsidP="00CB6787">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Titlul V. Neconcordanța de scadențe</w:t>
            </w:r>
          </w:p>
          <w:p w14:paraId="42A96B18"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787E457E" w14:textId="77777777" w:rsidR="00D62F3C" w:rsidRPr="002C32BA" w:rsidRDefault="00D62F3C" w:rsidP="00D62F3C">
            <w:pPr>
              <w:rPr>
                <w:rFonts w:ascii="Times New Roman" w:hAnsi="Times New Roman" w:cs="Times New Roman"/>
                <w:sz w:val="20"/>
                <w:szCs w:val="20"/>
                <w:lang w:val="ro-RO"/>
              </w:rPr>
            </w:pPr>
          </w:p>
        </w:tc>
        <w:tc>
          <w:tcPr>
            <w:tcW w:w="885" w:type="pct"/>
          </w:tcPr>
          <w:p w14:paraId="1F3CE172" w14:textId="77777777" w:rsidR="00D62F3C" w:rsidRPr="002C32BA" w:rsidRDefault="00D62F3C" w:rsidP="00D62F3C">
            <w:pPr>
              <w:jc w:val="both"/>
              <w:rPr>
                <w:rFonts w:ascii="Times New Roman" w:hAnsi="Times New Roman" w:cs="Times New Roman"/>
                <w:sz w:val="20"/>
                <w:szCs w:val="20"/>
                <w:lang w:val="ro-RO"/>
              </w:rPr>
            </w:pPr>
          </w:p>
        </w:tc>
      </w:tr>
      <w:tr w:rsidR="00D62F3C" w:rsidRPr="002C32BA" w14:paraId="13563B0C"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A3DFA9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237</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Neconcordanța de scadențe</w:t>
            </w:r>
          </w:p>
          <w:p w14:paraId="76C464E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În ceea ce privește calculul cuantumurilor ponderate la risc ale expunerilor, neconcordanța de scadențe are loc atunci când scadența reziduală a protecției creditului este mai mică decât scadența expunerii protejate. Dacă protecția are o scadență reziduală mai mică de trei luni, iar scadența protecției este mai mică decât scadența expunerii-suport, protecția respectivă nu se califică drept protecție a creditului eligibilă.</w:t>
            </w:r>
          </w:p>
        </w:tc>
        <w:tc>
          <w:tcPr>
            <w:tcW w:w="1636" w:type="pct"/>
            <w:shd w:val="clear" w:color="auto" w:fill="auto"/>
          </w:tcPr>
          <w:p w14:paraId="79884129"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Capitolul X. </w:t>
            </w:r>
            <w:proofErr w:type="spellStart"/>
            <w:r w:rsidRPr="002C32BA">
              <w:rPr>
                <w:rFonts w:ascii="Times New Roman" w:hAnsi="Times New Roman"/>
                <w:sz w:val="20"/>
                <w:szCs w:val="20"/>
                <w:lang w:val="ro-RO" w:eastAsia="ru-RU"/>
              </w:rPr>
              <w:t>Cerinţe</w:t>
            </w:r>
            <w:proofErr w:type="spellEnd"/>
            <w:r w:rsidRPr="002C32BA">
              <w:rPr>
                <w:rFonts w:ascii="Times New Roman" w:hAnsi="Times New Roman"/>
                <w:sz w:val="20"/>
                <w:szCs w:val="20"/>
                <w:lang w:val="ro-RO" w:eastAsia="ru-RU"/>
              </w:rPr>
              <w:t xml:space="preserve"> pentru eligibilitatea </w:t>
            </w:r>
            <w:proofErr w:type="spellStart"/>
            <w:r w:rsidRPr="002C32BA">
              <w:rPr>
                <w:rFonts w:ascii="Times New Roman" w:hAnsi="Times New Roman"/>
                <w:sz w:val="20"/>
                <w:szCs w:val="20"/>
                <w:lang w:val="ro-RO" w:eastAsia="ru-RU"/>
              </w:rPr>
              <w:t>protecţiei</w:t>
            </w:r>
            <w:proofErr w:type="spellEnd"/>
            <w:r w:rsidRPr="002C32BA">
              <w:rPr>
                <w:rFonts w:ascii="Times New Roman" w:hAnsi="Times New Roman"/>
                <w:sz w:val="20"/>
                <w:szCs w:val="20"/>
                <w:lang w:val="ro-RO" w:eastAsia="ru-RU"/>
              </w:rPr>
              <w:t xml:space="preserve"> creditului în cazul neconcordanței de </w:t>
            </w:r>
            <w:proofErr w:type="spellStart"/>
            <w:r w:rsidRPr="002C32BA">
              <w:rPr>
                <w:rFonts w:ascii="Times New Roman" w:hAnsi="Times New Roman"/>
                <w:sz w:val="20"/>
                <w:szCs w:val="20"/>
                <w:lang w:val="ro-RO" w:eastAsia="ru-RU"/>
              </w:rPr>
              <w:t>scadenţă</w:t>
            </w:r>
            <w:proofErr w:type="spellEnd"/>
          </w:p>
          <w:p w14:paraId="4C0AC45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CB6787">
              <w:rPr>
                <w:rFonts w:ascii="Times New Roman" w:hAnsi="Times New Roman"/>
                <w:b/>
                <w:bCs/>
                <w:sz w:val="20"/>
                <w:szCs w:val="20"/>
                <w:lang w:val="ro-RO" w:eastAsia="ru-RU"/>
              </w:rPr>
              <w:t>117</w:t>
            </w:r>
            <w:r w:rsidRPr="002C32BA">
              <w:rPr>
                <w:rFonts w:ascii="Times New Roman" w:hAnsi="Times New Roman"/>
                <w:sz w:val="20"/>
                <w:szCs w:val="20"/>
                <w:lang w:val="ro-RO" w:eastAsia="ru-RU"/>
              </w:rPr>
              <w:t>. În scopul calculării valorilor ponderate la risc ale expunerilor, neconcordanța de scadențe are loc atunci când scadența reziduală a protecției creditului este mai mică decât cea a expunerii protejate.</w:t>
            </w:r>
          </w:p>
          <w:p w14:paraId="541BF5F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CB6787">
              <w:rPr>
                <w:rFonts w:ascii="Times New Roman" w:hAnsi="Times New Roman"/>
                <w:b/>
                <w:bCs/>
                <w:sz w:val="20"/>
                <w:szCs w:val="20"/>
                <w:lang w:val="ro-RO" w:eastAsia="ru-RU"/>
              </w:rPr>
              <w:t>118.</w:t>
            </w:r>
            <w:r w:rsidRPr="002C32BA">
              <w:rPr>
                <w:rFonts w:ascii="Times New Roman" w:hAnsi="Times New Roman"/>
                <w:sz w:val="20"/>
                <w:szCs w:val="20"/>
                <w:lang w:val="ro-RO" w:eastAsia="ru-RU"/>
              </w:rPr>
              <w:t xml:space="preserve"> Dacă protecția are o scadență reziduală mai mică de trei luni și scadența protecției este mai mică decât scadența expunerii-suport, protecția respectivă nu se califică drept protecție a creditului eligibilă.</w:t>
            </w:r>
          </w:p>
        </w:tc>
        <w:tc>
          <w:tcPr>
            <w:tcW w:w="562" w:type="pct"/>
          </w:tcPr>
          <w:p w14:paraId="4FB881FD"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45F9EA6" w14:textId="69CFC396"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1E90FFE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E23EED5"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În cazul în care există o neconcordanță de scadențe, protecția creditului nu se consideră eligibilă, dacă una din condițiile următoare este îndeplinită:</w:t>
            </w:r>
          </w:p>
          <w:p w14:paraId="738E5969"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(a) scadența inițială a protecției este mai mică de 1 an;</w:t>
            </w:r>
          </w:p>
          <w:p w14:paraId="3709110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(b) expunerea este o expunere pe termen scurt, a cărei valoare a scadenței (M) prevăzută la articolul 162 alineatul (3) este supusă, după cum specifică autoritățile competente, unui plafon de o zi și nu de un an.</w:t>
            </w:r>
          </w:p>
        </w:tc>
        <w:tc>
          <w:tcPr>
            <w:tcW w:w="1636" w:type="pct"/>
            <w:shd w:val="clear" w:color="auto" w:fill="auto"/>
          </w:tcPr>
          <w:p w14:paraId="56EB6006" w14:textId="77777777" w:rsidR="00D62F3C" w:rsidRDefault="00D62F3C" w:rsidP="00D62F3C">
            <w:pPr>
              <w:pStyle w:val="CM4"/>
              <w:tabs>
                <w:tab w:val="left" w:pos="150"/>
              </w:tabs>
              <w:ind w:left="-36"/>
              <w:rPr>
                <w:rFonts w:ascii="Times New Roman" w:hAnsi="Times New Roman"/>
                <w:color w:val="000000" w:themeColor="text1"/>
                <w:sz w:val="20"/>
                <w:szCs w:val="20"/>
                <w:lang w:val="ro-RO" w:eastAsia="ro-MD"/>
              </w:rPr>
            </w:pPr>
            <w:r w:rsidRPr="00CB6787">
              <w:rPr>
                <w:rFonts w:ascii="Times New Roman" w:hAnsi="Times New Roman"/>
                <w:b/>
                <w:bCs/>
                <w:sz w:val="20"/>
                <w:szCs w:val="20"/>
                <w:lang w:val="ro-RO" w:eastAsia="ru-RU"/>
              </w:rPr>
              <w:t>119.</w:t>
            </w:r>
            <w:r w:rsidRPr="002C32BA">
              <w:rPr>
                <w:rFonts w:ascii="Times New Roman" w:hAnsi="Times New Roman"/>
                <w:sz w:val="20"/>
                <w:szCs w:val="20"/>
                <w:lang w:val="ro-RO" w:eastAsia="ru-RU"/>
              </w:rPr>
              <w:t xml:space="preserve"> </w:t>
            </w:r>
            <w:r w:rsidR="00CB6787" w:rsidRPr="005C3300">
              <w:rPr>
                <w:rFonts w:ascii="Times New Roman" w:hAnsi="Times New Roman"/>
                <w:color w:val="000000" w:themeColor="text1"/>
                <w:sz w:val="20"/>
                <w:szCs w:val="20"/>
                <w:lang w:val="ro-RO" w:eastAsia="ro-MD"/>
              </w:rPr>
              <w:t>În cazul în care există o neconcordanță de scadențe, protecția creditului nu se consideră ca eligibilă, dacă scadența inițială a protecției este mai mică de 1 an sau dacă expunerea este o expunere pe termen scurt, a cărei valoare a scadenței (M) calculată conform actului normativ al Băncii Naționale a Moldovei aferent tratamentului riscului de credit pentru bănci potrivit abordării bazate pe modele interne de rating este supusă, unui plafon de o zi și nu de un an.</w:t>
            </w:r>
          </w:p>
          <w:p w14:paraId="71DFD598" w14:textId="36EF8175" w:rsidR="00CB6787" w:rsidRPr="00CB6787" w:rsidRDefault="00CB6787" w:rsidP="00CB6787">
            <w:pPr>
              <w:spacing w:before="120" w:after="0" w:line="240" w:lineRule="auto"/>
              <w:rPr>
                <w:lang w:eastAsia="ro-MD"/>
              </w:rPr>
            </w:pPr>
            <w:proofErr w:type="spellStart"/>
            <w:r>
              <w:rPr>
                <w:rFonts w:ascii="Times New Roman" w:hAnsi="Times New Roman" w:cs="Times New Roman"/>
                <w:i/>
                <w:iCs/>
                <w:color w:val="000000" w:themeColor="text1"/>
                <w:sz w:val="20"/>
                <w:szCs w:val="20"/>
              </w:rPr>
              <w:t>Modificat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prin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p</w:t>
            </w:r>
            <w:r w:rsidRPr="00684853">
              <w:rPr>
                <w:rFonts w:ascii="Times New Roman" w:hAnsi="Times New Roman" w:cs="Times New Roman"/>
                <w:i/>
                <w:iCs/>
                <w:color w:val="000000" w:themeColor="text1"/>
                <w:sz w:val="20"/>
                <w:szCs w:val="20"/>
              </w:rPr>
              <w:t>roiectul</w:t>
            </w:r>
            <w:proofErr w:type="spellEnd"/>
            <w:r w:rsidRPr="00684853">
              <w:rPr>
                <w:rFonts w:ascii="Times New Roman" w:hAnsi="Times New Roman" w:cs="Times New Roman"/>
                <w:i/>
                <w:iCs/>
                <w:color w:val="000000" w:themeColor="text1"/>
                <w:sz w:val="20"/>
                <w:szCs w:val="20"/>
              </w:rPr>
              <w:t xml:space="preserve"> HCE al BNM </w:t>
            </w:r>
            <w:proofErr w:type="spellStart"/>
            <w:r w:rsidRPr="00684853">
              <w:rPr>
                <w:rFonts w:ascii="Times New Roman" w:hAnsi="Times New Roman" w:cs="Times New Roman"/>
                <w:i/>
                <w:iCs/>
                <w:color w:val="000000" w:themeColor="text1"/>
                <w:sz w:val="20"/>
                <w:szCs w:val="20"/>
              </w:rPr>
              <w:t>pentru</w:t>
            </w:r>
            <w:proofErr w:type="spellEnd"/>
            <w:r w:rsidRPr="00684853">
              <w:rPr>
                <w:rFonts w:ascii="Times New Roman" w:hAnsi="Times New Roman" w:cs="Times New Roman"/>
                <w:i/>
                <w:iCs/>
                <w:color w:val="000000" w:themeColor="text1"/>
                <w:sz w:val="20"/>
                <w:szCs w:val="20"/>
              </w:rPr>
              <w:t xml:space="preserve"> </w:t>
            </w:r>
            <w:proofErr w:type="spellStart"/>
            <w:r w:rsidRPr="00684853">
              <w:rPr>
                <w:rFonts w:ascii="Times New Roman" w:hAnsi="Times New Roman" w:cs="Times New Roman"/>
                <w:i/>
                <w:iCs/>
                <w:color w:val="000000" w:themeColor="text1"/>
                <w:sz w:val="20"/>
                <w:szCs w:val="20"/>
              </w:rPr>
              <w:t>modificarea</w:t>
            </w:r>
            <w:proofErr w:type="spellEnd"/>
            <w:r>
              <w:rPr>
                <w:rFonts w:ascii="Times New Roman" w:hAnsi="Times New Roman" w:cs="Times New Roman"/>
                <w:i/>
                <w:iCs/>
                <w:color w:val="000000" w:themeColor="text1"/>
                <w:sz w:val="20"/>
                <w:szCs w:val="20"/>
              </w:rPr>
              <w:t xml:space="preserve"> </w:t>
            </w:r>
            <w:proofErr w:type="spellStart"/>
            <w:r w:rsidRPr="00314B7C">
              <w:rPr>
                <w:rFonts w:ascii="Times New Roman" w:hAnsi="Times New Roman" w:cs="Times New Roman"/>
                <w:i/>
                <w:iCs/>
                <w:color w:val="000000" w:themeColor="text1"/>
                <w:sz w:val="20"/>
                <w:szCs w:val="20"/>
              </w:rPr>
              <w:t>Regulamentului</w:t>
            </w:r>
            <w:proofErr w:type="spellEnd"/>
            <w:r w:rsidRPr="00314B7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 xml:space="preserve">nr.112/2018 </w:t>
            </w:r>
            <w:r w:rsidRPr="00314B7C">
              <w:rPr>
                <w:rFonts w:ascii="Times New Roman" w:hAnsi="Times New Roman" w:cs="Times New Roman"/>
                <w:i/>
                <w:iCs/>
                <w:color w:val="000000" w:themeColor="text1"/>
                <w:sz w:val="20"/>
                <w:szCs w:val="20"/>
              </w:rPr>
              <w:t xml:space="preserve">cu </w:t>
            </w:r>
            <w:proofErr w:type="spellStart"/>
            <w:r w:rsidRPr="00314B7C">
              <w:rPr>
                <w:rFonts w:ascii="Times New Roman" w:hAnsi="Times New Roman" w:cs="Times New Roman"/>
                <w:i/>
                <w:iCs/>
                <w:color w:val="000000" w:themeColor="text1"/>
                <w:sz w:val="20"/>
                <w:szCs w:val="20"/>
              </w:rPr>
              <w:t>privire</w:t>
            </w:r>
            <w:proofErr w:type="spellEnd"/>
            <w:r w:rsidRPr="00314B7C">
              <w:rPr>
                <w:rFonts w:ascii="Times New Roman" w:hAnsi="Times New Roman" w:cs="Times New Roman"/>
                <w:i/>
                <w:iCs/>
                <w:color w:val="000000" w:themeColor="text1"/>
                <w:sz w:val="20"/>
                <w:szCs w:val="20"/>
              </w:rPr>
              <w:t xml:space="preserve"> la </w:t>
            </w:r>
            <w:proofErr w:type="spellStart"/>
            <w:r w:rsidRPr="00314B7C">
              <w:rPr>
                <w:rFonts w:ascii="Times New Roman" w:hAnsi="Times New Roman" w:cs="Times New Roman"/>
                <w:i/>
                <w:iCs/>
                <w:color w:val="000000" w:themeColor="text1"/>
                <w:sz w:val="20"/>
                <w:szCs w:val="20"/>
              </w:rPr>
              <w:t>tehnicile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diminuare</w:t>
            </w:r>
            <w:proofErr w:type="spellEnd"/>
            <w:r w:rsidRPr="00314B7C">
              <w:rPr>
                <w:rFonts w:ascii="Times New Roman" w:hAnsi="Times New Roman" w:cs="Times New Roman"/>
                <w:i/>
                <w:iCs/>
                <w:color w:val="000000" w:themeColor="text1"/>
                <w:sz w:val="20"/>
                <w:szCs w:val="20"/>
              </w:rPr>
              <w:t xml:space="preserve"> a </w:t>
            </w:r>
            <w:proofErr w:type="spellStart"/>
            <w:r w:rsidRPr="00314B7C">
              <w:rPr>
                <w:rFonts w:ascii="Times New Roman" w:hAnsi="Times New Roman" w:cs="Times New Roman"/>
                <w:i/>
                <w:iCs/>
                <w:color w:val="000000" w:themeColor="text1"/>
                <w:sz w:val="20"/>
                <w:szCs w:val="20"/>
              </w:rPr>
              <w:t>riscului</w:t>
            </w:r>
            <w:proofErr w:type="spellEnd"/>
            <w:r w:rsidRPr="00314B7C">
              <w:rPr>
                <w:rFonts w:ascii="Times New Roman" w:hAnsi="Times New Roman" w:cs="Times New Roman"/>
                <w:i/>
                <w:iCs/>
                <w:color w:val="000000" w:themeColor="text1"/>
                <w:sz w:val="20"/>
                <w:szCs w:val="20"/>
              </w:rPr>
              <w:t xml:space="preserve"> de credit </w:t>
            </w:r>
            <w:proofErr w:type="spellStart"/>
            <w:r w:rsidRPr="00314B7C">
              <w:rPr>
                <w:rFonts w:ascii="Times New Roman" w:hAnsi="Times New Roman" w:cs="Times New Roman"/>
                <w:i/>
                <w:iCs/>
                <w:color w:val="000000" w:themeColor="text1"/>
                <w:sz w:val="20"/>
                <w:szCs w:val="20"/>
              </w:rPr>
              <w:t>utilizate</w:t>
            </w:r>
            <w:proofErr w:type="spellEnd"/>
            <w:r w:rsidRPr="00314B7C">
              <w:rPr>
                <w:rFonts w:ascii="Times New Roman" w:hAnsi="Times New Roman" w:cs="Times New Roman"/>
                <w:i/>
                <w:iCs/>
                <w:color w:val="000000" w:themeColor="text1"/>
                <w:sz w:val="20"/>
                <w:szCs w:val="20"/>
              </w:rPr>
              <w:t xml:space="preserve"> de </w:t>
            </w:r>
            <w:proofErr w:type="spellStart"/>
            <w:r w:rsidRPr="00314B7C">
              <w:rPr>
                <w:rFonts w:ascii="Times New Roman" w:hAnsi="Times New Roman" w:cs="Times New Roman"/>
                <w:i/>
                <w:iCs/>
                <w:color w:val="000000" w:themeColor="text1"/>
                <w:sz w:val="20"/>
                <w:szCs w:val="20"/>
              </w:rPr>
              <w:t>bănci</w:t>
            </w:r>
            <w:proofErr w:type="spellEnd"/>
          </w:p>
        </w:tc>
        <w:tc>
          <w:tcPr>
            <w:tcW w:w="562" w:type="pct"/>
          </w:tcPr>
          <w:p w14:paraId="33121910"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Parțial compatibil</w:t>
            </w:r>
          </w:p>
        </w:tc>
        <w:tc>
          <w:tcPr>
            <w:tcW w:w="885" w:type="pct"/>
          </w:tcPr>
          <w:p w14:paraId="58584391" w14:textId="2CA8C915" w:rsidR="00D62F3C"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p w14:paraId="4D24F9D3" w14:textId="77777777" w:rsidR="00D62F3C" w:rsidRPr="002C32BA" w:rsidRDefault="00D62F3C" w:rsidP="00D62F3C">
            <w:pPr>
              <w:jc w:val="both"/>
              <w:rPr>
                <w:rFonts w:ascii="Times New Roman" w:hAnsi="Times New Roman" w:cs="Times New Roman"/>
                <w:sz w:val="20"/>
                <w:szCs w:val="20"/>
                <w:lang w:val="ro-RO"/>
              </w:rPr>
            </w:pPr>
            <w:proofErr w:type="spellStart"/>
            <w:r w:rsidRPr="002C32BA">
              <w:rPr>
                <w:rFonts w:ascii="Times New Roman" w:hAnsi="Times New Roman" w:cs="Times New Roman"/>
                <w:sz w:val="20"/>
                <w:szCs w:val="20"/>
                <w:lang w:val="ro-RO"/>
              </w:rPr>
              <w:t>Prevdererea</w:t>
            </w:r>
            <w:proofErr w:type="spellEnd"/>
            <w:r w:rsidRPr="002C32BA">
              <w:rPr>
                <w:rFonts w:ascii="Times New Roman" w:hAnsi="Times New Roman" w:cs="Times New Roman"/>
                <w:sz w:val="20"/>
                <w:szCs w:val="20"/>
                <w:lang w:val="ro-RO"/>
              </w:rPr>
              <w:t xml:space="preserve"> art.237 alin.(2) lit.(b) din CRR vizează abordarea IRB care urmează a fi transpusă la o etapă ulterioară.</w:t>
            </w:r>
          </w:p>
        </w:tc>
      </w:tr>
      <w:tr w:rsidR="00D62F3C" w:rsidRPr="002C32BA" w14:paraId="3DEC7E0F"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BB6ECA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Articolul 238</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Scadența protecției creditului</w:t>
            </w:r>
          </w:p>
          <w:p w14:paraId="73A0CBE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În limita a maximum 5 ani, scadența efectivă a expunerii-suport este perioada cea mai lungă posibil, rămasă până la momentul la care este stabilită îndeplinirea obligațiilor de către debitor. Sub rezerva alineatului (2), scadența protecției creditului este perioada rămasă până la cea mai apropiată dată la care protecția poate expira sau poate fi reziliată.</w:t>
            </w:r>
          </w:p>
        </w:tc>
        <w:tc>
          <w:tcPr>
            <w:tcW w:w="1636" w:type="pct"/>
            <w:shd w:val="clear" w:color="auto" w:fill="auto"/>
          </w:tcPr>
          <w:p w14:paraId="7ABB60F0"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Capitolul XI. Scadența protecției creditului</w:t>
            </w:r>
          </w:p>
          <w:p w14:paraId="0182D97E"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CB6787">
              <w:rPr>
                <w:rFonts w:ascii="Times New Roman" w:hAnsi="Times New Roman"/>
                <w:b/>
                <w:bCs/>
                <w:sz w:val="20"/>
                <w:szCs w:val="20"/>
                <w:lang w:val="ro-RO" w:eastAsia="ru-RU"/>
              </w:rPr>
              <w:t>120.</w:t>
            </w:r>
            <w:r w:rsidRPr="002C32BA">
              <w:rPr>
                <w:rFonts w:ascii="Times New Roman" w:hAnsi="Times New Roman"/>
                <w:sz w:val="20"/>
                <w:szCs w:val="20"/>
                <w:lang w:val="ro-RO" w:eastAsia="ru-RU"/>
              </w:rPr>
              <w:t xml:space="preserve"> Sub rezerva unei limite maxime de 5 ani, scadența efectivă a activului-suport este cea mai lungă perioada posibilă, rămasă până la momentul la care este stabilită îndeplinirea obligațiilor de către debitor.</w:t>
            </w:r>
          </w:p>
          <w:p w14:paraId="13DE6575"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CB6787">
              <w:rPr>
                <w:rFonts w:ascii="Times New Roman" w:hAnsi="Times New Roman"/>
                <w:b/>
                <w:bCs/>
                <w:sz w:val="20"/>
                <w:szCs w:val="20"/>
                <w:lang w:val="ro-RO" w:eastAsia="ru-RU"/>
              </w:rPr>
              <w:t>121.</w:t>
            </w:r>
            <w:r w:rsidRPr="002C32BA">
              <w:rPr>
                <w:rFonts w:ascii="Times New Roman" w:hAnsi="Times New Roman"/>
                <w:sz w:val="20"/>
                <w:szCs w:val="20"/>
                <w:lang w:val="ro-RO" w:eastAsia="ru-RU"/>
              </w:rPr>
              <w:t xml:space="preserve"> Sub rezerva punctelor 122 și 123, scadența protecției creditului este perioada până la cea mai apropiată dată la care protecția poate expira sau poate fi reziliată.</w:t>
            </w:r>
          </w:p>
        </w:tc>
        <w:tc>
          <w:tcPr>
            <w:tcW w:w="562" w:type="pct"/>
          </w:tcPr>
          <w:p w14:paraId="55E6F333"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180CCBA0" w14:textId="71F2D570"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7A0BA745"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4ACE37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(2) Dacă există o opțiune de a înceta protecția, aflată la discreția vânzătorului protecției, instituțiile consideră scadența protecției ca fiind perioada rămasă până la data cea mai apropiată la care poate fi exercitată opțiunea respectivă. Dacă există o opțiune de a înceta protecția, aflată la discreția cumpărătorului protecției, iar prevederile contractului la momentul inițierii protecției conțin stimulente pentru exercitarea acestei opțiuni de către instituție înainte de scadența contractuală, instituția consideră scadența protecției ca fiind perioada rămasă până la data cea mai apropiată la care poate fi exercitată opțiunea respectivă; în caz contrar, instituția poate considera că o astfel de opțiune nu afectează scadența protecției.</w:t>
            </w:r>
          </w:p>
        </w:tc>
        <w:tc>
          <w:tcPr>
            <w:tcW w:w="1636" w:type="pct"/>
            <w:shd w:val="clear" w:color="auto" w:fill="auto"/>
          </w:tcPr>
          <w:p w14:paraId="679FE44F"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CB6787">
              <w:rPr>
                <w:rFonts w:ascii="Times New Roman" w:hAnsi="Times New Roman"/>
                <w:b/>
                <w:bCs/>
                <w:sz w:val="20"/>
                <w:szCs w:val="20"/>
                <w:lang w:val="ro-RO" w:eastAsia="ru-RU"/>
              </w:rPr>
              <w:t>122.</w:t>
            </w:r>
            <w:r w:rsidRPr="002C32BA">
              <w:rPr>
                <w:rFonts w:ascii="Times New Roman" w:hAnsi="Times New Roman"/>
                <w:sz w:val="20"/>
                <w:szCs w:val="20"/>
                <w:lang w:val="ro-RO" w:eastAsia="ru-RU"/>
              </w:rPr>
              <w:t xml:space="preserve"> Dacă există o opțiune de a înceta protecția, aflată la discreția vânzătorului protecției, băncile trebuie să considere scadența protecției ca fiind perioada până la cea mai apropiată data la care opțiunea respectivă poate fi exercitată.</w:t>
            </w:r>
          </w:p>
          <w:p w14:paraId="7C06A9D9"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CB6787">
              <w:rPr>
                <w:rFonts w:ascii="Times New Roman" w:hAnsi="Times New Roman"/>
                <w:b/>
                <w:bCs/>
                <w:sz w:val="20"/>
                <w:szCs w:val="20"/>
                <w:lang w:val="ro-RO" w:eastAsia="ru-RU"/>
              </w:rPr>
              <w:t>123.</w:t>
            </w:r>
            <w:r w:rsidRPr="002C32BA">
              <w:rPr>
                <w:rFonts w:ascii="Times New Roman" w:hAnsi="Times New Roman"/>
                <w:sz w:val="20"/>
                <w:szCs w:val="20"/>
                <w:lang w:val="ro-RO" w:eastAsia="ru-RU"/>
              </w:rPr>
              <w:t xml:space="preserve"> Dacă există o opțiune de a înceta protecția, aflată la discreția cumpărătorului protecției, iar prevederile contractului în baza căruia s-a stabilit protecția conțin un stimulent </w:t>
            </w:r>
            <w:proofErr w:type="spellStart"/>
            <w:r w:rsidRPr="002C32BA">
              <w:rPr>
                <w:rFonts w:ascii="Times New Roman" w:hAnsi="Times New Roman"/>
                <w:sz w:val="20"/>
                <w:szCs w:val="20"/>
                <w:lang w:val="ro-RO" w:eastAsia="ru-RU"/>
              </w:rPr>
              <w:t>positiv</w:t>
            </w:r>
            <w:proofErr w:type="spellEnd"/>
            <w:r w:rsidRPr="002C32BA">
              <w:rPr>
                <w:rFonts w:ascii="Times New Roman" w:hAnsi="Times New Roman"/>
                <w:sz w:val="20"/>
                <w:szCs w:val="20"/>
                <w:lang w:val="ro-RO" w:eastAsia="ru-RU"/>
              </w:rPr>
              <w:t xml:space="preserve"> pentru exercitarea acestei opțiuni de către banca înainte de scadența contractuală, banca trebuie să considere scadența protecției ca fiind perioada până la cea mai apropiată data la care opțiunea respectivă poate fi exercitată. În </w:t>
            </w:r>
            <w:proofErr w:type="spellStart"/>
            <w:r w:rsidRPr="002C32BA">
              <w:rPr>
                <w:rFonts w:ascii="Times New Roman" w:hAnsi="Times New Roman"/>
                <w:sz w:val="20"/>
                <w:szCs w:val="20"/>
                <w:lang w:val="ro-RO" w:eastAsia="ru-RU"/>
              </w:rPr>
              <w:t>în</w:t>
            </w:r>
            <w:proofErr w:type="spellEnd"/>
            <w:r w:rsidRPr="002C32BA">
              <w:rPr>
                <w:rFonts w:ascii="Times New Roman" w:hAnsi="Times New Roman"/>
                <w:sz w:val="20"/>
                <w:szCs w:val="20"/>
                <w:lang w:val="ro-RO" w:eastAsia="ru-RU"/>
              </w:rPr>
              <w:t xml:space="preserve"> caz contrar, banca poate considera că o astfel de opțiune nu afectează scadența protecției.</w:t>
            </w:r>
          </w:p>
        </w:tc>
        <w:tc>
          <w:tcPr>
            <w:tcW w:w="562" w:type="pct"/>
          </w:tcPr>
          <w:p w14:paraId="26AEF367"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0BC7CC7" w14:textId="09253264"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1FF5E6BD"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C1CFF2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(3) Dacă nu este împiedicată rezilierea unui instrument financiar derivat de credit înainte de încheierea oricărei perioade de grație necesare ca starea de nerambursare a obligației-suport să se producă în urma unei neplăți, instituțiile trebuie să reducă scadența protecției cu durata perioadei de grație.</w:t>
            </w:r>
          </w:p>
        </w:tc>
        <w:tc>
          <w:tcPr>
            <w:tcW w:w="1636" w:type="pct"/>
            <w:shd w:val="clear" w:color="auto" w:fill="auto"/>
          </w:tcPr>
          <w:p w14:paraId="6F74283E"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CB6787">
              <w:rPr>
                <w:rFonts w:ascii="Times New Roman" w:hAnsi="Times New Roman"/>
                <w:b/>
                <w:bCs/>
                <w:sz w:val="20"/>
                <w:szCs w:val="20"/>
                <w:lang w:val="ro-RO" w:eastAsia="ru-RU"/>
              </w:rPr>
              <w:t>124.</w:t>
            </w:r>
            <w:r w:rsidRPr="002C32BA">
              <w:rPr>
                <w:rFonts w:ascii="Times New Roman" w:hAnsi="Times New Roman"/>
                <w:sz w:val="20"/>
                <w:szCs w:val="20"/>
                <w:lang w:val="ro-RO" w:eastAsia="ru-RU"/>
              </w:rPr>
              <w:t xml:space="preserve"> Dacă nu este împiedicată rezilierea unui instrument financiar derivat de credit înainte de expirarea oricărei perioade de grație necesare ca starea de nerambursare a obligației-suport să se producă în urma unei neplăți, băncile trebuie să reducă scadența protecției cu durata perioadei de grație.</w:t>
            </w:r>
          </w:p>
        </w:tc>
        <w:tc>
          <w:tcPr>
            <w:tcW w:w="562" w:type="pct"/>
          </w:tcPr>
          <w:p w14:paraId="5638C683"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5B247052" w14:textId="0318DC97"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48B69B20"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37A1982F" w14:textId="77777777"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Articolul 239</w:t>
            </w:r>
            <w:r w:rsidRPr="002C32BA">
              <w:rPr>
                <w:rFonts w:ascii="Times New Roman" w:hAnsi="Times New Roman"/>
                <w:iCs/>
                <w:sz w:val="20"/>
                <w:szCs w:val="20"/>
                <w:lang w:val="ro-RO" w:eastAsia="ru-RU"/>
              </w:rPr>
              <w:t xml:space="preserve"> </w:t>
            </w:r>
            <w:r w:rsidRPr="002C32BA">
              <w:rPr>
                <w:rFonts w:ascii="Times New Roman" w:hAnsi="Times New Roman"/>
                <w:b/>
                <w:iCs/>
                <w:sz w:val="20"/>
                <w:szCs w:val="20"/>
                <w:lang w:val="ro-RO" w:eastAsia="ru-RU"/>
              </w:rPr>
              <w:t>Evaluarea protecției</w:t>
            </w:r>
          </w:p>
          <w:p w14:paraId="4D580D6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(1) În cazul tranzacțiilor supuse protecției finanțate a creditului în cadrul metodei simple a garanțiilor financiare, dacă există o neconcordanță între scadența expunerii și cea a protecției, garanția reală nu este considerată protecție finanțată a creditului eligibilă.</w:t>
            </w:r>
          </w:p>
        </w:tc>
        <w:tc>
          <w:tcPr>
            <w:tcW w:w="1636" w:type="pct"/>
            <w:shd w:val="clear" w:color="auto" w:fill="auto"/>
          </w:tcPr>
          <w:p w14:paraId="46070973"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Capitolul XII. Evaluarea protecției</w:t>
            </w:r>
          </w:p>
          <w:p w14:paraId="1702633C"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p>
          <w:p w14:paraId="51A5C232"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CB6787">
              <w:rPr>
                <w:rFonts w:ascii="Times New Roman" w:hAnsi="Times New Roman"/>
                <w:b/>
                <w:bCs/>
                <w:sz w:val="20"/>
                <w:szCs w:val="20"/>
                <w:lang w:val="ro-RO" w:eastAsia="ru-RU"/>
              </w:rPr>
              <w:t>125.</w:t>
            </w:r>
            <w:r w:rsidRPr="002C32BA">
              <w:rPr>
                <w:rFonts w:ascii="Times New Roman" w:hAnsi="Times New Roman"/>
                <w:sz w:val="20"/>
                <w:szCs w:val="20"/>
                <w:lang w:val="ro-RO" w:eastAsia="ru-RU"/>
              </w:rPr>
              <w:t xml:space="preserve"> În cazul tranzacțiilor supuse protecției finanțate a creditului în cadrul metodei simple a garanțiilor financiare, dacă există o neconcordanță între scadența expunerii și scadența protecției, garanția reală nu este considerată protecție finanțată a creditului eligibilă.</w:t>
            </w:r>
          </w:p>
        </w:tc>
        <w:tc>
          <w:tcPr>
            <w:tcW w:w="562" w:type="pct"/>
          </w:tcPr>
          <w:p w14:paraId="5F17EA5A"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33867801" w14:textId="1FEAEA7D"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78301D49"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069EF85"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hAnsi="Times New Roman"/>
                <w:iCs/>
                <w:sz w:val="20"/>
                <w:szCs w:val="20"/>
                <w:lang w:val="ro-RO" w:eastAsia="ru-RU"/>
              </w:rPr>
              <w:t>(2) În cazul tranzacțiilor supuse protecției finanțate a creditului în cadrul metodei extinse a garanțiilor financiare, instituțiile trebuie să țină seama de scadența protecției creditului și de scadența expunerii la calculul valorii ajustate a garanției reale conform următoarei formule:</w:t>
            </w:r>
            <w:r w:rsidRPr="002C32BA">
              <w:rPr>
                <w:rFonts w:ascii="Times New Roman" w:hAnsi="Times New Roman"/>
                <w:sz w:val="20"/>
                <w:szCs w:val="20"/>
                <w:lang w:val="ro-RO"/>
              </w:rPr>
              <w:t xml:space="preserve"> </w:t>
            </w:r>
          </w:p>
          <w:p w14:paraId="1B169371"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eastAsia="Arial Unicode MS" w:hAnsi="Times New Roman"/>
                <w:noProof/>
                <w:sz w:val="20"/>
                <w:szCs w:val="20"/>
                <w:lang w:val="ro-RO"/>
              </w:rPr>
              <w:drawing>
                <wp:inline distT="0" distB="0" distL="0" distR="0" wp14:anchorId="10477D76" wp14:editId="21A4C0DB">
                  <wp:extent cx="1534601" cy="310009"/>
                  <wp:effectExtent l="0" t="0" r="8890" b="0"/>
                  <wp:docPr id="21" name="Picture 21"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imag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53890" cy="313906"/>
                          </a:xfrm>
                          <a:prstGeom prst="rect">
                            <a:avLst/>
                          </a:prstGeom>
                          <a:noFill/>
                          <a:ln>
                            <a:noFill/>
                          </a:ln>
                        </pic:spPr>
                      </pic:pic>
                    </a:graphicData>
                  </a:graphic>
                </wp:inline>
              </w:drawing>
            </w:r>
          </w:p>
          <w:p w14:paraId="4C230C8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unde:</w:t>
            </w:r>
          </w:p>
          <w:p w14:paraId="77A44C8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C </w:t>
            </w:r>
            <w:r w:rsidRPr="002C32BA">
              <w:rPr>
                <w:rFonts w:ascii="Times New Roman" w:hAnsi="Times New Roman"/>
                <w:iCs/>
                <w:sz w:val="20"/>
                <w:szCs w:val="20"/>
                <w:vertAlign w:val="subscript"/>
                <w:lang w:val="ro-RO" w:eastAsia="ru-RU"/>
              </w:rPr>
              <w:t>VA</w:t>
            </w:r>
            <w:r w:rsidRPr="002C32BA">
              <w:rPr>
                <w:rFonts w:ascii="Times New Roman" w:hAnsi="Times New Roman"/>
                <w:iCs/>
                <w:sz w:val="20"/>
                <w:szCs w:val="20"/>
                <w:lang w:val="ro-RO" w:eastAsia="ru-RU"/>
              </w:rPr>
              <w:t xml:space="preserve"> = valoarea cea mai mică dintre valoarea ajustată în funcție de volatilitate a garanției reale, specificată la articolul 223 alineatul (2), și cuantumul expunerii;</w:t>
            </w:r>
          </w:p>
          <w:p w14:paraId="75193E7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t = valoarea cea mai mică dintre numărul de ani rămași până la data scadenței protecției creditului, calculată în conformitate cu articolul 238, și valoarea T;</w:t>
            </w:r>
          </w:p>
          <w:p w14:paraId="647F6B6C"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T = valoarea cea mai mică dintre numărul de ani rămași până la data scadenței expunerii, calculată în conformitate cu articolul 238, și cinci ani;</w:t>
            </w:r>
          </w:p>
          <w:p w14:paraId="0748ED9F"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t* = 0,25.</w:t>
            </w:r>
          </w:p>
          <w:p w14:paraId="13D0A902"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În formula de calcul a valorii ajustate integral a expunerii (E*), prevăzută la articolul 223 alineatul (5), instituțiile trebuie să utilizeze C </w:t>
            </w:r>
            <w:r w:rsidRPr="002C32BA">
              <w:rPr>
                <w:rFonts w:ascii="Times New Roman" w:hAnsi="Times New Roman"/>
                <w:iCs/>
                <w:sz w:val="20"/>
                <w:szCs w:val="20"/>
                <w:vertAlign w:val="subscript"/>
                <w:lang w:val="ro-RO" w:eastAsia="ru-RU"/>
              </w:rPr>
              <w:t>VAM</w:t>
            </w:r>
            <w:r w:rsidRPr="002C32BA">
              <w:rPr>
                <w:rFonts w:ascii="Times New Roman" w:hAnsi="Times New Roman"/>
                <w:iCs/>
                <w:sz w:val="20"/>
                <w:szCs w:val="20"/>
                <w:lang w:val="ro-RO" w:eastAsia="ru-RU"/>
              </w:rPr>
              <w:t xml:space="preserve"> ca C </w:t>
            </w:r>
            <w:r w:rsidRPr="002C32BA">
              <w:rPr>
                <w:rFonts w:ascii="Times New Roman" w:hAnsi="Times New Roman"/>
                <w:iCs/>
                <w:sz w:val="20"/>
                <w:szCs w:val="20"/>
                <w:vertAlign w:val="subscript"/>
                <w:lang w:val="ro-RO" w:eastAsia="ru-RU"/>
              </w:rPr>
              <w:t>VA</w:t>
            </w:r>
            <w:r w:rsidRPr="002C32BA">
              <w:rPr>
                <w:rFonts w:ascii="Times New Roman" w:hAnsi="Times New Roman"/>
                <w:iCs/>
                <w:sz w:val="20"/>
                <w:szCs w:val="20"/>
                <w:lang w:val="ro-RO" w:eastAsia="ru-RU"/>
              </w:rPr>
              <w:t xml:space="preserve"> ajustată suplimentar pentru neconcordanța de scadențe.</w:t>
            </w:r>
          </w:p>
        </w:tc>
        <w:tc>
          <w:tcPr>
            <w:tcW w:w="1636" w:type="pct"/>
            <w:shd w:val="clear" w:color="auto" w:fill="auto"/>
          </w:tcPr>
          <w:p w14:paraId="46F066B3"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CB6787">
              <w:rPr>
                <w:rFonts w:ascii="Times New Roman" w:hAnsi="Times New Roman"/>
                <w:b/>
                <w:bCs/>
                <w:sz w:val="20"/>
                <w:szCs w:val="20"/>
                <w:lang w:val="ro-RO" w:eastAsia="ru-RU"/>
              </w:rPr>
              <w:t>126.</w:t>
            </w:r>
            <w:r w:rsidRPr="002C32BA">
              <w:rPr>
                <w:rFonts w:ascii="Times New Roman" w:hAnsi="Times New Roman"/>
                <w:sz w:val="20"/>
                <w:szCs w:val="20"/>
                <w:lang w:val="ro-RO" w:eastAsia="ru-RU"/>
              </w:rPr>
              <w:t xml:space="preserve"> În cazul tranzacțiilor supuse protecției finanțate a creditului în cadrul metodei extinse a garanțiilor financiare, băncile trebuie să reflecte scadența protecției creditului și scadența expunerii în valoarea ajustată a garanției reale conform următoarei formule: </w:t>
            </w:r>
          </w:p>
          <w:p w14:paraId="0FA0CAFB"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r w:rsidRPr="002C32BA">
              <w:rPr>
                <w:rFonts w:ascii="Times New Roman" w:eastAsia="Arial Unicode MS" w:hAnsi="Times New Roman"/>
                <w:noProof/>
                <w:sz w:val="20"/>
                <w:szCs w:val="20"/>
                <w:lang w:val="ro-RO"/>
              </w:rPr>
              <w:drawing>
                <wp:inline distT="0" distB="0" distL="0" distR="0" wp14:anchorId="488752BF" wp14:editId="0A7E4447">
                  <wp:extent cx="1231379" cy="323850"/>
                  <wp:effectExtent l="0" t="0" r="6985" b="0"/>
                  <wp:docPr id="33" name="Picture 33"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imag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65673" cy="332869"/>
                          </a:xfrm>
                          <a:prstGeom prst="rect">
                            <a:avLst/>
                          </a:prstGeom>
                          <a:noFill/>
                          <a:ln>
                            <a:noFill/>
                          </a:ln>
                        </pic:spPr>
                      </pic:pic>
                    </a:graphicData>
                  </a:graphic>
                </wp:inline>
              </w:drawing>
            </w:r>
          </w:p>
          <w:p w14:paraId="2697AC84"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 xml:space="preserve">unde: </w:t>
            </w:r>
          </w:p>
          <w:p w14:paraId="23C219AC"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C</w:t>
            </w:r>
            <w:r w:rsidRPr="002C32BA">
              <w:rPr>
                <w:rFonts w:ascii="Times New Roman" w:hAnsi="Times New Roman"/>
                <w:sz w:val="20"/>
                <w:szCs w:val="20"/>
                <w:vertAlign w:val="subscript"/>
                <w:lang w:val="ro-RO" w:eastAsia="ru-RU"/>
              </w:rPr>
              <w:t>VA</w:t>
            </w:r>
            <w:r w:rsidRPr="002C32BA">
              <w:rPr>
                <w:rFonts w:ascii="Times New Roman" w:hAnsi="Times New Roman"/>
                <w:sz w:val="20"/>
                <w:szCs w:val="20"/>
                <w:lang w:val="ro-RO" w:eastAsia="ru-RU"/>
              </w:rPr>
              <w:t xml:space="preserve"> = valoarea cea mai mică dintre valoarea ajustată în funcție de volatilitate a garanției reale, specificată la punctul 87, și valoarea expunerii; </w:t>
            </w:r>
          </w:p>
          <w:p w14:paraId="685FAD87"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 xml:space="preserve">t = valoarea cea mai mică dintre numărul de ani rămași până la data scadenței protecției creditului, calculată în conformitate cu capitolul XI, și valoarea T; </w:t>
            </w:r>
          </w:p>
          <w:p w14:paraId="39911046"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 xml:space="preserve">T = valoarea cea mai mică dintre numărul de ani rămași până la data scadenței expunerii, calculată în conformitate cu capitolul XI, și cinci ani; </w:t>
            </w:r>
          </w:p>
          <w:p w14:paraId="0D2A2D6B"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 xml:space="preserve">t* = 0,25. </w:t>
            </w:r>
          </w:p>
          <w:p w14:paraId="261D0923" w14:textId="77777777" w:rsidR="00D62F3C" w:rsidRPr="002C32BA" w:rsidRDefault="00D62F3C" w:rsidP="00D62F3C">
            <w:pPr>
              <w:pStyle w:val="CM4"/>
              <w:tabs>
                <w:tab w:val="left" w:pos="150"/>
              </w:tabs>
              <w:ind w:left="-36"/>
              <w:jc w:val="both"/>
              <w:rPr>
                <w:rFonts w:ascii="Times New Roman" w:hAnsi="Times New Roman"/>
                <w:sz w:val="20"/>
                <w:szCs w:val="20"/>
                <w:lang w:val="ro-RO" w:eastAsia="ru-RU"/>
              </w:rPr>
            </w:pPr>
            <w:r w:rsidRPr="002C32BA">
              <w:rPr>
                <w:rFonts w:ascii="Times New Roman" w:hAnsi="Times New Roman"/>
                <w:sz w:val="20"/>
                <w:szCs w:val="20"/>
                <w:lang w:val="ro-RO" w:eastAsia="ru-RU"/>
              </w:rPr>
              <w:t>În formula de calcul a valorii ajustate integral a expunerii (E*), prevăzută la punctul 92, băncile trebuie să utilizeze C</w:t>
            </w:r>
            <w:r w:rsidRPr="002C32BA">
              <w:rPr>
                <w:rFonts w:ascii="Times New Roman" w:hAnsi="Times New Roman"/>
                <w:sz w:val="20"/>
                <w:szCs w:val="20"/>
                <w:vertAlign w:val="subscript"/>
                <w:lang w:val="ro-RO" w:eastAsia="ru-RU"/>
              </w:rPr>
              <w:t>VAM</w:t>
            </w:r>
            <w:r w:rsidRPr="002C32BA">
              <w:rPr>
                <w:rFonts w:ascii="Times New Roman" w:hAnsi="Times New Roman"/>
                <w:sz w:val="20"/>
                <w:szCs w:val="20"/>
                <w:lang w:val="ro-RO" w:eastAsia="ru-RU"/>
              </w:rPr>
              <w:t xml:space="preserve"> ca C</w:t>
            </w:r>
            <w:r w:rsidRPr="002C32BA">
              <w:rPr>
                <w:rFonts w:ascii="Times New Roman" w:hAnsi="Times New Roman"/>
                <w:sz w:val="20"/>
                <w:szCs w:val="20"/>
                <w:vertAlign w:val="subscript"/>
                <w:lang w:val="ro-RO" w:eastAsia="ru-RU"/>
              </w:rPr>
              <w:t>VA</w:t>
            </w:r>
            <w:r w:rsidRPr="002C32BA">
              <w:rPr>
                <w:rFonts w:ascii="Times New Roman" w:hAnsi="Times New Roman"/>
                <w:sz w:val="20"/>
                <w:szCs w:val="20"/>
                <w:lang w:val="ro-RO" w:eastAsia="ru-RU"/>
              </w:rPr>
              <w:t xml:space="preserve"> ajustată suplimentar pentru neconcordanța de scadențe.</w:t>
            </w:r>
          </w:p>
        </w:tc>
        <w:tc>
          <w:tcPr>
            <w:tcW w:w="562" w:type="pct"/>
          </w:tcPr>
          <w:p w14:paraId="42F43E16"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2EFE9893" w14:textId="38B091A2"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6DFED7BE"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68E06A36"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hAnsi="Times New Roman"/>
                <w:iCs/>
                <w:sz w:val="20"/>
                <w:szCs w:val="20"/>
                <w:lang w:val="ro-RO" w:eastAsia="ru-RU"/>
              </w:rPr>
              <w:t>(3) În cazul tranzacțiilor supuse protecției nefinanțate a creditului, instituțiile trebuie să țină seama de scadența protecției creditului și de scadența expunerii la calculul valorii ajustate a protecției creditului conform următoarei formule:</w:t>
            </w:r>
            <w:r w:rsidRPr="002C32BA">
              <w:rPr>
                <w:rFonts w:ascii="Times New Roman" w:hAnsi="Times New Roman"/>
                <w:sz w:val="20"/>
                <w:szCs w:val="20"/>
                <w:lang w:val="ro-RO"/>
              </w:rPr>
              <w:t xml:space="preserve"> </w:t>
            </w:r>
          </w:p>
          <w:p w14:paraId="04577AA7" w14:textId="77777777" w:rsidR="00D62F3C" w:rsidRPr="002C32BA" w:rsidRDefault="00D62F3C" w:rsidP="00D62F3C">
            <w:pPr>
              <w:pStyle w:val="CM4"/>
              <w:tabs>
                <w:tab w:val="left" w:pos="150"/>
              </w:tabs>
              <w:ind w:left="-43"/>
              <w:jc w:val="both"/>
              <w:rPr>
                <w:rFonts w:ascii="Times New Roman" w:hAnsi="Times New Roman"/>
                <w:sz w:val="20"/>
                <w:szCs w:val="20"/>
                <w:lang w:val="ro-RO"/>
              </w:rPr>
            </w:pPr>
            <w:r w:rsidRPr="002C32BA">
              <w:rPr>
                <w:rFonts w:ascii="Times New Roman" w:eastAsia="Arial Unicode MS" w:hAnsi="Times New Roman"/>
                <w:noProof/>
                <w:sz w:val="20"/>
                <w:szCs w:val="20"/>
                <w:lang w:val="ro-RO"/>
              </w:rPr>
              <w:drawing>
                <wp:inline distT="0" distB="0" distL="0" distR="0" wp14:anchorId="290E17EF" wp14:editId="1CB8F1E2">
                  <wp:extent cx="1399804" cy="311150"/>
                  <wp:effectExtent l="0" t="0" r="0" b="0"/>
                  <wp:docPr id="22" name="Picture 22"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imag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05890" cy="312503"/>
                          </a:xfrm>
                          <a:prstGeom prst="rect">
                            <a:avLst/>
                          </a:prstGeom>
                          <a:noFill/>
                          <a:ln>
                            <a:noFill/>
                          </a:ln>
                        </pic:spPr>
                      </pic:pic>
                    </a:graphicData>
                  </a:graphic>
                </wp:inline>
              </w:drawing>
            </w:r>
          </w:p>
          <w:p w14:paraId="2B0914C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unde:</w:t>
            </w:r>
          </w:p>
          <w:p w14:paraId="166E4A3E"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G </w:t>
            </w:r>
            <w:r w:rsidRPr="002C32BA">
              <w:rPr>
                <w:rFonts w:ascii="Times New Roman" w:hAnsi="Times New Roman"/>
                <w:iCs/>
                <w:sz w:val="20"/>
                <w:szCs w:val="20"/>
                <w:vertAlign w:val="subscript"/>
                <w:lang w:val="ro-RO" w:eastAsia="ru-RU"/>
              </w:rPr>
              <w:t>A</w:t>
            </w:r>
            <w:r w:rsidRPr="002C32BA">
              <w:rPr>
                <w:rFonts w:ascii="Times New Roman" w:hAnsi="Times New Roman"/>
                <w:iCs/>
                <w:sz w:val="20"/>
                <w:szCs w:val="20"/>
                <w:lang w:val="ro-RO" w:eastAsia="ru-RU"/>
              </w:rPr>
              <w:t xml:space="preserve"> = valoarea G* ajustată pentru orice neconcordanță de scadențe;</w:t>
            </w:r>
          </w:p>
          <w:p w14:paraId="2022F85A"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G* = cuantumul protecției ajustat pentru orice neconcordanță de monede; </w:t>
            </w:r>
          </w:p>
          <w:p w14:paraId="789E67A3"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t = valoarea cea mai mică dintre numărul de ani rămași până la data scadenței protecției creditului, calculată în conformitate cu articolul 238, și valoarea T;</w:t>
            </w:r>
          </w:p>
          <w:p w14:paraId="6FFADB56"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T = valoarea cea mai mică dintre numărul de ani rămași până la data scadenței expunerii, calculată în conformitate cu articolul 238, și cinci ani;</w:t>
            </w:r>
          </w:p>
          <w:p w14:paraId="05BD6DA7"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t* = 0,25.</w:t>
            </w:r>
          </w:p>
          <w:p w14:paraId="4F245970" w14:textId="77777777" w:rsidR="00D62F3C" w:rsidRPr="002C32BA" w:rsidRDefault="00D62F3C" w:rsidP="00D62F3C">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Cs/>
                <w:sz w:val="20"/>
                <w:szCs w:val="20"/>
                <w:lang w:val="ro-RO" w:eastAsia="ru-RU"/>
              </w:rPr>
              <w:t xml:space="preserve">Instituțiile trebuie să utilizeze G </w:t>
            </w:r>
            <w:r w:rsidRPr="002C32BA">
              <w:rPr>
                <w:rFonts w:ascii="Times New Roman" w:hAnsi="Times New Roman"/>
                <w:iCs/>
                <w:sz w:val="20"/>
                <w:szCs w:val="20"/>
                <w:vertAlign w:val="subscript"/>
                <w:lang w:val="ro-RO" w:eastAsia="ru-RU"/>
              </w:rPr>
              <w:t>A</w:t>
            </w:r>
            <w:r w:rsidRPr="002C32BA">
              <w:rPr>
                <w:rFonts w:ascii="Times New Roman" w:hAnsi="Times New Roman"/>
                <w:iCs/>
                <w:sz w:val="20"/>
                <w:szCs w:val="20"/>
                <w:lang w:val="ro-RO" w:eastAsia="ru-RU"/>
              </w:rPr>
              <w:t xml:space="preserve"> ca valoare a protecției pentru scopurile articolelor 233-236.</w:t>
            </w:r>
          </w:p>
        </w:tc>
        <w:tc>
          <w:tcPr>
            <w:tcW w:w="1636" w:type="pct"/>
            <w:shd w:val="clear" w:color="auto" w:fill="auto"/>
          </w:tcPr>
          <w:p w14:paraId="4087F940"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CB6787">
              <w:rPr>
                <w:rFonts w:ascii="Times New Roman" w:hAnsi="Times New Roman"/>
                <w:b/>
                <w:bCs/>
                <w:sz w:val="20"/>
                <w:szCs w:val="20"/>
                <w:lang w:val="ro-RO" w:eastAsia="ru-RU"/>
              </w:rPr>
              <w:t>127.</w:t>
            </w:r>
            <w:r w:rsidRPr="002C32BA">
              <w:rPr>
                <w:rFonts w:ascii="Times New Roman" w:hAnsi="Times New Roman"/>
                <w:sz w:val="20"/>
                <w:szCs w:val="20"/>
                <w:lang w:val="ro-RO" w:eastAsia="ru-RU"/>
              </w:rPr>
              <w:t xml:space="preserve"> În cazul tranzacțiilor supuse protecției nefinanțate a creditului, băncile trebuie să reflecte scadența protecției creditului și scadența expunerii în valoarea ajustată a protecției creditului conform următoarei formule: </w:t>
            </w:r>
          </w:p>
          <w:p w14:paraId="3B71E4BE"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 </w:t>
            </w:r>
            <w:r w:rsidRPr="002C32BA">
              <w:rPr>
                <w:rFonts w:ascii="Times New Roman" w:eastAsia="Arial Unicode MS" w:hAnsi="Times New Roman"/>
                <w:noProof/>
                <w:sz w:val="20"/>
                <w:szCs w:val="20"/>
                <w:lang w:val="ro-RO"/>
              </w:rPr>
              <w:drawing>
                <wp:inline distT="0" distB="0" distL="0" distR="0" wp14:anchorId="7E243E91" wp14:editId="4F814E37">
                  <wp:extent cx="1405890" cy="440055"/>
                  <wp:effectExtent l="0" t="0" r="0" b="0"/>
                  <wp:docPr id="34" name="Picture 34"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imag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05890" cy="440055"/>
                          </a:xfrm>
                          <a:prstGeom prst="rect">
                            <a:avLst/>
                          </a:prstGeom>
                          <a:noFill/>
                          <a:ln>
                            <a:noFill/>
                          </a:ln>
                        </pic:spPr>
                      </pic:pic>
                    </a:graphicData>
                  </a:graphic>
                </wp:inline>
              </w:drawing>
            </w:r>
          </w:p>
          <w:p w14:paraId="1B61145C"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unde: </w:t>
            </w:r>
          </w:p>
          <w:p w14:paraId="7656BDE6"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G</w:t>
            </w:r>
            <w:r w:rsidRPr="002C32BA">
              <w:rPr>
                <w:rFonts w:ascii="Times New Roman" w:hAnsi="Times New Roman"/>
                <w:sz w:val="20"/>
                <w:szCs w:val="20"/>
                <w:vertAlign w:val="subscript"/>
                <w:lang w:val="ro-RO" w:eastAsia="ru-RU"/>
              </w:rPr>
              <w:t>A</w:t>
            </w:r>
            <w:r w:rsidRPr="002C32BA">
              <w:rPr>
                <w:rFonts w:ascii="Times New Roman" w:hAnsi="Times New Roman"/>
                <w:sz w:val="20"/>
                <w:szCs w:val="20"/>
                <w:lang w:val="ro-RO" w:eastAsia="ru-RU"/>
              </w:rPr>
              <w:t xml:space="preserve"> = valoarea G* ajustată pentru orice neconcordanță de scadențe; </w:t>
            </w:r>
          </w:p>
          <w:p w14:paraId="78C00E65"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G* = valoarea protecției ajustată pentru orice neconcordanță de monede; </w:t>
            </w:r>
          </w:p>
          <w:p w14:paraId="7AF543FB"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t = valoarea cea mai mică dintre numărul de ani rămași până la data scadenței protecției creditului, calculată în conformitate cu capitolul X, și valoarea T; </w:t>
            </w:r>
          </w:p>
          <w:p w14:paraId="2E3DE7CD"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T = valoarea cea mai mică dintre numărul de ani rămași până la data scadenței expunerii, calculată în conformitate cu capitolul XI, și cinci ani; </w:t>
            </w:r>
          </w:p>
          <w:p w14:paraId="17F26171"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 xml:space="preserve">t* = 0,25. </w:t>
            </w:r>
          </w:p>
          <w:p w14:paraId="4890E7D8" w14:textId="77777777" w:rsidR="00D62F3C" w:rsidRPr="002C32BA" w:rsidRDefault="00D62F3C" w:rsidP="00D62F3C">
            <w:pPr>
              <w:pStyle w:val="CM4"/>
              <w:tabs>
                <w:tab w:val="left" w:pos="150"/>
              </w:tabs>
              <w:ind w:left="-36"/>
              <w:rPr>
                <w:rFonts w:ascii="Times New Roman" w:hAnsi="Times New Roman"/>
                <w:sz w:val="20"/>
                <w:szCs w:val="20"/>
                <w:lang w:val="ro-RO" w:eastAsia="ru-RU"/>
              </w:rPr>
            </w:pPr>
            <w:r w:rsidRPr="002C32BA">
              <w:rPr>
                <w:rFonts w:ascii="Times New Roman" w:hAnsi="Times New Roman"/>
                <w:sz w:val="20"/>
                <w:szCs w:val="20"/>
                <w:lang w:val="ro-RO" w:eastAsia="ru-RU"/>
              </w:rPr>
              <w:t>Băncile trebuie să utilizeze G</w:t>
            </w:r>
            <w:r w:rsidRPr="002C32BA">
              <w:rPr>
                <w:rFonts w:ascii="Times New Roman" w:hAnsi="Times New Roman"/>
                <w:sz w:val="20"/>
                <w:szCs w:val="20"/>
                <w:vertAlign w:val="subscript"/>
                <w:lang w:val="ro-RO" w:eastAsia="ru-RU"/>
              </w:rPr>
              <w:t>A</w:t>
            </w:r>
            <w:r w:rsidRPr="002C32BA">
              <w:rPr>
                <w:rFonts w:ascii="Times New Roman" w:hAnsi="Times New Roman"/>
                <w:sz w:val="20"/>
                <w:szCs w:val="20"/>
                <w:lang w:val="ro-RO" w:eastAsia="ru-RU"/>
              </w:rPr>
              <w:t xml:space="preserve"> ca valoare a protecției pentru scopurile capitolul IX.</w:t>
            </w:r>
          </w:p>
        </w:tc>
        <w:tc>
          <w:tcPr>
            <w:tcW w:w="562" w:type="pct"/>
          </w:tcPr>
          <w:p w14:paraId="7A1B215B" w14:textId="77777777" w:rsidR="00D62F3C" w:rsidRPr="002C32BA" w:rsidRDefault="00D62F3C" w:rsidP="00D62F3C">
            <w:pPr>
              <w:rPr>
                <w:rFonts w:ascii="Times New Roman" w:hAnsi="Times New Roman" w:cs="Times New Roman"/>
                <w:sz w:val="20"/>
                <w:szCs w:val="20"/>
                <w:lang w:val="ro-RO"/>
              </w:rPr>
            </w:pPr>
            <w:r w:rsidRPr="002C32BA">
              <w:rPr>
                <w:rFonts w:ascii="Times New Roman" w:hAnsi="Times New Roman" w:cs="Times New Roman"/>
                <w:sz w:val="20"/>
                <w:szCs w:val="20"/>
                <w:lang w:val="ro-RO"/>
              </w:rPr>
              <w:t>Compatibil</w:t>
            </w:r>
          </w:p>
        </w:tc>
        <w:tc>
          <w:tcPr>
            <w:tcW w:w="885" w:type="pct"/>
          </w:tcPr>
          <w:p w14:paraId="7DDBA2BB" w14:textId="037AFA5C" w:rsidR="00D62F3C" w:rsidRPr="002C32BA" w:rsidRDefault="003859AE" w:rsidP="00D62F3C">
            <w:pPr>
              <w:jc w:val="both"/>
              <w:rPr>
                <w:rFonts w:ascii="Times New Roman" w:hAnsi="Times New Roman" w:cs="Times New Roman"/>
                <w:sz w:val="20"/>
                <w:szCs w:val="20"/>
                <w:lang w:val="ro-RO"/>
              </w:rPr>
            </w:pPr>
            <w:r>
              <w:rPr>
                <w:rFonts w:ascii="Times New Roman" w:hAnsi="Times New Roman" w:cs="Times New Roman"/>
                <w:sz w:val="20"/>
                <w:szCs w:val="20"/>
                <w:lang w:val="ro-RO"/>
              </w:rPr>
              <w:t>Regulamentul nr.112/2018</w:t>
            </w:r>
          </w:p>
        </w:tc>
      </w:tr>
      <w:tr w:rsidR="00D62F3C" w:rsidRPr="002C32BA" w14:paraId="4BF84483"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12870C80" w14:textId="7B819E72" w:rsidR="00CB6787" w:rsidRDefault="00D62F3C" w:rsidP="00CB6787">
            <w:pPr>
              <w:pStyle w:val="CM4"/>
              <w:tabs>
                <w:tab w:val="left" w:pos="150"/>
              </w:tabs>
              <w:ind w:left="-43"/>
              <w:jc w:val="both"/>
              <w:rPr>
                <w:rFonts w:ascii="Times New Roman" w:hAnsi="Times New Roman"/>
                <w:i/>
                <w:iCs/>
                <w:sz w:val="20"/>
                <w:szCs w:val="20"/>
                <w:lang w:val="ro-RO" w:eastAsia="ru-RU"/>
              </w:rPr>
            </w:pPr>
            <w:r w:rsidRPr="002C32BA">
              <w:rPr>
                <w:rFonts w:ascii="Times New Roman" w:hAnsi="Times New Roman"/>
                <w:iCs/>
                <w:sz w:val="20"/>
                <w:szCs w:val="20"/>
                <w:lang w:val="ro-RO" w:eastAsia="ru-RU"/>
              </w:rPr>
              <w:t xml:space="preserve">Secțiunea 6 </w:t>
            </w:r>
            <w:r w:rsidRPr="002C32BA">
              <w:rPr>
                <w:rFonts w:ascii="Times New Roman" w:hAnsi="Times New Roman"/>
                <w:b/>
                <w:iCs/>
                <w:sz w:val="20"/>
                <w:szCs w:val="20"/>
                <w:lang w:val="ro-RO" w:eastAsia="ru-RU"/>
              </w:rPr>
              <w:t>Tehnici de diminuare a riscului de credit pentru un coș de expuneri</w:t>
            </w:r>
            <w:r w:rsidR="00CB6787" w:rsidRPr="002C32BA">
              <w:rPr>
                <w:rFonts w:ascii="Times New Roman" w:hAnsi="Times New Roman"/>
                <w:i/>
                <w:iCs/>
                <w:sz w:val="20"/>
                <w:szCs w:val="20"/>
                <w:lang w:val="ro-RO" w:eastAsia="ru-RU"/>
              </w:rPr>
              <w:t xml:space="preserve"> </w:t>
            </w:r>
          </w:p>
          <w:p w14:paraId="3D73FC74" w14:textId="36A87313" w:rsidR="00CB6787" w:rsidRPr="002C32BA" w:rsidRDefault="00CB6787" w:rsidP="00CB6787">
            <w:pPr>
              <w:pStyle w:val="CM4"/>
              <w:tabs>
                <w:tab w:val="left" w:pos="150"/>
              </w:tabs>
              <w:ind w:left="-43"/>
              <w:jc w:val="both"/>
              <w:rPr>
                <w:rFonts w:ascii="Times New Roman" w:hAnsi="Times New Roman"/>
                <w:b/>
                <w:iCs/>
                <w:sz w:val="20"/>
                <w:szCs w:val="20"/>
                <w:lang w:val="ro-RO" w:eastAsia="ru-RU"/>
              </w:rPr>
            </w:pPr>
            <w:r w:rsidRPr="002C32BA">
              <w:rPr>
                <w:rFonts w:ascii="Times New Roman" w:hAnsi="Times New Roman"/>
                <w:i/>
                <w:iCs/>
                <w:sz w:val="20"/>
                <w:szCs w:val="20"/>
                <w:lang w:val="ro-RO" w:eastAsia="ru-RU"/>
              </w:rPr>
              <w:t>Articolul 240</w:t>
            </w:r>
            <w:r>
              <w:rPr>
                <w:rFonts w:ascii="Times New Roman" w:hAnsi="Times New Roman"/>
                <w:i/>
                <w:iCs/>
                <w:sz w:val="20"/>
                <w:szCs w:val="20"/>
                <w:lang w:val="ro-RO" w:eastAsia="ru-RU"/>
              </w:rPr>
              <w:t xml:space="preserve"> </w:t>
            </w:r>
            <w:r>
              <w:rPr>
                <w:rFonts w:ascii="Times New Roman" w:hAnsi="Times New Roman"/>
                <w:b/>
                <w:iCs/>
                <w:sz w:val="20"/>
                <w:szCs w:val="20"/>
                <w:lang w:val="ro-RO" w:eastAsia="ru-RU"/>
              </w:rPr>
              <w:t>-</w:t>
            </w:r>
            <w:r w:rsidRPr="002C32BA">
              <w:rPr>
                <w:rFonts w:ascii="Times New Roman" w:hAnsi="Times New Roman"/>
                <w:i/>
                <w:iCs/>
                <w:sz w:val="20"/>
                <w:szCs w:val="20"/>
                <w:lang w:val="ro-RO" w:eastAsia="ru-RU"/>
              </w:rPr>
              <w:t xml:space="preserve"> Articolul 241</w:t>
            </w:r>
            <w:r w:rsidRPr="002C32BA">
              <w:rPr>
                <w:rFonts w:ascii="Times New Roman" w:hAnsi="Times New Roman"/>
                <w:iCs/>
                <w:sz w:val="20"/>
                <w:szCs w:val="20"/>
                <w:lang w:val="ro-RO" w:eastAsia="ru-RU"/>
              </w:rPr>
              <w:t xml:space="preserve"> </w:t>
            </w:r>
            <w:r>
              <w:rPr>
                <w:rFonts w:ascii="Times New Roman" w:hAnsi="Times New Roman"/>
                <w:b/>
                <w:iCs/>
                <w:sz w:val="20"/>
                <w:szCs w:val="20"/>
                <w:lang w:val="ro-RO" w:eastAsia="ru-RU"/>
              </w:rPr>
              <w:t>– abrogate prin M17</w:t>
            </w:r>
          </w:p>
          <w:p w14:paraId="08BDEB8D" w14:textId="25A8C270" w:rsidR="00D62F3C" w:rsidRPr="002C32BA" w:rsidRDefault="00D62F3C" w:rsidP="00D62F3C">
            <w:pPr>
              <w:pStyle w:val="CM4"/>
              <w:tabs>
                <w:tab w:val="left" w:pos="150"/>
              </w:tabs>
              <w:ind w:left="-43"/>
              <w:jc w:val="both"/>
              <w:rPr>
                <w:rFonts w:ascii="Times New Roman" w:hAnsi="Times New Roman"/>
                <w:b/>
                <w:iCs/>
                <w:sz w:val="20"/>
                <w:szCs w:val="20"/>
                <w:lang w:val="ro-RO" w:eastAsia="ru-RU"/>
              </w:rPr>
            </w:pPr>
          </w:p>
        </w:tc>
        <w:tc>
          <w:tcPr>
            <w:tcW w:w="1636" w:type="pct"/>
            <w:shd w:val="clear" w:color="auto" w:fill="auto"/>
          </w:tcPr>
          <w:p w14:paraId="79022755" w14:textId="77777777" w:rsidR="00D62F3C" w:rsidRPr="002C32BA" w:rsidRDefault="00D62F3C" w:rsidP="00D62F3C">
            <w:pPr>
              <w:pStyle w:val="CM4"/>
              <w:tabs>
                <w:tab w:val="left" w:pos="150"/>
              </w:tabs>
              <w:ind w:left="-36"/>
              <w:rPr>
                <w:rFonts w:ascii="Times New Roman" w:hAnsi="Times New Roman"/>
                <w:sz w:val="20"/>
                <w:szCs w:val="20"/>
                <w:lang w:val="ro-RO" w:eastAsia="ru-RU"/>
              </w:rPr>
            </w:pPr>
          </w:p>
        </w:tc>
        <w:tc>
          <w:tcPr>
            <w:tcW w:w="562" w:type="pct"/>
          </w:tcPr>
          <w:p w14:paraId="62ABE109" w14:textId="77777777" w:rsidR="00D62F3C" w:rsidRPr="002C32BA" w:rsidRDefault="00D62F3C" w:rsidP="00D62F3C">
            <w:pPr>
              <w:rPr>
                <w:rFonts w:ascii="Times New Roman" w:hAnsi="Times New Roman" w:cs="Times New Roman"/>
                <w:sz w:val="20"/>
                <w:szCs w:val="20"/>
                <w:lang w:val="ro-RO"/>
              </w:rPr>
            </w:pPr>
          </w:p>
        </w:tc>
        <w:tc>
          <w:tcPr>
            <w:tcW w:w="885" w:type="pct"/>
          </w:tcPr>
          <w:p w14:paraId="76E50B87" w14:textId="77777777" w:rsidR="00D62F3C" w:rsidRPr="002C32BA" w:rsidRDefault="00D62F3C" w:rsidP="00D62F3C">
            <w:pPr>
              <w:jc w:val="both"/>
              <w:rPr>
                <w:rFonts w:ascii="Times New Roman" w:hAnsi="Times New Roman" w:cs="Times New Roman"/>
                <w:sz w:val="20"/>
                <w:szCs w:val="20"/>
                <w:lang w:val="ro-RO"/>
              </w:rPr>
            </w:pPr>
          </w:p>
        </w:tc>
      </w:tr>
      <w:tr w:rsidR="00BB3402" w:rsidRPr="00BB3402" w14:paraId="73927E86" w14:textId="77777777" w:rsidTr="00800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16" w:type="pct"/>
          </w:tcPr>
          <w:p w14:paraId="23FDA2B3" w14:textId="0D59EB18" w:rsidR="00BB3402" w:rsidRPr="002C32BA" w:rsidRDefault="00BB3402" w:rsidP="00CB6787">
            <w:pPr>
              <w:pStyle w:val="CM4"/>
              <w:tabs>
                <w:tab w:val="left" w:pos="150"/>
              </w:tabs>
              <w:ind w:left="-43"/>
              <w:jc w:val="both"/>
              <w:rPr>
                <w:rFonts w:ascii="Times New Roman" w:hAnsi="Times New Roman"/>
                <w:iCs/>
                <w:sz w:val="20"/>
                <w:szCs w:val="20"/>
                <w:lang w:val="ro-RO" w:eastAsia="ru-RU"/>
              </w:rPr>
            </w:pPr>
            <w:r w:rsidRPr="002C32BA">
              <w:rPr>
                <w:rFonts w:ascii="Times New Roman" w:hAnsi="Times New Roman"/>
                <w:i/>
                <w:iCs/>
                <w:sz w:val="20"/>
                <w:szCs w:val="20"/>
                <w:lang w:val="ro-RO" w:eastAsia="ru-RU"/>
              </w:rPr>
              <w:t xml:space="preserve">Articolul </w:t>
            </w:r>
            <w:r>
              <w:rPr>
                <w:rFonts w:ascii="Times New Roman" w:hAnsi="Times New Roman"/>
                <w:i/>
                <w:iCs/>
                <w:sz w:val="20"/>
                <w:szCs w:val="20"/>
                <w:lang w:val="ro-RO" w:eastAsia="ru-RU"/>
              </w:rPr>
              <w:t xml:space="preserve">242 </w:t>
            </w:r>
            <w:r>
              <w:rPr>
                <w:rFonts w:ascii="Times New Roman" w:hAnsi="Times New Roman"/>
                <w:b/>
                <w:iCs/>
                <w:sz w:val="20"/>
                <w:szCs w:val="20"/>
                <w:lang w:val="ro-RO" w:eastAsia="ru-RU"/>
              </w:rPr>
              <w:t>-</w:t>
            </w:r>
            <w:r w:rsidRPr="002C32BA">
              <w:rPr>
                <w:rFonts w:ascii="Times New Roman" w:hAnsi="Times New Roman"/>
                <w:i/>
                <w:iCs/>
                <w:sz w:val="20"/>
                <w:szCs w:val="20"/>
                <w:lang w:val="ro-RO" w:eastAsia="ru-RU"/>
              </w:rPr>
              <w:t xml:space="preserve"> Articolul </w:t>
            </w:r>
            <w:r>
              <w:rPr>
                <w:rFonts w:ascii="Times New Roman" w:hAnsi="Times New Roman"/>
                <w:i/>
                <w:iCs/>
                <w:sz w:val="20"/>
                <w:szCs w:val="20"/>
                <w:lang w:val="ro-RO" w:eastAsia="ru-RU"/>
              </w:rPr>
              <w:t>311</w:t>
            </w:r>
          </w:p>
        </w:tc>
        <w:tc>
          <w:tcPr>
            <w:tcW w:w="1636" w:type="pct"/>
            <w:shd w:val="clear" w:color="auto" w:fill="auto"/>
          </w:tcPr>
          <w:p w14:paraId="5457812C" w14:textId="77777777" w:rsidR="00BB3402" w:rsidRPr="002C32BA" w:rsidRDefault="00BB3402" w:rsidP="00D62F3C">
            <w:pPr>
              <w:pStyle w:val="CM4"/>
              <w:tabs>
                <w:tab w:val="left" w:pos="150"/>
              </w:tabs>
              <w:ind w:left="-36"/>
              <w:rPr>
                <w:rFonts w:ascii="Times New Roman" w:hAnsi="Times New Roman"/>
                <w:sz w:val="20"/>
                <w:szCs w:val="20"/>
                <w:lang w:val="ro-RO" w:eastAsia="ru-RU"/>
              </w:rPr>
            </w:pPr>
          </w:p>
        </w:tc>
        <w:tc>
          <w:tcPr>
            <w:tcW w:w="562" w:type="pct"/>
          </w:tcPr>
          <w:p w14:paraId="3C034E26" w14:textId="77777777" w:rsidR="00BB3402" w:rsidRPr="002C32BA" w:rsidRDefault="00BB3402" w:rsidP="00D62F3C">
            <w:pPr>
              <w:rPr>
                <w:rFonts w:ascii="Times New Roman" w:hAnsi="Times New Roman" w:cs="Times New Roman"/>
                <w:sz w:val="20"/>
                <w:szCs w:val="20"/>
                <w:lang w:val="ro-RO"/>
              </w:rPr>
            </w:pPr>
          </w:p>
        </w:tc>
        <w:tc>
          <w:tcPr>
            <w:tcW w:w="885" w:type="pct"/>
          </w:tcPr>
          <w:p w14:paraId="65D9E77C" w14:textId="2654E737" w:rsidR="00BB3402" w:rsidRPr="002C32BA" w:rsidRDefault="00BB3402" w:rsidP="00D62F3C">
            <w:pPr>
              <w:jc w:val="both"/>
              <w:rPr>
                <w:rFonts w:ascii="Times New Roman" w:hAnsi="Times New Roman" w:cs="Times New Roman"/>
                <w:sz w:val="20"/>
                <w:szCs w:val="20"/>
                <w:lang w:val="ro-RO"/>
              </w:rPr>
            </w:pPr>
            <w:r w:rsidRPr="00BB3402">
              <w:rPr>
                <w:rFonts w:ascii="Times New Roman" w:hAnsi="Times New Roman" w:cs="Times New Roman"/>
                <w:sz w:val="20"/>
                <w:szCs w:val="20"/>
                <w:lang w:val="ro-RO"/>
              </w:rPr>
              <w:t>Regulamentul</w:t>
            </w:r>
            <w:r>
              <w:rPr>
                <w:rFonts w:ascii="Times New Roman" w:hAnsi="Times New Roman" w:cs="Times New Roman"/>
                <w:sz w:val="20"/>
                <w:szCs w:val="20"/>
                <w:lang w:val="ro-RO"/>
              </w:rPr>
              <w:t xml:space="preserve"> nr.221/2025 </w:t>
            </w:r>
            <w:r w:rsidRPr="00BB3402">
              <w:rPr>
                <w:rFonts w:ascii="Times New Roman" w:hAnsi="Times New Roman" w:cs="Times New Roman"/>
                <w:sz w:val="20"/>
                <w:szCs w:val="20"/>
                <w:lang w:val="ro-RO"/>
              </w:rPr>
              <w:t>privind tratamentul prudențial al securitizărilor</w:t>
            </w:r>
          </w:p>
        </w:tc>
      </w:tr>
    </w:tbl>
    <w:p w14:paraId="0744D9EA" w14:textId="77777777" w:rsidR="00BB47CE" w:rsidRPr="003C7E61" w:rsidRDefault="00BB47CE">
      <w:pPr>
        <w:rPr>
          <w:rFonts w:ascii="Times New Roman" w:hAnsi="Times New Roman" w:cs="Times New Roman"/>
          <w:color w:val="000000" w:themeColor="text1"/>
          <w:sz w:val="20"/>
          <w:szCs w:val="20"/>
          <w:lang w:val="ro-RO"/>
        </w:rPr>
      </w:pPr>
    </w:p>
    <w:sectPr w:rsidR="00BB47CE" w:rsidRPr="003C7E61" w:rsidSect="00683424">
      <w:headerReference w:type="even" r:id="rId49"/>
      <w:headerReference w:type="default" r:id="rId50"/>
      <w:footerReference w:type="even" r:id="rId51"/>
      <w:footerReference w:type="default" r:id="rId52"/>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BFAE" w14:textId="77777777" w:rsidR="00AC0A78" w:rsidRDefault="00AC0A78" w:rsidP="00B40FAE">
      <w:pPr>
        <w:spacing w:after="0" w:line="240" w:lineRule="auto"/>
      </w:pPr>
      <w:r>
        <w:separator/>
      </w:r>
    </w:p>
  </w:endnote>
  <w:endnote w:type="continuationSeparator" w:id="0">
    <w:p w14:paraId="200D0E64" w14:textId="77777777" w:rsidR="00AC0A78" w:rsidRDefault="00AC0A78" w:rsidP="00B40FAE">
      <w:pPr>
        <w:spacing w:after="0" w:line="240" w:lineRule="auto"/>
      </w:pPr>
      <w:r>
        <w:continuationSeparator/>
      </w:r>
    </w:p>
  </w:endnote>
  <w:endnote w:type="continuationNotice" w:id="1">
    <w:p w14:paraId="531FFB19" w14:textId="77777777" w:rsidR="00AC0A78" w:rsidRDefault="00AC0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altName w:val="Yu Gothic"/>
    <w:panose1 w:val="020B0604020202020204"/>
    <w:charset w:val="00"/>
    <w:family w:val="roman"/>
    <w:pitch w:val="default"/>
  </w:font>
  <w:font w:name="Malgun Gothic Semilight">
    <w:panose1 w:val="020B0502040204020203"/>
    <w:charset w:val="80"/>
    <w:family w:val="swiss"/>
    <w:pitch w:val="variable"/>
    <w:sig w:usb0="B0000AAF" w:usb1="09DF7CFB" w:usb2="00000012" w:usb3="00000000" w:csb0="003E01BD" w:csb1="00000000"/>
  </w:font>
  <w:font w:name="EUAlbertina-Italic-Identity-H">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8095"/>
      <w:docPartObj>
        <w:docPartGallery w:val="Page Numbers (Bottom of Page)"/>
        <w:docPartUnique/>
      </w:docPartObj>
    </w:sdtPr>
    <w:sdtEndPr>
      <w:rPr>
        <w:noProof/>
      </w:rPr>
    </w:sdtEndPr>
    <w:sdtContent>
      <w:p w14:paraId="6D4A1ABF" w14:textId="3F2DF34A" w:rsidR="00B469F9" w:rsidRDefault="00B46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C8108" w14:textId="77777777" w:rsidR="006C2BF0" w:rsidRDefault="006C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0740"/>
      <w:docPartObj>
        <w:docPartGallery w:val="Page Numbers (Bottom of Page)"/>
        <w:docPartUnique/>
      </w:docPartObj>
    </w:sdtPr>
    <w:sdtEndPr>
      <w:rPr>
        <w:noProof/>
      </w:rPr>
    </w:sdtEndPr>
    <w:sdtContent>
      <w:p w14:paraId="61C87737" w14:textId="55B75A08" w:rsidR="00683424" w:rsidRDefault="006834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7F9D7" w14:textId="77777777" w:rsidR="006C2BF0" w:rsidRDefault="006C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8D30" w14:textId="77777777" w:rsidR="00AC0A78" w:rsidRDefault="00AC0A78" w:rsidP="00B40FAE">
      <w:pPr>
        <w:spacing w:after="0" w:line="240" w:lineRule="auto"/>
      </w:pPr>
      <w:r>
        <w:separator/>
      </w:r>
    </w:p>
  </w:footnote>
  <w:footnote w:type="continuationSeparator" w:id="0">
    <w:p w14:paraId="6346F081" w14:textId="77777777" w:rsidR="00AC0A78" w:rsidRDefault="00AC0A78" w:rsidP="00B40FAE">
      <w:pPr>
        <w:spacing w:after="0" w:line="240" w:lineRule="auto"/>
      </w:pPr>
      <w:r>
        <w:continuationSeparator/>
      </w:r>
    </w:p>
  </w:footnote>
  <w:footnote w:type="continuationNotice" w:id="1">
    <w:p w14:paraId="20078020" w14:textId="77777777" w:rsidR="00AC0A78" w:rsidRDefault="00AC0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DDA" w14:textId="77777777" w:rsidR="006C2BF0" w:rsidRDefault="006C2BF0" w:rsidP="00B40FAE">
    <w:pPr>
      <w:pStyle w:val="Header"/>
      <w:jc w:val="right"/>
    </w:pPr>
    <w:bookmarkStart w:id="41" w:name="TITUS1HeaderEvenPages"/>
    <w:r>
      <w:t xml:space="preserve"> </w:t>
    </w:r>
  </w:p>
  <w:bookmarkEnd w:id="41"/>
  <w:p w14:paraId="639D048F" w14:textId="77777777" w:rsidR="006C2BF0" w:rsidRDefault="006C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241E" w14:textId="77777777" w:rsidR="006C2BF0" w:rsidRDefault="006C2BF0" w:rsidP="00B40FAE">
    <w:pPr>
      <w:pStyle w:val="Header"/>
      <w:jc w:val="right"/>
    </w:pPr>
    <w:bookmarkStart w:id="42" w:name="TITUS1HeaderPrimary"/>
    <w:r>
      <w:t xml:space="preserve"> </w:t>
    </w:r>
  </w:p>
  <w:bookmarkEnd w:id="42"/>
  <w:p w14:paraId="53C654D6" w14:textId="77777777" w:rsidR="006C2BF0" w:rsidRDefault="006C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556"/>
    <w:multiLevelType w:val="hybridMultilevel"/>
    <w:tmpl w:val="C9C0799E"/>
    <w:lvl w:ilvl="0" w:tplc="15D03FE0">
      <w:start w:val="3"/>
      <w:numFmt w:val="decimal"/>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34B74F8"/>
    <w:multiLevelType w:val="hybridMultilevel"/>
    <w:tmpl w:val="61B0101C"/>
    <w:lvl w:ilvl="0" w:tplc="0409000F">
      <w:start w:val="26"/>
      <w:numFmt w:val="decimal"/>
      <w:lvlText w:val="%1."/>
      <w:lvlJc w:val="left"/>
      <w:pPr>
        <w:ind w:left="720" w:hanging="360"/>
      </w:pPr>
      <w:rPr>
        <w:rFonts w:hint="default"/>
        <w:b w:val="0"/>
      </w:rPr>
    </w:lvl>
    <w:lvl w:ilvl="1" w:tplc="83DAB6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476A"/>
    <w:multiLevelType w:val="hybridMultilevel"/>
    <w:tmpl w:val="24E49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481B57"/>
    <w:multiLevelType w:val="hybridMultilevel"/>
    <w:tmpl w:val="2E56E1F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5F223C"/>
    <w:multiLevelType w:val="hybridMultilevel"/>
    <w:tmpl w:val="C28E6E1A"/>
    <w:lvl w:ilvl="0" w:tplc="04090017">
      <w:start w:val="1"/>
      <w:numFmt w:val="lowerLetter"/>
      <w:lvlText w:val="%1)"/>
      <w:lvlJc w:val="left"/>
      <w:pPr>
        <w:ind w:left="720" w:hanging="360"/>
      </w:pPr>
    </w:lvl>
    <w:lvl w:ilvl="1" w:tplc="257085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A0068"/>
    <w:multiLevelType w:val="hybridMultilevel"/>
    <w:tmpl w:val="74E61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6458D"/>
    <w:multiLevelType w:val="hybridMultilevel"/>
    <w:tmpl w:val="FD7E8B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54EF"/>
    <w:multiLevelType w:val="hybridMultilevel"/>
    <w:tmpl w:val="F94A3390"/>
    <w:lvl w:ilvl="0" w:tplc="04090017">
      <w:start w:val="1"/>
      <w:numFmt w:val="lowerLetter"/>
      <w:lvlText w:val="%1)"/>
      <w:lvlJc w:val="left"/>
      <w:pPr>
        <w:ind w:left="1260" w:hanging="360"/>
      </w:pPr>
    </w:lvl>
    <w:lvl w:ilvl="1" w:tplc="04090017">
      <w:start w:val="1"/>
      <w:numFmt w:val="lowerLetter"/>
      <w:lvlText w:val="%2)"/>
      <w:lvlJc w:val="left"/>
      <w:pPr>
        <w:ind w:left="1980" w:hanging="360"/>
      </w:pPr>
    </w:lvl>
    <w:lvl w:ilvl="2" w:tplc="A3487A86">
      <w:start w:val="67"/>
      <w:numFmt w:val="decimal"/>
      <w:lvlText w:val="%3."/>
      <w:lvlJc w:val="left"/>
      <w:pPr>
        <w:ind w:left="2880" w:hanging="360"/>
      </w:pPr>
      <w:rPr>
        <w:rFont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3BA0584"/>
    <w:multiLevelType w:val="hybridMultilevel"/>
    <w:tmpl w:val="DBBA2DB4"/>
    <w:lvl w:ilvl="0" w:tplc="04090011">
      <w:start w:val="1"/>
      <w:numFmt w:val="decimal"/>
      <w:lvlText w:val="%1)"/>
      <w:lvlJc w:val="left"/>
      <w:pPr>
        <w:ind w:left="720" w:hanging="360"/>
      </w:pPr>
    </w:lvl>
    <w:lvl w:ilvl="1" w:tplc="DCC06E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45CA5"/>
    <w:multiLevelType w:val="hybridMultilevel"/>
    <w:tmpl w:val="F11ED60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606A96"/>
    <w:multiLevelType w:val="hybridMultilevel"/>
    <w:tmpl w:val="E7A89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26632"/>
    <w:multiLevelType w:val="hybridMultilevel"/>
    <w:tmpl w:val="BBFC3E3A"/>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3" w15:restartNumberingAfterBreak="0">
    <w:nsid w:val="184C556E"/>
    <w:multiLevelType w:val="hybridMultilevel"/>
    <w:tmpl w:val="3D1CAB40"/>
    <w:lvl w:ilvl="0" w:tplc="04090017">
      <w:start w:val="1"/>
      <w:numFmt w:val="lowerLetter"/>
      <w:lvlText w:val="%1)"/>
      <w:lvlJc w:val="left"/>
      <w:pPr>
        <w:ind w:left="879" w:hanging="360"/>
      </w:pPr>
    </w:lvl>
    <w:lvl w:ilvl="1" w:tplc="04090017">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4" w15:restartNumberingAfterBreak="0">
    <w:nsid w:val="186A5F05"/>
    <w:multiLevelType w:val="hybridMultilevel"/>
    <w:tmpl w:val="9FB6B2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A328B"/>
    <w:multiLevelType w:val="hybridMultilevel"/>
    <w:tmpl w:val="622A6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81EBD"/>
    <w:multiLevelType w:val="hybridMultilevel"/>
    <w:tmpl w:val="F48C6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201F73"/>
    <w:multiLevelType w:val="hybridMultilevel"/>
    <w:tmpl w:val="70803A2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EA71348"/>
    <w:multiLevelType w:val="hybridMultilevel"/>
    <w:tmpl w:val="E4CC2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FEE2F8F"/>
    <w:multiLevelType w:val="hybridMultilevel"/>
    <w:tmpl w:val="849CB80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213B1093"/>
    <w:multiLevelType w:val="hybridMultilevel"/>
    <w:tmpl w:val="71E039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74F68"/>
    <w:multiLevelType w:val="hybridMultilevel"/>
    <w:tmpl w:val="EB64F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26261E"/>
    <w:multiLevelType w:val="hybridMultilevel"/>
    <w:tmpl w:val="16122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B806E2"/>
    <w:multiLevelType w:val="hybridMultilevel"/>
    <w:tmpl w:val="7286E7A0"/>
    <w:lvl w:ilvl="0" w:tplc="04090017">
      <w:start w:val="1"/>
      <w:numFmt w:val="lowerLetter"/>
      <w:lvlText w:val="%1)"/>
      <w:lvlJc w:val="left"/>
      <w:pPr>
        <w:ind w:left="1170" w:hanging="360"/>
      </w:pPr>
    </w:lvl>
    <w:lvl w:ilvl="1" w:tplc="04090017">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412C0E"/>
    <w:multiLevelType w:val="hybridMultilevel"/>
    <w:tmpl w:val="3474B024"/>
    <w:lvl w:ilvl="0" w:tplc="04090017">
      <w:start w:val="1"/>
      <w:numFmt w:val="lowerLetter"/>
      <w:lvlText w:val="%1)"/>
      <w:lvlJc w:val="left"/>
      <w:pPr>
        <w:ind w:left="720" w:hanging="360"/>
      </w:pPr>
    </w:lvl>
    <w:lvl w:ilvl="1" w:tplc="0C3A63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4D5C32"/>
    <w:multiLevelType w:val="hybridMultilevel"/>
    <w:tmpl w:val="74CC571E"/>
    <w:lvl w:ilvl="0" w:tplc="04090017">
      <w:start w:val="1"/>
      <w:numFmt w:val="lowerLetter"/>
      <w:lvlText w:val="%1)"/>
      <w:lvlJc w:val="left"/>
      <w:pPr>
        <w:ind w:left="1689" w:hanging="360"/>
      </w:pPr>
    </w:lvl>
    <w:lvl w:ilvl="1" w:tplc="04090019">
      <w:start w:val="1"/>
      <w:numFmt w:val="lowerLetter"/>
      <w:lvlText w:val="%2."/>
      <w:lvlJc w:val="left"/>
      <w:pPr>
        <w:ind w:left="2409" w:hanging="360"/>
      </w:pPr>
    </w:lvl>
    <w:lvl w:ilvl="2" w:tplc="0409001B" w:tentative="1">
      <w:start w:val="1"/>
      <w:numFmt w:val="lowerRoman"/>
      <w:lvlText w:val="%3."/>
      <w:lvlJc w:val="right"/>
      <w:pPr>
        <w:ind w:left="3129" w:hanging="180"/>
      </w:pPr>
    </w:lvl>
    <w:lvl w:ilvl="3" w:tplc="0409000F" w:tentative="1">
      <w:start w:val="1"/>
      <w:numFmt w:val="decimal"/>
      <w:lvlText w:val="%4."/>
      <w:lvlJc w:val="left"/>
      <w:pPr>
        <w:ind w:left="3849" w:hanging="360"/>
      </w:pPr>
    </w:lvl>
    <w:lvl w:ilvl="4" w:tplc="04090019" w:tentative="1">
      <w:start w:val="1"/>
      <w:numFmt w:val="lowerLetter"/>
      <w:lvlText w:val="%5."/>
      <w:lvlJc w:val="left"/>
      <w:pPr>
        <w:ind w:left="4569" w:hanging="360"/>
      </w:pPr>
    </w:lvl>
    <w:lvl w:ilvl="5" w:tplc="0409001B" w:tentative="1">
      <w:start w:val="1"/>
      <w:numFmt w:val="lowerRoman"/>
      <w:lvlText w:val="%6."/>
      <w:lvlJc w:val="right"/>
      <w:pPr>
        <w:ind w:left="5289" w:hanging="180"/>
      </w:pPr>
    </w:lvl>
    <w:lvl w:ilvl="6" w:tplc="0409000F" w:tentative="1">
      <w:start w:val="1"/>
      <w:numFmt w:val="decimal"/>
      <w:lvlText w:val="%7."/>
      <w:lvlJc w:val="left"/>
      <w:pPr>
        <w:ind w:left="6009" w:hanging="360"/>
      </w:pPr>
    </w:lvl>
    <w:lvl w:ilvl="7" w:tplc="04090019" w:tentative="1">
      <w:start w:val="1"/>
      <w:numFmt w:val="lowerLetter"/>
      <w:lvlText w:val="%8."/>
      <w:lvlJc w:val="left"/>
      <w:pPr>
        <w:ind w:left="6729" w:hanging="360"/>
      </w:pPr>
    </w:lvl>
    <w:lvl w:ilvl="8" w:tplc="0409001B" w:tentative="1">
      <w:start w:val="1"/>
      <w:numFmt w:val="lowerRoman"/>
      <w:lvlText w:val="%9."/>
      <w:lvlJc w:val="right"/>
      <w:pPr>
        <w:ind w:left="7449" w:hanging="180"/>
      </w:pPr>
    </w:lvl>
  </w:abstractNum>
  <w:abstractNum w:abstractNumId="29" w15:restartNumberingAfterBreak="0">
    <w:nsid w:val="29317AC5"/>
    <w:multiLevelType w:val="hybridMultilevel"/>
    <w:tmpl w:val="692AFA94"/>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A5A0213"/>
    <w:multiLevelType w:val="hybridMultilevel"/>
    <w:tmpl w:val="720837D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2A9E1A0C"/>
    <w:multiLevelType w:val="hybridMultilevel"/>
    <w:tmpl w:val="CF047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80790B"/>
    <w:multiLevelType w:val="hybridMultilevel"/>
    <w:tmpl w:val="EAE868AA"/>
    <w:lvl w:ilvl="0" w:tplc="04090017">
      <w:start w:val="1"/>
      <w:numFmt w:val="lowerLetter"/>
      <w:lvlText w:val="%1)"/>
      <w:lvlJc w:val="left"/>
      <w:pPr>
        <w:ind w:left="720" w:hanging="360"/>
      </w:pPr>
    </w:lvl>
    <w:lvl w:ilvl="1" w:tplc="9A181AD2">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3C5C7A"/>
    <w:multiLevelType w:val="hybridMultilevel"/>
    <w:tmpl w:val="F44EE60A"/>
    <w:lvl w:ilvl="0" w:tplc="D4FC3EC2">
      <w:start w:val="1"/>
      <w:numFmt w:val="decimal"/>
      <w:lvlText w:val="(%1)"/>
      <w:lvlJc w:val="left"/>
      <w:pPr>
        <w:ind w:left="317" w:hanging="360"/>
      </w:pPr>
      <w:rPr>
        <w:rFonts w:hint="default"/>
      </w:rPr>
    </w:lvl>
    <w:lvl w:ilvl="1" w:tplc="08180019" w:tentative="1">
      <w:start w:val="1"/>
      <w:numFmt w:val="lowerLetter"/>
      <w:lvlText w:val="%2."/>
      <w:lvlJc w:val="left"/>
      <w:pPr>
        <w:ind w:left="1037" w:hanging="360"/>
      </w:pPr>
    </w:lvl>
    <w:lvl w:ilvl="2" w:tplc="0818001B" w:tentative="1">
      <w:start w:val="1"/>
      <w:numFmt w:val="lowerRoman"/>
      <w:lvlText w:val="%3."/>
      <w:lvlJc w:val="right"/>
      <w:pPr>
        <w:ind w:left="1757" w:hanging="180"/>
      </w:pPr>
    </w:lvl>
    <w:lvl w:ilvl="3" w:tplc="0818000F" w:tentative="1">
      <w:start w:val="1"/>
      <w:numFmt w:val="decimal"/>
      <w:lvlText w:val="%4."/>
      <w:lvlJc w:val="left"/>
      <w:pPr>
        <w:ind w:left="2477" w:hanging="360"/>
      </w:pPr>
    </w:lvl>
    <w:lvl w:ilvl="4" w:tplc="08180019" w:tentative="1">
      <w:start w:val="1"/>
      <w:numFmt w:val="lowerLetter"/>
      <w:lvlText w:val="%5."/>
      <w:lvlJc w:val="left"/>
      <w:pPr>
        <w:ind w:left="3197" w:hanging="360"/>
      </w:pPr>
    </w:lvl>
    <w:lvl w:ilvl="5" w:tplc="0818001B" w:tentative="1">
      <w:start w:val="1"/>
      <w:numFmt w:val="lowerRoman"/>
      <w:lvlText w:val="%6."/>
      <w:lvlJc w:val="right"/>
      <w:pPr>
        <w:ind w:left="3917" w:hanging="180"/>
      </w:pPr>
    </w:lvl>
    <w:lvl w:ilvl="6" w:tplc="0818000F" w:tentative="1">
      <w:start w:val="1"/>
      <w:numFmt w:val="decimal"/>
      <w:lvlText w:val="%7."/>
      <w:lvlJc w:val="left"/>
      <w:pPr>
        <w:ind w:left="4637" w:hanging="360"/>
      </w:pPr>
    </w:lvl>
    <w:lvl w:ilvl="7" w:tplc="08180019" w:tentative="1">
      <w:start w:val="1"/>
      <w:numFmt w:val="lowerLetter"/>
      <w:lvlText w:val="%8."/>
      <w:lvlJc w:val="left"/>
      <w:pPr>
        <w:ind w:left="5357" w:hanging="360"/>
      </w:pPr>
    </w:lvl>
    <w:lvl w:ilvl="8" w:tplc="0818001B" w:tentative="1">
      <w:start w:val="1"/>
      <w:numFmt w:val="lowerRoman"/>
      <w:lvlText w:val="%9."/>
      <w:lvlJc w:val="right"/>
      <w:pPr>
        <w:ind w:left="6077" w:hanging="180"/>
      </w:pPr>
    </w:lvl>
  </w:abstractNum>
  <w:abstractNum w:abstractNumId="34" w15:restartNumberingAfterBreak="0">
    <w:nsid w:val="2F406568"/>
    <w:multiLevelType w:val="hybridMultilevel"/>
    <w:tmpl w:val="13366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F4384F"/>
    <w:multiLevelType w:val="hybridMultilevel"/>
    <w:tmpl w:val="328A40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743F04"/>
    <w:multiLevelType w:val="hybridMultilevel"/>
    <w:tmpl w:val="17F459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9D5F0B"/>
    <w:multiLevelType w:val="hybridMultilevel"/>
    <w:tmpl w:val="DE9EC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6D27B8"/>
    <w:multiLevelType w:val="hybridMultilevel"/>
    <w:tmpl w:val="38A09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DF1FD1"/>
    <w:multiLevelType w:val="hybridMultilevel"/>
    <w:tmpl w:val="B970B48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E0789A"/>
    <w:multiLevelType w:val="hybridMultilevel"/>
    <w:tmpl w:val="50D0A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EB796C"/>
    <w:multiLevelType w:val="hybridMultilevel"/>
    <w:tmpl w:val="DA6ACBE8"/>
    <w:lvl w:ilvl="0" w:tplc="04090011">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42" w15:restartNumberingAfterBreak="0">
    <w:nsid w:val="38430F91"/>
    <w:multiLevelType w:val="hybridMultilevel"/>
    <w:tmpl w:val="D5A6EC32"/>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3B3358C8"/>
    <w:multiLevelType w:val="hybridMultilevel"/>
    <w:tmpl w:val="54A46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1C5FF6"/>
    <w:multiLevelType w:val="hybridMultilevel"/>
    <w:tmpl w:val="1C30D994"/>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42FC6E4A"/>
    <w:multiLevelType w:val="hybridMultilevel"/>
    <w:tmpl w:val="9F8EAD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6540BD"/>
    <w:multiLevelType w:val="hybridMultilevel"/>
    <w:tmpl w:val="AFFCE8B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850675"/>
    <w:multiLevelType w:val="hybridMultilevel"/>
    <w:tmpl w:val="A79ED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4119F7"/>
    <w:multiLevelType w:val="hybridMultilevel"/>
    <w:tmpl w:val="5824E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3025C"/>
    <w:multiLevelType w:val="hybridMultilevel"/>
    <w:tmpl w:val="4A74A15E"/>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48483D42"/>
    <w:multiLevelType w:val="hybridMultilevel"/>
    <w:tmpl w:val="EE721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591EC2"/>
    <w:multiLevelType w:val="hybridMultilevel"/>
    <w:tmpl w:val="782CB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246554"/>
    <w:multiLevelType w:val="hybridMultilevel"/>
    <w:tmpl w:val="47365D34"/>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4F18DC54">
      <w:start w:val="1"/>
      <w:numFmt w:val="decimal"/>
      <w:lvlText w:val="(%3)"/>
      <w:lvlJc w:val="left"/>
      <w:pPr>
        <w:ind w:left="2610" w:hanging="360"/>
      </w:pPr>
      <w:rPr>
        <w:rFonts w:hint="default"/>
      </w:rPr>
    </w:lvl>
    <w:lvl w:ilvl="3" w:tplc="053624EA">
      <w:start w:val="51"/>
      <w:numFmt w:val="decimal"/>
      <w:lvlText w:val="%4."/>
      <w:lvlJc w:val="left"/>
      <w:pPr>
        <w:ind w:left="3150" w:hanging="360"/>
      </w:pPr>
      <w:rPr>
        <w:rFonts w:hint="default"/>
        <w:b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4F220290"/>
    <w:multiLevelType w:val="hybridMultilevel"/>
    <w:tmpl w:val="98B84108"/>
    <w:lvl w:ilvl="0" w:tplc="542EEC36">
      <w:start w:val="1"/>
      <w:numFmt w:val="lowerLetter"/>
      <w:lvlText w:val="(%1)"/>
      <w:lvlJc w:val="left"/>
      <w:pPr>
        <w:ind w:left="317" w:hanging="360"/>
      </w:pPr>
      <w:rPr>
        <w:rFonts w:hint="default"/>
      </w:rPr>
    </w:lvl>
    <w:lvl w:ilvl="1" w:tplc="08180019" w:tentative="1">
      <w:start w:val="1"/>
      <w:numFmt w:val="lowerLetter"/>
      <w:lvlText w:val="%2."/>
      <w:lvlJc w:val="left"/>
      <w:pPr>
        <w:ind w:left="1037" w:hanging="360"/>
      </w:pPr>
    </w:lvl>
    <w:lvl w:ilvl="2" w:tplc="0818001B" w:tentative="1">
      <w:start w:val="1"/>
      <w:numFmt w:val="lowerRoman"/>
      <w:lvlText w:val="%3."/>
      <w:lvlJc w:val="right"/>
      <w:pPr>
        <w:ind w:left="1757" w:hanging="180"/>
      </w:pPr>
    </w:lvl>
    <w:lvl w:ilvl="3" w:tplc="0818000F" w:tentative="1">
      <w:start w:val="1"/>
      <w:numFmt w:val="decimal"/>
      <w:lvlText w:val="%4."/>
      <w:lvlJc w:val="left"/>
      <w:pPr>
        <w:ind w:left="2477" w:hanging="360"/>
      </w:pPr>
    </w:lvl>
    <w:lvl w:ilvl="4" w:tplc="08180019" w:tentative="1">
      <w:start w:val="1"/>
      <w:numFmt w:val="lowerLetter"/>
      <w:lvlText w:val="%5."/>
      <w:lvlJc w:val="left"/>
      <w:pPr>
        <w:ind w:left="3197" w:hanging="360"/>
      </w:pPr>
    </w:lvl>
    <w:lvl w:ilvl="5" w:tplc="0818001B" w:tentative="1">
      <w:start w:val="1"/>
      <w:numFmt w:val="lowerRoman"/>
      <w:lvlText w:val="%6."/>
      <w:lvlJc w:val="right"/>
      <w:pPr>
        <w:ind w:left="3917" w:hanging="180"/>
      </w:pPr>
    </w:lvl>
    <w:lvl w:ilvl="6" w:tplc="0818000F" w:tentative="1">
      <w:start w:val="1"/>
      <w:numFmt w:val="decimal"/>
      <w:lvlText w:val="%7."/>
      <w:lvlJc w:val="left"/>
      <w:pPr>
        <w:ind w:left="4637" w:hanging="360"/>
      </w:pPr>
    </w:lvl>
    <w:lvl w:ilvl="7" w:tplc="08180019" w:tentative="1">
      <w:start w:val="1"/>
      <w:numFmt w:val="lowerLetter"/>
      <w:lvlText w:val="%8."/>
      <w:lvlJc w:val="left"/>
      <w:pPr>
        <w:ind w:left="5357" w:hanging="360"/>
      </w:pPr>
    </w:lvl>
    <w:lvl w:ilvl="8" w:tplc="0818001B" w:tentative="1">
      <w:start w:val="1"/>
      <w:numFmt w:val="lowerRoman"/>
      <w:lvlText w:val="%9."/>
      <w:lvlJc w:val="right"/>
      <w:pPr>
        <w:ind w:left="6077" w:hanging="180"/>
      </w:pPr>
    </w:lvl>
  </w:abstractNum>
  <w:abstractNum w:abstractNumId="54" w15:restartNumberingAfterBreak="0">
    <w:nsid w:val="4F7F79C5"/>
    <w:multiLevelType w:val="hybridMultilevel"/>
    <w:tmpl w:val="EF38C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0BD2894"/>
    <w:multiLevelType w:val="hybridMultilevel"/>
    <w:tmpl w:val="E6D2B7CE"/>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8" w15:restartNumberingAfterBreak="0">
    <w:nsid w:val="529F6B6F"/>
    <w:multiLevelType w:val="hybridMultilevel"/>
    <w:tmpl w:val="CE9E19C8"/>
    <w:lvl w:ilvl="0" w:tplc="04090017">
      <w:start w:val="1"/>
      <w:numFmt w:val="lowerLetter"/>
      <w:lvlText w:val="%1)"/>
      <w:lvlJc w:val="left"/>
      <w:pPr>
        <w:ind w:left="969" w:hanging="360"/>
      </w:pPr>
    </w:lvl>
    <w:lvl w:ilvl="1" w:tplc="04090017">
      <w:start w:val="1"/>
      <w:numFmt w:val="lowerLetter"/>
      <w:lvlText w:val="%2)"/>
      <w:lvlJc w:val="left"/>
      <w:pPr>
        <w:ind w:left="1689" w:hanging="360"/>
      </w:pPr>
    </w:lvl>
    <w:lvl w:ilvl="2" w:tplc="98D6EFAA">
      <w:start w:val="1"/>
      <w:numFmt w:val="decimal"/>
      <w:lvlText w:val="%3."/>
      <w:lvlJc w:val="left"/>
      <w:pPr>
        <w:ind w:left="2589" w:hanging="360"/>
      </w:pPr>
      <w:rPr>
        <w:rFonts w:hint="default"/>
      </w:rPr>
    </w:lvl>
    <w:lvl w:ilvl="3" w:tplc="95C8C104">
      <w:start w:val="1"/>
      <w:numFmt w:val="lowerLetter"/>
      <w:lvlText w:val="(%4)"/>
      <w:lvlJc w:val="left"/>
      <w:pPr>
        <w:ind w:left="3129" w:hanging="360"/>
      </w:pPr>
      <w:rPr>
        <w:rFonts w:hint="default"/>
        <w:color w:val="FF0000"/>
      </w:r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59" w15:restartNumberingAfterBreak="0">
    <w:nsid w:val="541B5657"/>
    <w:multiLevelType w:val="hybridMultilevel"/>
    <w:tmpl w:val="FD125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284987"/>
    <w:multiLevelType w:val="hybridMultilevel"/>
    <w:tmpl w:val="405C776C"/>
    <w:lvl w:ilvl="0" w:tplc="CA941470">
      <w:start w:val="1"/>
      <w:numFmt w:val="lowerLetter"/>
      <w:suff w:val="nothing"/>
      <w:lvlText w:val="%1)"/>
      <w:lvlJc w:val="left"/>
      <w:pPr>
        <w:ind w:left="172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54C427C7"/>
    <w:multiLevelType w:val="hybridMultilevel"/>
    <w:tmpl w:val="4F0AC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2C3530"/>
    <w:multiLevelType w:val="hybridMultilevel"/>
    <w:tmpl w:val="708AC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4" w15:restartNumberingAfterBreak="0">
    <w:nsid w:val="55E031EA"/>
    <w:multiLevelType w:val="hybridMultilevel"/>
    <w:tmpl w:val="8A72A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86199A"/>
    <w:multiLevelType w:val="hybridMultilevel"/>
    <w:tmpl w:val="0DBEABF8"/>
    <w:lvl w:ilvl="0" w:tplc="04090017">
      <w:start w:val="1"/>
      <w:numFmt w:val="lowerLetter"/>
      <w:lvlText w:val="%1)"/>
      <w:lvlJc w:val="left"/>
      <w:pPr>
        <w:ind w:left="720" w:hanging="360"/>
      </w:pPr>
    </w:lvl>
    <w:lvl w:ilvl="1" w:tplc="35E26772">
      <w:start w:val="67"/>
      <w:numFmt w:val="decimal"/>
      <w:lvlText w:val="%2."/>
      <w:lvlJc w:val="left"/>
      <w:pPr>
        <w:ind w:left="1440" w:hanging="360"/>
      </w:pPr>
      <w:rPr>
        <w:rFonts w:hint="default"/>
      </w:rPr>
    </w:lvl>
    <w:lvl w:ilvl="2" w:tplc="D8B41544">
      <w:start w:val="2"/>
      <w:numFmt w:val="bullet"/>
      <w:lvlText w:val="-"/>
      <w:lvlJc w:val="left"/>
      <w:pPr>
        <w:ind w:left="2340" w:hanging="360"/>
      </w:pPr>
      <w:rPr>
        <w:rFonts w:ascii="Times New Roman" w:eastAsiaTheme="minorHAnsi" w:hAnsi="Times New Roman" w:cs="Times New Roman" w:hint="default"/>
      </w:r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9D1AC5"/>
    <w:multiLevelType w:val="hybridMultilevel"/>
    <w:tmpl w:val="4FD8832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1069"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890647C"/>
    <w:multiLevelType w:val="hybridMultilevel"/>
    <w:tmpl w:val="52FE5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8C2378"/>
    <w:multiLevelType w:val="hybridMultilevel"/>
    <w:tmpl w:val="E3C6CF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CA59F2"/>
    <w:multiLevelType w:val="hybridMultilevel"/>
    <w:tmpl w:val="BDECB2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2" w15:restartNumberingAfterBreak="0">
    <w:nsid w:val="5F3C59E8"/>
    <w:multiLevelType w:val="hybridMultilevel"/>
    <w:tmpl w:val="BC4E9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B67907"/>
    <w:multiLevelType w:val="hybridMultilevel"/>
    <w:tmpl w:val="AB74254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15:restartNumberingAfterBreak="0">
    <w:nsid w:val="61F6684F"/>
    <w:multiLevelType w:val="hybridMultilevel"/>
    <w:tmpl w:val="19923A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F812E3"/>
    <w:multiLevelType w:val="hybridMultilevel"/>
    <w:tmpl w:val="DAB27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72318D"/>
    <w:multiLevelType w:val="hybridMultilevel"/>
    <w:tmpl w:val="CFD26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360"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8" w15:restartNumberingAfterBreak="0">
    <w:nsid w:val="66993C19"/>
    <w:multiLevelType w:val="hybridMultilevel"/>
    <w:tmpl w:val="B09CED2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CE1EE7"/>
    <w:multiLevelType w:val="hybridMultilevel"/>
    <w:tmpl w:val="205A8CF0"/>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7B7E2B7E">
      <w:start w:val="1"/>
      <w:numFmt w:val="lowerLetter"/>
      <w:lvlText w:val="(%4)"/>
      <w:lvlJc w:val="left"/>
      <w:pPr>
        <w:ind w:left="2880" w:hanging="360"/>
      </w:pPr>
      <w:rPr>
        <w:rFonts w:hint="default"/>
        <w:b w:val="0"/>
        <w:color w:val="FF0000"/>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2E527D"/>
    <w:multiLevelType w:val="hybridMultilevel"/>
    <w:tmpl w:val="7E029A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16BA2E">
      <w:start w:val="1"/>
      <w:numFmt w:val="decimal"/>
      <w:suff w:val="space"/>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942288"/>
    <w:multiLevelType w:val="hybridMultilevel"/>
    <w:tmpl w:val="4FA6F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2407F0"/>
    <w:multiLevelType w:val="hybridMultilevel"/>
    <w:tmpl w:val="880A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CBE13EB"/>
    <w:multiLevelType w:val="hybridMultilevel"/>
    <w:tmpl w:val="C6427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2F6E96"/>
    <w:multiLevelType w:val="hybridMultilevel"/>
    <w:tmpl w:val="5A3035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371ECB"/>
    <w:multiLevelType w:val="hybridMultilevel"/>
    <w:tmpl w:val="05749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9E0419"/>
    <w:multiLevelType w:val="hybridMultilevel"/>
    <w:tmpl w:val="CC800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F8E609C"/>
    <w:multiLevelType w:val="hybridMultilevel"/>
    <w:tmpl w:val="DA546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6F34FD"/>
    <w:multiLevelType w:val="hybridMultilevel"/>
    <w:tmpl w:val="1D2A53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146572"/>
    <w:multiLevelType w:val="hybridMultilevel"/>
    <w:tmpl w:val="45E6E2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4F1056E"/>
    <w:multiLevelType w:val="hybridMultilevel"/>
    <w:tmpl w:val="FEBE5B72"/>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2" w15:restartNumberingAfterBreak="0">
    <w:nsid w:val="76975D39"/>
    <w:multiLevelType w:val="hybridMultilevel"/>
    <w:tmpl w:val="A5565C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EC40DC"/>
    <w:multiLevelType w:val="hybridMultilevel"/>
    <w:tmpl w:val="E2708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6915DA"/>
    <w:multiLevelType w:val="hybridMultilevel"/>
    <w:tmpl w:val="0E7ADBDE"/>
    <w:lvl w:ilvl="0" w:tplc="04090017">
      <w:start w:val="1"/>
      <w:numFmt w:val="lowerLetter"/>
      <w:lvlText w:val="%1)"/>
      <w:lvlJc w:val="left"/>
      <w:pPr>
        <w:ind w:left="720" w:hanging="360"/>
      </w:pPr>
    </w:lvl>
    <w:lvl w:ilvl="1" w:tplc="9A181A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A814A2"/>
    <w:multiLevelType w:val="hybridMultilevel"/>
    <w:tmpl w:val="7B38AA12"/>
    <w:lvl w:ilvl="0" w:tplc="04090017">
      <w:start w:val="1"/>
      <w:numFmt w:val="lowerLetter"/>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num w:numId="1" w16cid:durableId="38629383">
    <w:abstractNumId w:val="16"/>
  </w:num>
  <w:num w:numId="2" w16cid:durableId="1142886098">
    <w:abstractNumId w:val="26"/>
  </w:num>
  <w:num w:numId="3" w16cid:durableId="1813719243">
    <w:abstractNumId w:val="67"/>
  </w:num>
  <w:num w:numId="4" w16cid:durableId="4967278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185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6965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8725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017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385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05927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647343">
    <w:abstractNumId w:val="63"/>
  </w:num>
  <w:num w:numId="12" w16cid:durableId="48506378">
    <w:abstractNumId w:val="68"/>
  </w:num>
  <w:num w:numId="13" w16cid:durableId="1714889974">
    <w:abstractNumId w:val="43"/>
  </w:num>
  <w:num w:numId="14" w16cid:durableId="724110552">
    <w:abstractNumId w:val="27"/>
  </w:num>
  <w:num w:numId="15" w16cid:durableId="840851317">
    <w:abstractNumId w:val="62"/>
  </w:num>
  <w:num w:numId="16" w16cid:durableId="1041326563">
    <w:abstractNumId w:val="87"/>
  </w:num>
  <w:num w:numId="17" w16cid:durableId="637302565">
    <w:abstractNumId w:val="81"/>
  </w:num>
  <w:num w:numId="18" w16cid:durableId="534317202">
    <w:abstractNumId w:val="5"/>
  </w:num>
  <w:num w:numId="19" w16cid:durableId="868302505">
    <w:abstractNumId w:val="32"/>
  </w:num>
  <w:num w:numId="20" w16cid:durableId="339698167">
    <w:abstractNumId w:val="9"/>
  </w:num>
  <w:num w:numId="21" w16cid:durableId="1407531741">
    <w:abstractNumId w:val="12"/>
  </w:num>
  <w:num w:numId="22" w16cid:durableId="1462185890">
    <w:abstractNumId w:val="95"/>
  </w:num>
  <w:num w:numId="23" w16cid:durableId="1309746932">
    <w:abstractNumId w:val="58"/>
  </w:num>
  <w:num w:numId="24" w16cid:durableId="40592280">
    <w:abstractNumId w:val="24"/>
  </w:num>
  <w:num w:numId="25" w16cid:durableId="282545635">
    <w:abstractNumId w:val="37"/>
  </w:num>
  <w:num w:numId="26" w16cid:durableId="538322477">
    <w:abstractNumId w:val="79"/>
  </w:num>
  <w:num w:numId="27" w16cid:durableId="1171944175">
    <w:abstractNumId w:val="80"/>
  </w:num>
  <w:num w:numId="28" w16cid:durableId="1452361671">
    <w:abstractNumId w:val="85"/>
  </w:num>
  <w:num w:numId="29" w16cid:durableId="911617374">
    <w:abstractNumId w:val="1"/>
  </w:num>
  <w:num w:numId="30" w16cid:durableId="1253782636">
    <w:abstractNumId w:val="83"/>
  </w:num>
  <w:num w:numId="31" w16cid:durableId="1513642675">
    <w:abstractNumId w:val="91"/>
  </w:num>
  <w:num w:numId="32" w16cid:durableId="2036540790">
    <w:abstractNumId w:val="93"/>
  </w:num>
  <w:num w:numId="33" w16cid:durableId="865482115">
    <w:abstractNumId w:val="51"/>
  </w:num>
  <w:num w:numId="34" w16cid:durableId="1287270656">
    <w:abstractNumId w:val="61"/>
  </w:num>
  <w:num w:numId="35" w16cid:durableId="336730798">
    <w:abstractNumId w:val="4"/>
  </w:num>
  <w:num w:numId="36" w16cid:durableId="69349013">
    <w:abstractNumId w:val="10"/>
  </w:num>
  <w:num w:numId="37" w16cid:durableId="1790978074">
    <w:abstractNumId w:val="7"/>
  </w:num>
  <w:num w:numId="38" w16cid:durableId="964389154">
    <w:abstractNumId w:val="78"/>
  </w:num>
  <w:num w:numId="39" w16cid:durableId="1713115498">
    <w:abstractNumId w:val="39"/>
  </w:num>
  <w:num w:numId="40" w16cid:durableId="731661270">
    <w:abstractNumId w:val="69"/>
  </w:num>
  <w:num w:numId="41" w16cid:durableId="1334139274">
    <w:abstractNumId w:val="13"/>
  </w:num>
  <w:num w:numId="42" w16cid:durableId="85883824">
    <w:abstractNumId w:val="76"/>
  </w:num>
  <w:num w:numId="43" w16cid:durableId="567568364">
    <w:abstractNumId w:val="38"/>
  </w:num>
  <w:num w:numId="44" w16cid:durableId="882863930">
    <w:abstractNumId w:val="73"/>
  </w:num>
  <w:num w:numId="45" w16cid:durableId="1350372719">
    <w:abstractNumId w:val="30"/>
  </w:num>
  <w:num w:numId="46" w16cid:durableId="295061963">
    <w:abstractNumId w:val="56"/>
  </w:num>
  <w:num w:numId="47" w16cid:durableId="1961062419">
    <w:abstractNumId w:val="6"/>
  </w:num>
  <w:num w:numId="48" w16cid:durableId="1480686648">
    <w:abstractNumId w:val="36"/>
  </w:num>
  <w:num w:numId="49" w16cid:durableId="2130512155">
    <w:abstractNumId w:val="72"/>
  </w:num>
  <w:num w:numId="50" w16cid:durableId="1008408376">
    <w:abstractNumId w:val="2"/>
  </w:num>
  <w:num w:numId="51" w16cid:durableId="1099258737">
    <w:abstractNumId w:val="47"/>
  </w:num>
  <w:num w:numId="52" w16cid:durableId="2091273090">
    <w:abstractNumId w:val="49"/>
  </w:num>
  <w:num w:numId="53" w16cid:durableId="129518648">
    <w:abstractNumId w:val="42"/>
  </w:num>
  <w:num w:numId="54" w16cid:durableId="187525552">
    <w:abstractNumId w:val="14"/>
  </w:num>
  <w:num w:numId="55" w16cid:durableId="971784975">
    <w:abstractNumId w:val="88"/>
  </w:num>
  <w:num w:numId="56" w16cid:durableId="2104374145">
    <w:abstractNumId w:val="25"/>
  </w:num>
  <w:num w:numId="57" w16cid:durableId="595285909">
    <w:abstractNumId w:val="44"/>
  </w:num>
  <w:num w:numId="58" w16cid:durableId="1045105158">
    <w:abstractNumId w:val="45"/>
  </w:num>
  <w:num w:numId="59" w16cid:durableId="1327704529">
    <w:abstractNumId w:val="21"/>
  </w:num>
  <w:num w:numId="60" w16cid:durableId="1684239391">
    <w:abstractNumId w:val="35"/>
  </w:num>
  <w:num w:numId="61" w16cid:durableId="1017583074">
    <w:abstractNumId w:val="17"/>
  </w:num>
  <w:num w:numId="62" w16cid:durableId="1417167017">
    <w:abstractNumId w:val="29"/>
  </w:num>
  <w:num w:numId="63" w16cid:durableId="567804495">
    <w:abstractNumId w:val="18"/>
  </w:num>
  <w:num w:numId="64" w16cid:durableId="1481574037">
    <w:abstractNumId w:val="15"/>
  </w:num>
  <w:num w:numId="65" w16cid:durableId="418984161">
    <w:abstractNumId w:val="84"/>
  </w:num>
  <w:num w:numId="66" w16cid:durableId="1671104012">
    <w:abstractNumId w:val="54"/>
  </w:num>
  <w:num w:numId="67" w16cid:durableId="611206574">
    <w:abstractNumId w:val="65"/>
  </w:num>
  <w:num w:numId="68" w16cid:durableId="697893180">
    <w:abstractNumId w:val="8"/>
  </w:num>
  <w:num w:numId="69" w16cid:durableId="81952073">
    <w:abstractNumId w:val="89"/>
  </w:num>
  <w:num w:numId="70" w16cid:durableId="1015612593">
    <w:abstractNumId w:val="64"/>
  </w:num>
  <w:num w:numId="71" w16cid:durableId="1735733968">
    <w:abstractNumId w:val="46"/>
  </w:num>
  <w:num w:numId="72" w16cid:durableId="1446995212">
    <w:abstractNumId w:val="22"/>
  </w:num>
  <w:num w:numId="73" w16cid:durableId="1226257431">
    <w:abstractNumId w:val="48"/>
  </w:num>
  <w:num w:numId="74" w16cid:durableId="963118526">
    <w:abstractNumId w:val="92"/>
  </w:num>
  <w:num w:numId="75" w16cid:durableId="1789931794">
    <w:abstractNumId w:val="59"/>
  </w:num>
  <w:num w:numId="76" w16cid:durableId="2090926452">
    <w:abstractNumId w:val="70"/>
  </w:num>
  <w:num w:numId="77" w16cid:durableId="1328823925">
    <w:abstractNumId w:val="40"/>
  </w:num>
  <w:num w:numId="78" w16cid:durableId="1184855080">
    <w:abstractNumId w:val="82"/>
  </w:num>
  <w:num w:numId="79" w16cid:durableId="694771298">
    <w:abstractNumId w:val="52"/>
  </w:num>
  <w:num w:numId="80" w16cid:durableId="1824422045">
    <w:abstractNumId w:val="11"/>
  </w:num>
  <w:num w:numId="81" w16cid:durableId="1295795367">
    <w:abstractNumId w:val="31"/>
  </w:num>
  <w:num w:numId="82" w16cid:durableId="1178545445">
    <w:abstractNumId w:val="19"/>
  </w:num>
  <w:num w:numId="83" w16cid:durableId="1810972817">
    <w:abstractNumId w:val="50"/>
  </w:num>
  <w:num w:numId="84" w16cid:durableId="1095631992">
    <w:abstractNumId w:val="23"/>
  </w:num>
  <w:num w:numId="85" w16cid:durableId="1176576918">
    <w:abstractNumId w:val="74"/>
  </w:num>
  <w:num w:numId="86" w16cid:durableId="1871609035">
    <w:abstractNumId w:val="28"/>
  </w:num>
  <w:num w:numId="87" w16cid:durableId="1625649327">
    <w:abstractNumId w:val="86"/>
  </w:num>
  <w:num w:numId="88" w16cid:durableId="555898218">
    <w:abstractNumId w:val="34"/>
  </w:num>
  <w:num w:numId="89" w16cid:durableId="572350624">
    <w:abstractNumId w:val="94"/>
  </w:num>
  <w:num w:numId="90" w16cid:durableId="554705025">
    <w:abstractNumId w:val="66"/>
  </w:num>
  <w:num w:numId="91" w16cid:durableId="1046683653">
    <w:abstractNumId w:val="0"/>
  </w:num>
  <w:num w:numId="92" w16cid:durableId="75828082">
    <w:abstractNumId w:val="75"/>
  </w:num>
  <w:num w:numId="93" w16cid:durableId="1077897815">
    <w:abstractNumId w:val="41"/>
  </w:num>
  <w:num w:numId="94" w16cid:durableId="1886529577">
    <w:abstractNumId w:val="60"/>
  </w:num>
  <w:num w:numId="95" w16cid:durableId="954288073">
    <w:abstractNumId w:val="53"/>
  </w:num>
  <w:num w:numId="96" w16cid:durableId="1654867401">
    <w:abstractNumId w:val="3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D"/>
    <w:rsid w:val="0000087D"/>
    <w:rsid w:val="00001B8C"/>
    <w:rsid w:val="000048E4"/>
    <w:rsid w:val="000067AE"/>
    <w:rsid w:val="000068EE"/>
    <w:rsid w:val="000069C4"/>
    <w:rsid w:val="000104FB"/>
    <w:rsid w:val="000111A5"/>
    <w:rsid w:val="00011BA4"/>
    <w:rsid w:val="000124A3"/>
    <w:rsid w:val="00012F03"/>
    <w:rsid w:val="00012FCD"/>
    <w:rsid w:val="000208B8"/>
    <w:rsid w:val="00021159"/>
    <w:rsid w:val="0002252B"/>
    <w:rsid w:val="00022D5B"/>
    <w:rsid w:val="00024556"/>
    <w:rsid w:val="000305FE"/>
    <w:rsid w:val="000330CF"/>
    <w:rsid w:val="000345A1"/>
    <w:rsid w:val="00034CF2"/>
    <w:rsid w:val="00034DA2"/>
    <w:rsid w:val="000353FF"/>
    <w:rsid w:val="00037982"/>
    <w:rsid w:val="0004052D"/>
    <w:rsid w:val="00040CFE"/>
    <w:rsid w:val="00043D88"/>
    <w:rsid w:val="00043E2B"/>
    <w:rsid w:val="00045B0D"/>
    <w:rsid w:val="0004617A"/>
    <w:rsid w:val="00047756"/>
    <w:rsid w:val="00050039"/>
    <w:rsid w:val="000501F7"/>
    <w:rsid w:val="00050E39"/>
    <w:rsid w:val="000527C4"/>
    <w:rsid w:val="000536FD"/>
    <w:rsid w:val="00053B5E"/>
    <w:rsid w:val="00054E18"/>
    <w:rsid w:val="000556A6"/>
    <w:rsid w:val="00056611"/>
    <w:rsid w:val="000567C7"/>
    <w:rsid w:val="00056BCD"/>
    <w:rsid w:val="00056D7B"/>
    <w:rsid w:val="000572C8"/>
    <w:rsid w:val="0005781F"/>
    <w:rsid w:val="00057953"/>
    <w:rsid w:val="00057CCE"/>
    <w:rsid w:val="00060D68"/>
    <w:rsid w:val="000613B4"/>
    <w:rsid w:val="000617D3"/>
    <w:rsid w:val="00063C5B"/>
    <w:rsid w:val="00063EC7"/>
    <w:rsid w:val="00064F7C"/>
    <w:rsid w:val="0006693D"/>
    <w:rsid w:val="00066E71"/>
    <w:rsid w:val="00067C89"/>
    <w:rsid w:val="00070A80"/>
    <w:rsid w:val="00071E90"/>
    <w:rsid w:val="00074047"/>
    <w:rsid w:val="00074889"/>
    <w:rsid w:val="000768C2"/>
    <w:rsid w:val="00077692"/>
    <w:rsid w:val="00083CC3"/>
    <w:rsid w:val="0008568E"/>
    <w:rsid w:val="000857CC"/>
    <w:rsid w:val="0008793A"/>
    <w:rsid w:val="00087A0E"/>
    <w:rsid w:val="00087A6A"/>
    <w:rsid w:val="00090455"/>
    <w:rsid w:val="0009061F"/>
    <w:rsid w:val="00090957"/>
    <w:rsid w:val="00091A98"/>
    <w:rsid w:val="00091C43"/>
    <w:rsid w:val="00092DAA"/>
    <w:rsid w:val="000946EF"/>
    <w:rsid w:val="000947FD"/>
    <w:rsid w:val="000952D2"/>
    <w:rsid w:val="000956F5"/>
    <w:rsid w:val="00095D7F"/>
    <w:rsid w:val="00096308"/>
    <w:rsid w:val="000975AB"/>
    <w:rsid w:val="000979D7"/>
    <w:rsid w:val="00097A46"/>
    <w:rsid w:val="000A01A2"/>
    <w:rsid w:val="000A0610"/>
    <w:rsid w:val="000A122A"/>
    <w:rsid w:val="000A31C9"/>
    <w:rsid w:val="000A3EAF"/>
    <w:rsid w:val="000A4357"/>
    <w:rsid w:val="000A4B8D"/>
    <w:rsid w:val="000A5A06"/>
    <w:rsid w:val="000A71FA"/>
    <w:rsid w:val="000B16E0"/>
    <w:rsid w:val="000B2904"/>
    <w:rsid w:val="000B3132"/>
    <w:rsid w:val="000B42A1"/>
    <w:rsid w:val="000B5CE3"/>
    <w:rsid w:val="000B5F5F"/>
    <w:rsid w:val="000B78DF"/>
    <w:rsid w:val="000B7E54"/>
    <w:rsid w:val="000C065D"/>
    <w:rsid w:val="000C0B7B"/>
    <w:rsid w:val="000C243B"/>
    <w:rsid w:val="000C26F6"/>
    <w:rsid w:val="000C3108"/>
    <w:rsid w:val="000C5880"/>
    <w:rsid w:val="000C5B70"/>
    <w:rsid w:val="000D0E79"/>
    <w:rsid w:val="000D0F9D"/>
    <w:rsid w:val="000D1546"/>
    <w:rsid w:val="000D2683"/>
    <w:rsid w:val="000D3F5E"/>
    <w:rsid w:val="000D4DA5"/>
    <w:rsid w:val="000D504B"/>
    <w:rsid w:val="000D5224"/>
    <w:rsid w:val="000D7340"/>
    <w:rsid w:val="000E03BD"/>
    <w:rsid w:val="000E1739"/>
    <w:rsid w:val="000E1F57"/>
    <w:rsid w:val="000E25CB"/>
    <w:rsid w:val="000E2C83"/>
    <w:rsid w:val="000E2F9D"/>
    <w:rsid w:val="000E32ED"/>
    <w:rsid w:val="000E351E"/>
    <w:rsid w:val="000E596B"/>
    <w:rsid w:val="000E60D3"/>
    <w:rsid w:val="000E7E35"/>
    <w:rsid w:val="000F1B03"/>
    <w:rsid w:val="000F1DEE"/>
    <w:rsid w:val="000F3140"/>
    <w:rsid w:val="000F3356"/>
    <w:rsid w:val="000F3A00"/>
    <w:rsid w:val="000F44C1"/>
    <w:rsid w:val="000F4844"/>
    <w:rsid w:val="000F4BA2"/>
    <w:rsid w:val="000F5059"/>
    <w:rsid w:val="000F57A2"/>
    <w:rsid w:val="000F6049"/>
    <w:rsid w:val="000F680F"/>
    <w:rsid w:val="000F72F7"/>
    <w:rsid w:val="000F77E8"/>
    <w:rsid w:val="000F7DEE"/>
    <w:rsid w:val="001000C9"/>
    <w:rsid w:val="0010025D"/>
    <w:rsid w:val="00101DCD"/>
    <w:rsid w:val="00102E70"/>
    <w:rsid w:val="00102EE5"/>
    <w:rsid w:val="001031A2"/>
    <w:rsid w:val="00104514"/>
    <w:rsid w:val="00104ACB"/>
    <w:rsid w:val="00105BAC"/>
    <w:rsid w:val="00106A96"/>
    <w:rsid w:val="0010793C"/>
    <w:rsid w:val="00110251"/>
    <w:rsid w:val="00110513"/>
    <w:rsid w:val="0011084D"/>
    <w:rsid w:val="001108AB"/>
    <w:rsid w:val="0011190B"/>
    <w:rsid w:val="0011225B"/>
    <w:rsid w:val="0011236B"/>
    <w:rsid w:val="00112D65"/>
    <w:rsid w:val="0011374E"/>
    <w:rsid w:val="001138C5"/>
    <w:rsid w:val="001154E2"/>
    <w:rsid w:val="00115D36"/>
    <w:rsid w:val="001160A5"/>
    <w:rsid w:val="00116289"/>
    <w:rsid w:val="00120F88"/>
    <w:rsid w:val="00122231"/>
    <w:rsid w:val="00122BCE"/>
    <w:rsid w:val="00123046"/>
    <w:rsid w:val="001249A1"/>
    <w:rsid w:val="00124F6E"/>
    <w:rsid w:val="0012553D"/>
    <w:rsid w:val="00125E75"/>
    <w:rsid w:val="00125EE7"/>
    <w:rsid w:val="001277A5"/>
    <w:rsid w:val="001312E7"/>
    <w:rsid w:val="00132A2C"/>
    <w:rsid w:val="00133210"/>
    <w:rsid w:val="001337B6"/>
    <w:rsid w:val="00133B54"/>
    <w:rsid w:val="00135333"/>
    <w:rsid w:val="001357D0"/>
    <w:rsid w:val="001357FE"/>
    <w:rsid w:val="001358E2"/>
    <w:rsid w:val="00135C40"/>
    <w:rsid w:val="00135CC8"/>
    <w:rsid w:val="0013784F"/>
    <w:rsid w:val="001404D7"/>
    <w:rsid w:val="00142449"/>
    <w:rsid w:val="001428B1"/>
    <w:rsid w:val="0014290F"/>
    <w:rsid w:val="001434E8"/>
    <w:rsid w:val="001442B1"/>
    <w:rsid w:val="001450A0"/>
    <w:rsid w:val="00145B50"/>
    <w:rsid w:val="001476B1"/>
    <w:rsid w:val="00147D1F"/>
    <w:rsid w:val="001507C8"/>
    <w:rsid w:val="0015256E"/>
    <w:rsid w:val="0015265F"/>
    <w:rsid w:val="001547BD"/>
    <w:rsid w:val="00155504"/>
    <w:rsid w:val="00155F18"/>
    <w:rsid w:val="001567D7"/>
    <w:rsid w:val="00156CB8"/>
    <w:rsid w:val="001570C4"/>
    <w:rsid w:val="001571EB"/>
    <w:rsid w:val="00157206"/>
    <w:rsid w:val="00157403"/>
    <w:rsid w:val="00160DB6"/>
    <w:rsid w:val="00163950"/>
    <w:rsid w:val="00163DA5"/>
    <w:rsid w:val="00164CEA"/>
    <w:rsid w:val="00165A58"/>
    <w:rsid w:val="0016751E"/>
    <w:rsid w:val="00170003"/>
    <w:rsid w:val="0017164A"/>
    <w:rsid w:val="00171EEB"/>
    <w:rsid w:val="00175725"/>
    <w:rsid w:val="001767EB"/>
    <w:rsid w:val="00176C77"/>
    <w:rsid w:val="00180341"/>
    <w:rsid w:val="00181532"/>
    <w:rsid w:val="00182702"/>
    <w:rsid w:val="0018360F"/>
    <w:rsid w:val="0018461B"/>
    <w:rsid w:val="00185C78"/>
    <w:rsid w:val="00185DED"/>
    <w:rsid w:val="00186F9A"/>
    <w:rsid w:val="00190205"/>
    <w:rsid w:val="001906DE"/>
    <w:rsid w:val="0019156D"/>
    <w:rsid w:val="00191C1B"/>
    <w:rsid w:val="00191FE0"/>
    <w:rsid w:val="001958DF"/>
    <w:rsid w:val="0019611B"/>
    <w:rsid w:val="00196466"/>
    <w:rsid w:val="001972EA"/>
    <w:rsid w:val="0019760A"/>
    <w:rsid w:val="00197772"/>
    <w:rsid w:val="00197961"/>
    <w:rsid w:val="001979F8"/>
    <w:rsid w:val="001A213A"/>
    <w:rsid w:val="001A24B0"/>
    <w:rsid w:val="001A291B"/>
    <w:rsid w:val="001A2F04"/>
    <w:rsid w:val="001A301E"/>
    <w:rsid w:val="001A46BF"/>
    <w:rsid w:val="001A753D"/>
    <w:rsid w:val="001B00E7"/>
    <w:rsid w:val="001B0857"/>
    <w:rsid w:val="001B25F7"/>
    <w:rsid w:val="001B3357"/>
    <w:rsid w:val="001B6056"/>
    <w:rsid w:val="001B6B9D"/>
    <w:rsid w:val="001B75DC"/>
    <w:rsid w:val="001B7B99"/>
    <w:rsid w:val="001C162C"/>
    <w:rsid w:val="001C570B"/>
    <w:rsid w:val="001C5B9E"/>
    <w:rsid w:val="001C6548"/>
    <w:rsid w:val="001C7166"/>
    <w:rsid w:val="001C7866"/>
    <w:rsid w:val="001D1F16"/>
    <w:rsid w:val="001D23E4"/>
    <w:rsid w:val="001D2619"/>
    <w:rsid w:val="001D391A"/>
    <w:rsid w:val="001D3EB5"/>
    <w:rsid w:val="001D4428"/>
    <w:rsid w:val="001D489F"/>
    <w:rsid w:val="001D5156"/>
    <w:rsid w:val="001D696D"/>
    <w:rsid w:val="001D6D86"/>
    <w:rsid w:val="001D71B9"/>
    <w:rsid w:val="001E01F8"/>
    <w:rsid w:val="001E0705"/>
    <w:rsid w:val="001E2261"/>
    <w:rsid w:val="001E26CA"/>
    <w:rsid w:val="001E299A"/>
    <w:rsid w:val="001E5049"/>
    <w:rsid w:val="001F0EF9"/>
    <w:rsid w:val="001F176A"/>
    <w:rsid w:val="001F1912"/>
    <w:rsid w:val="001F1EE3"/>
    <w:rsid w:val="001F20FD"/>
    <w:rsid w:val="001F41AB"/>
    <w:rsid w:val="001F41B3"/>
    <w:rsid w:val="001F4CD2"/>
    <w:rsid w:val="001F678D"/>
    <w:rsid w:val="001F7201"/>
    <w:rsid w:val="00201A41"/>
    <w:rsid w:val="00201F34"/>
    <w:rsid w:val="00201F79"/>
    <w:rsid w:val="00203118"/>
    <w:rsid w:val="00203742"/>
    <w:rsid w:val="002046E5"/>
    <w:rsid w:val="00204A5C"/>
    <w:rsid w:val="0020514A"/>
    <w:rsid w:val="00206116"/>
    <w:rsid w:val="00206C64"/>
    <w:rsid w:val="002071C8"/>
    <w:rsid w:val="002071F4"/>
    <w:rsid w:val="0020750D"/>
    <w:rsid w:val="002078E4"/>
    <w:rsid w:val="00207AF4"/>
    <w:rsid w:val="00207C80"/>
    <w:rsid w:val="002105AC"/>
    <w:rsid w:val="00211A70"/>
    <w:rsid w:val="00211B43"/>
    <w:rsid w:val="00212ACC"/>
    <w:rsid w:val="0021318A"/>
    <w:rsid w:val="00213257"/>
    <w:rsid w:val="00214A08"/>
    <w:rsid w:val="002168B2"/>
    <w:rsid w:val="00217B5E"/>
    <w:rsid w:val="00217CCC"/>
    <w:rsid w:val="0022015D"/>
    <w:rsid w:val="0022055B"/>
    <w:rsid w:val="002227DA"/>
    <w:rsid w:val="0022295A"/>
    <w:rsid w:val="00223148"/>
    <w:rsid w:val="0022343E"/>
    <w:rsid w:val="00223662"/>
    <w:rsid w:val="002268AA"/>
    <w:rsid w:val="00230062"/>
    <w:rsid w:val="00230748"/>
    <w:rsid w:val="00230FFD"/>
    <w:rsid w:val="00231465"/>
    <w:rsid w:val="00231F19"/>
    <w:rsid w:val="00231F72"/>
    <w:rsid w:val="002327B0"/>
    <w:rsid w:val="00232A13"/>
    <w:rsid w:val="002338E7"/>
    <w:rsid w:val="00233CAD"/>
    <w:rsid w:val="00233CDE"/>
    <w:rsid w:val="002357AA"/>
    <w:rsid w:val="002400E2"/>
    <w:rsid w:val="00241552"/>
    <w:rsid w:val="00241775"/>
    <w:rsid w:val="00242899"/>
    <w:rsid w:val="0024491B"/>
    <w:rsid w:val="00245956"/>
    <w:rsid w:val="00245ACE"/>
    <w:rsid w:val="00245F04"/>
    <w:rsid w:val="002470DE"/>
    <w:rsid w:val="00247B43"/>
    <w:rsid w:val="00247CB3"/>
    <w:rsid w:val="00253633"/>
    <w:rsid w:val="00253C3C"/>
    <w:rsid w:val="00254B0A"/>
    <w:rsid w:val="00255F75"/>
    <w:rsid w:val="00256C40"/>
    <w:rsid w:val="00257150"/>
    <w:rsid w:val="00257162"/>
    <w:rsid w:val="00257C2B"/>
    <w:rsid w:val="00257CFD"/>
    <w:rsid w:val="00260548"/>
    <w:rsid w:val="00260C7E"/>
    <w:rsid w:val="00261D37"/>
    <w:rsid w:val="0026262B"/>
    <w:rsid w:val="002630FA"/>
    <w:rsid w:val="00263774"/>
    <w:rsid w:val="00263860"/>
    <w:rsid w:val="00263889"/>
    <w:rsid w:val="002647D0"/>
    <w:rsid w:val="00264805"/>
    <w:rsid w:val="002649D6"/>
    <w:rsid w:val="00264FF9"/>
    <w:rsid w:val="002659AA"/>
    <w:rsid w:val="00265D09"/>
    <w:rsid w:val="00266049"/>
    <w:rsid w:val="00266678"/>
    <w:rsid w:val="00267A3F"/>
    <w:rsid w:val="00267E6A"/>
    <w:rsid w:val="00270240"/>
    <w:rsid w:val="00270403"/>
    <w:rsid w:val="00270B86"/>
    <w:rsid w:val="002730F0"/>
    <w:rsid w:val="002731EC"/>
    <w:rsid w:val="0027357A"/>
    <w:rsid w:val="002740E9"/>
    <w:rsid w:val="00274537"/>
    <w:rsid w:val="0027576A"/>
    <w:rsid w:val="002762DF"/>
    <w:rsid w:val="002807F3"/>
    <w:rsid w:val="00281347"/>
    <w:rsid w:val="00283088"/>
    <w:rsid w:val="002849B4"/>
    <w:rsid w:val="00286D22"/>
    <w:rsid w:val="00287598"/>
    <w:rsid w:val="00287E5D"/>
    <w:rsid w:val="00290B75"/>
    <w:rsid w:val="00291DAA"/>
    <w:rsid w:val="002927FF"/>
    <w:rsid w:val="002931C4"/>
    <w:rsid w:val="00293334"/>
    <w:rsid w:val="00293752"/>
    <w:rsid w:val="00295830"/>
    <w:rsid w:val="002963FA"/>
    <w:rsid w:val="00296876"/>
    <w:rsid w:val="00296F1A"/>
    <w:rsid w:val="00297CE6"/>
    <w:rsid w:val="002A1335"/>
    <w:rsid w:val="002A2DCC"/>
    <w:rsid w:val="002A3D8B"/>
    <w:rsid w:val="002A4504"/>
    <w:rsid w:val="002A4618"/>
    <w:rsid w:val="002A466B"/>
    <w:rsid w:val="002A4B49"/>
    <w:rsid w:val="002A5F69"/>
    <w:rsid w:val="002A617A"/>
    <w:rsid w:val="002A6E97"/>
    <w:rsid w:val="002A7FBB"/>
    <w:rsid w:val="002B007E"/>
    <w:rsid w:val="002B1E43"/>
    <w:rsid w:val="002B236B"/>
    <w:rsid w:val="002B24A5"/>
    <w:rsid w:val="002B2C6A"/>
    <w:rsid w:val="002B39EA"/>
    <w:rsid w:val="002B3B82"/>
    <w:rsid w:val="002B4DC6"/>
    <w:rsid w:val="002B4F9E"/>
    <w:rsid w:val="002B5172"/>
    <w:rsid w:val="002B5600"/>
    <w:rsid w:val="002B5C89"/>
    <w:rsid w:val="002B62E7"/>
    <w:rsid w:val="002B6B7B"/>
    <w:rsid w:val="002C15C4"/>
    <w:rsid w:val="002C1B43"/>
    <w:rsid w:val="002C31A8"/>
    <w:rsid w:val="002C31DB"/>
    <w:rsid w:val="002C32BA"/>
    <w:rsid w:val="002C3E65"/>
    <w:rsid w:val="002C4C09"/>
    <w:rsid w:val="002C4E48"/>
    <w:rsid w:val="002C53E1"/>
    <w:rsid w:val="002C5D1C"/>
    <w:rsid w:val="002C6167"/>
    <w:rsid w:val="002C7E0B"/>
    <w:rsid w:val="002D1A9E"/>
    <w:rsid w:val="002D2666"/>
    <w:rsid w:val="002D2CF8"/>
    <w:rsid w:val="002D534D"/>
    <w:rsid w:val="002D5763"/>
    <w:rsid w:val="002D5FBE"/>
    <w:rsid w:val="002D64C5"/>
    <w:rsid w:val="002D6EBD"/>
    <w:rsid w:val="002D762B"/>
    <w:rsid w:val="002E317D"/>
    <w:rsid w:val="002E4220"/>
    <w:rsid w:val="002E4D22"/>
    <w:rsid w:val="002E52C2"/>
    <w:rsid w:val="002E53AA"/>
    <w:rsid w:val="002E5B91"/>
    <w:rsid w:val="002F0120"/>
    <w:rsid w:val="002F1292"/>
    <w:rsid w:val="002F1898"/>
    <w:rsid w:val="002F2AA1"/>
    <w:rsid w:val="002F2C49"/>
    <w:rsid w:val="002F4247"/>
    <w:rsid w:val="002F5941"/>
    <w:rsid w:val="002F604E"/>
    <w:rsid w:val="002F6248"/>
    <w:rsid w:val="002F77DA"/>
    <w:rsid w:val="002F79A6"/>
    <w:rsid w:val="00301840"/>
    <w:rsid w:val="00302AC6"/>
    <w:rsid w:val="00302FF0"/>
    <w:rsid w:val="00304686"/>
    <w:rsid w:val="00306497"/>
    <w:rsid w:val="00307025"/>
    <w:rsid w:val="003077E6"/>
    <w:rsid w:val="00307CF2"/>
    <w:rsid w:val="003100AA"/>
    <w:rsid w:val="003104C8"/>
    <w:rsid w:val="00311132"/>
    <w:rsid w:val="0031148E"/>
    <w:rsid w:val="00311815"/>
    <w:rsid w:val="00311A8C"/>
    <w:rsid w:val="003123C7"/>
    <w:rsid w:val="00313609"/>
    <w:rsid w:val="00314836"/>
    <w:rsid w:val="003154B9"/>
    <w:rsid w:val="00320151"/>
    <w:rsid w:val="00320C2F"/>
    <w:rsid w:val="0032164E"/>
    <w:rsid w:val="00321CAD"/>
    <w:rsid w:val="00321DC3"/>
    <w:rsid w:val="00322AAA"/>
    <w:rsid w:val="00322C22"/>
    <w:rsid w:val="00323CF2"/>
    <w:rsid w:val="003262EF"/>
    <w:rsid w:val="00326838"/>
    <w:rsid w:val="003268FD"/>
    <w:rsid w:val="00326BF0"/>
    <w:rsid w:val="003271B2"/>
    <w:rsid w:val="00327655"/>
    <w:rsid w:val="00327CED"/>
    <w:rsid w:val="00331095"/>
    <w:rsid w:val="00331259"/>
    <w:rsid w:val="00331D31"/>
    <w:rsid w:val="0033300E"/>
    <w:rsid w:val="00334157"/>
    <w:rsid w:val="003345B3"/>
    <w:rsid w:val="00334AFA"/>
    <w:rsid w:val="00334EDD"/>
    <w:rsid w:val="00335478"/>
    <w:rsid w:val="00335BBA"/>
    <w:rsid w:val="00336F9A"/>
    <w:rsid w:val="00336FC7"/>
    <w:rsid w:val="003374E0"/>
    <w:rsid w:val="00337895"/>
    <w:rsid w:val="003379DF"/>
    <w:rsid w:val="00337B13"/>
    <w:rsid w:val="00340140"/>
    <w:rsid w:val="00341670"/>
    <w:rsid w:val="0034412D"/>
    <w:rsid w:val="00347404"/>
    <w:rsid w:val="00347691"/>
    <w:rsid w:val="0035158C"/>
    <w:rsid w:val="00352469"/>
    <w:rsid w:val="00352ACD"/>
    <w:rsid w:val="00354632"/>
    <w:rsid w:val="00356F9A"/>
    <w:rsid w:val="00356F9C"/>
    <w:rsid w:val="0035762B"/>
    <w:rsid w:val="00357A9A"/>
    <w:rsid w:val="003611B4"/>
    <w:rsid w:val="0036178E"/>
    <w:rsid w:val="00361A6A"/>
    <w:rsid w:val="00363234"/>
    <w:rsid w:val="00363954"/>
    <w:rsid w:val="0036508C"/>
    <w:rsid w:val="00365097"/>
    <w:rsid w:val="00367557"/>
    <w:rsid w:val="00371CF5"/>
    <w:rsid w:val="003734C9"/>
    <w:rsid w:val="003767C1"/>
    <w:rsid w:val="0037697E"/>
    <w:rsid w:val="003801A0"/>
    <w:rsid w:val="00380D27"/>
    <w:rsid w:val="003816DE"/>
    <w:rsid w:val="003819EA"/>
    <w:rsid w:val="00381C78"/>
    <w:rsid w:val="00383198"/>
    <w:rsid w:val="003833FC"/>
    <w:rsid w:val="00383596"/>
    <w:rsid w:val="00383CBA"/>
    <w:rsid w:val="00383DEA"/>
    <w:rsid w:val="00385451"/>
    <w:rsid w:val="003859AE"/>
    <w:rsid w:val="003871F5"/>
    <w:rsid w:val="0038770D"/>
    <w:rsid w:val="00387782"/>
    <w:rsid w:val="00391F42"/>
    <w:rsid w:val="00391F5A"/>
    <w:rsid w:val="0039222B"/>
    <w:rsid w:val="0039418E"/>
    <w:rsid w:val="00394E34"/>
    <w:rsid w:val="00395381"/>
    <w:rsid w:val="00395438"/>
    <w:rsid w:val="00395B24"/>
    <w:rsid w:val="00395FF2"/>
    <w:rsid w:val="00396066"/>
    <w:rsid w:val="0039677B"/>
    <w:rsid w:val="003A2012"/>
    <w:rsid w:val="003A3984"/>
    <w:rsid w:val="003A55F4"/>
    <w:rsid w:val="003A6608"/>
    <w:rsid w:val="003B01BE"/>
    <w:rsid w:val="003B13B6"/>
    <w:rsid w:val="003B247C"/>
    <w:rsid w:val="003B2D1D"/>
    <w:rsid w:val="003B2E57"/>
    <w:rsid w:val="003B431D"/>
    <w:rsid w:val="003B5202"/>
    <w:rsid w:val="003B5AE5"/>
    <w:rsid w:val="003B671D"/>
    <w:rsid w:val="003B71DA"/>
    <w:rsid w:val="003C0A02"/>
    <w:rsid w:val="003C1C9A"/>
    <w:rsid w:val="003C21C6"/>
    <w:rsid w:val="003C2623"/>
    <w:rsid w:val="003C26FB"/>
    <w:rsid w:val="003C418A"/>
    <w:rsid w:val="003C4ED7"/>
    <w:rsid w:val="003C6B82"/>
    <w:rsid w:val="003C7E61"/>
    <w:rsid w:val="003D000C"/>
    <w:rsid w:val="003D0065"/>
    <w:rsid w:val="003D0F84"/>
    <w:rsid w:val="003D17A8"/>
    <w:rsid w:val="003D543E"/>
    <w:rsid w:val="003D5A0C"/>
    <w:rsid w:val="003D725E"/>
    <w:rsid w:val="003D752B"/>
    <w:rsid w:val="003D754A"/>
    <w:rsid w:val="003D787B"/>
    <w:rsid w:val="003D7BE3"/>
    <w:rsid w:val="003E05CA"/>
    <w:rsid w:val="003E1CFC"/>
    <w:rsid w:val="003E2A40"/>
    <w:rsid w:val="003E30F3"/>
    <w:rsid w:val="003E5B65"/>
    <w:rsid w:val="003E6650"/>
    <w:rsid w:val="003E6D31"/>
    <w:rsid w:val="003F0428"/>
    <w:rsid w:val="003F0B70"/>
    <w:rsid w:val="003F10CF"/>
    <w:rsid w:val="003F240B"/>
    <w:rsid w:val="003F379B"/>
    <w:rsid w:val="003F3EA3"/>
    <w:rsid w:val="003F445D"/>
    <w:rsid w:val="003F6E93"/>
    <w:rsid w:val="003F7B25"/>
    <w:rsid w:val="0040020C"/>
    <w:rsid w:val="0040025C"/>
    <w:rsid w:val="004014DD"/>
    <w:rsid w:val="00401B30"/>
    <w:rsid w:val="00403CDF"/>
    <w:rsid w:val="00403E58"/>
    <w:rsid w:val="00403FA5"/>
    <w:rsid w:val="0040504B"/>
    <w:rsid w:val="00405546"/>
    <w:rsid w:val="00405604"/>
    <w:rsid w:val="004064A1"/>
    <w:rsid w:val="004068E1"/>
    <w:rsid w:val="0041018B"/>
    <w:rsid w:val="004109FA"/>
    <w:rsid w:val="00411584"/>
    <w:rsid w:val="00411E99"/>
    <w:rsid w:val="00411ED5"/>
    <w:rsid w:val="00412446"/>
    <w:rsid w:val="004132E9"/>
    <w:rsid w:val="0041345E"/>
    <w:rsid w:val="00414E1F"/>
    <w:rsid w:val="004150AE"/>
    <w:rsid w:val="004166A7"/>
    <w:rsid w:val="00421A7A"/>
    <w:rsid w:val="00423C02"/>
    <w:rsid w:val="00424299"/>
    <w:rsid w:val="00424400"/>
    <w:rsid w:val="00425036"/>
    <w:rsid w:val="0042560A"/>
    <w:rsid w:val="00425CC3"/>
    <w:rsid w:val="00426E4F"/>
    <w:rsid w:val="00427AA2"/>
    <w:rsid w:val="00427FDC"/>
    <w:rsid w:val="0043056B"/>
    <w:rsid w:val="00430900"/>
    <w:rsid w:val="00431872"/>
    <w:rsid w:val="004328E8"/>
    <w:rsid w:val="004340A4"/>
    <w:rsid w:val="00434E0D"/>
    <w:rsid w:val="00435FD1"/>
    <w:rsid w:val="00440806"/>
    <w:rsid w:val="00440B9A"/>
    <w:rsid w:val="00440DE4"/>
    <w:rsid w:val="00441669"/>
    <w:rsid w:val="00441F24"/>
    <w:rsid w:val="00441FF5"/>
    <w:rsid w:val="004424E5"/>
    <w:rsid w:val="00444215"/>
    <w:rsid w:val="0044705B"/>
    <w:rsid w:val="004521EF"/>
    <w:rsid w:val="00452BFE"/>
    <w:rsid w:val="00452FBA"/>
    <w:rsid w:val="004546DA"/>
    <w:rsid w:val="004567C1"/>
    <w:rsid w:val="00456C23"/>
    <w:rsid w:val="00456D42"/>
    <w:rsid w:val="00456F35"/>
    <w:rsid w:val="00457266"/>
    <w:rsid w:val="004579F1"/>
    <w:rsid w:val="004608B8"/>
    <w:rsid w:val="00461483"/>
    <w:rsid w:val="004651F6"/>
    <w:rsid w:val="00465C3C"/>
    <w:rsid w:val="0046675C"/>
    <w:rsid w:val="00466E34"/>
    <w:rsid w:val="00467295"/>
    <w:rsid w:val="00467371"/>
    <w:rsid w:val="00470239"/>
    <w:rsid w:val="00470F65"/>
    <w:rsid w:val="00471021"/>
    <w:rsid w:val="00472096"/>
    <w:rsid w:val="00472170"/>
    <w:rsid w:val="004728CB"/>
    <w:rsid w:val="004729D2"/>
    <w:rsid w:val="00472F65"/>
    <w:rsid w:val="00473278"/>
    <w:rsid w:val="00473879"/>
    <w:rsid w:val="00474433"/>
    <w:rsid w:val="00475439"/>
    <w:rsid w:val="004754BD"/>
    <w:rsid w:val="00476ED9"/>
    <w:rsid w:val="0048010F"/>
    <w:rsid w:val="004813A6"/>
    <w:rsid w:val="00482B62"/>
    <w:rsid w:val="00482BCD"/>
    <w:rsid w:val="00483917"/>
    <w:rsid w:val="004841AE"/>
    <w:rsid w:val="004849F5"/>
    <w:rsid w:val="00485048"/>
    <w:rsid w:val="00486F40"/>
    <w:rsid w:val="00487100"/>
    <w:rsid w:val="00487DC4"/>
    <w:rsid w:val="00487E22"/>
    <w:rsid w:val="00487EC5"/>
    <w:rsid w:val="0049084E"/>
    <w:rsid w:val="00493362"/>
    <w:rsid w:val="00495887"/>
    <w:rsid w:val="00495AF6"/>
    <w:rsid w:val="00495D5B"/>
    <w:rsid w:val="00495E72"/>
    <w:rsid w:val="00496780"/>
    <w:rsid w:val="00496B72"/>
    <w:rsid w:val="00497671"/>
    <w:rsid w:val="0049781D"/>
    <w:rsid w:val="00497DFC"/>
    <w:rsid w:val="004A0E14"/>
    <w:rsid w:val="004A1B23"/>
    <w:rsid w:val="004A2219"/>
    <w:rsid w:val="004A2B09"/>
    <w:rsid w:val="004A414F"/>
    <w:rsid w:val="004A5315"/>
    <w:rsid w:val="004A5861"/>
    <w:rsid w:val="004A6EF0"/>
    <w:rsid w:val="004A7C98"/>
    <w:rsid w:val="004B06AA"/>
    <w:rsid w:val="004B2DA8"/>
    <w:rsid w:val="004B3606"/>
    <w:rsid w:val="004B36D6"/>
    <w:rsid w:val="004B398B"/>
    <w:rsid w:val="004B4293"/>
    <w:rsid w:val="004B43D8"/>
    <w:rsid w:val="004B4620"/>
    <w:rsid w:val="004B46B0"/>
    <w:rsid w:val="004B635C"/>
    <w:rsid w:val="004B6DBB"/>
    <w:rsid w:val="004B6F2B"/>
    <w:rsid w:val="004B76E7"/>
    <w:rsid w:val="004C018D"/>
    <w:rsid w:val="004C0767"/>
    <w:rsid w:val="004C1560"/>
    <w:rsid w:val="004C1B11"/>
    <w:rsid w:val="004C220B"/>
    <w:rsid w:val="004C330C"/>
    <w:rsid w:val="004C4503"/>
    <w:rsid w:val="004C4797"/>
    <w:rsid w:val="004C5B46"/>
    <w:rsid w:val="004C6A38"/>
    <w:rsid w:val="004C6C1A"/>
    <w:rsid w:val="004C7A9D"/>
    <w:rsid w:val="004C7EF8"/>
    <w:rsid w:val="004D0843"/>
    <w:rsid w:val="004D0C35"/>
    <w:rsid w:val="004D0C70"/>
    <w:rsid w:val="004D10B5"/>
    <w:rsid w:val="004D25A8"/>
    <w:rsid w:val="004D2D1F"/>
    <w:rsid w:val="004D3618"/>
    <w:rsid w:val="004D50C0"/>
    <w:rsid w:val="004D7DFB"/>
    <w:rsid w:val="004E17E0"/>
    <w:rsid w:val="004E1F9D"/>
    <w:rsid w:val="004E38F3"/>
    <w:rsid w:val="004E46DA"/>
    <w:rsid w:val="004E5DF9"/>
    <w:rsid w:val="004E70DC"/>
    <w:rsid w:val="004E7DFB"/>
    <w:rsid w:val="004F6E05"/>
    <w:rsid w:val="004F6E19"/>
    <w:rsid w:val="004F6E6F"/>
    <w:rsid w:val="005003F5"/>
    <w:rsid w:val="00501740"/>
    <w:rsid w:val="0050175B"/>
    <w:rsid w:val="00501DD6"/>
    <w:rsid w:val="005023ED"/>
    <w:rsid w:val="00502436"/>
    <w:rsid w:val="00502830"/>
    <w:rsid w:val="005029CC"/>
    <w:rsid w:val="0050346C"/>
    <w:rsid w:val="0050415E"/>
    <w:rsid w:val="00506505"/>
    <w:rsid w:val="005075AA"/>
    <w:rsid w:val="00507C83"/>
    <w:rsid w:val="0051096D"/>
    <w:rsid w:val="00511A3F"/>
    <w:rsid w:val="00511B90"/>
    <w:rsid w:val="00512BED"/>
    <w:rsid w:val="00512E25"/>
    <w:rsid w:val="00513B3B"/>
    <w:rsid w:val="00513E05"/>
    <w:rsid w:val="00514394"/>
    <w:rsid w:val="00514EF3"/>
    <w:rsid w:val="0051566C"/>
    <w:rsid w:val="00517342"/>
    <w:rsid w:val="005207C7"/>
    <w:rsid w:val="005207DF"/>
    <w:rsid w:val="00520C18"/>
    <w:rsid w:val="00522803"/>
    <w:rsid w:val="00523CB3"/>
    <w:rsid w:val="00524028"/>
    <w:rsid w:val="005246E2"/>
    <w:rsid w:val="00525788"/>
    <w:rsid w:val="005302C3"/>
    <w:rsid w:val="00531A92"/>
    <w:rsid w:val="00531E6F"/>
    <w:rsid w:val="00532468"/>
    <w:rsid w:val="00533ACB"/>
    <w:rsid w:val="00533F82"/>
    <w:rsid w:val="00534632"/>
    <w:rsid w:val="00534F58"/>
    <w:rsid w:val="00535644"/>
    <w:rsid w:val="00535F47"/>
    <w:rsid w:val="00536154"/>
    <w:rsid w:val="00536978"/>
    <w:rsid w:val="00536C4A"/>
    <w:rsid w:val="00537398"/>
    <w:rsid w:val="00537ED6"/>
    <w:rsid w:val="00540A8D"/>
    <w:rsid w:val="00540C75"/>
    <w:rsid w:val="0054115F"/>
    <w:rsid w:val="0054152B"/>
    <w:rsid w:val="005416CA"/>
    <w:rsid w:val="0054211C"/>
    <w:rsid w:val="00542BF1"/>
    <w:rsid w:val="005439A7"/>
    <w:rsid w:val="00544039"/>
    <w:rsid w:val="005450AB"/>
    <w:rsid w:val="0054698A"/>
    <w:rsid w:val="00546F28"/>
    <w:rsid w:val="005477D9"/>
    <w:rsid w:val="00547E7F"/>
    <w:rsid w:val="005513BF"/>
    <w:rsid w:val="00551E54"/>
    <w:rsid w:val="00552E21"/>
    <w:rsid w:val="00557A4E"/>
    <w:rsid w:val="00560264"/>
    <w:rsid w:val="0056066D"/>
    <w:rsid w:val="00560B46"/>
    <w:rsid w:val="0056286B"/>
    <w:rsid w:val="00564D64"/>
    <w:rsid w:val="005656A3"/>
    <w:rsid w:val="005717F2"/>
    <w:rsid w:val="0057230B"/>
    <w:rsid w:val="00572D2A"/>
    <w:rsid w:val="005814B9"/>
    <w:rsid w:val="00581A49"/>
    <w:rsid w:val="00581F0A"/>
    <w:rsid w:val="00582115"/>
    <w:rsid w:val="00582341"/>
    <w:rsid w:val="005824B5"/>
    <w:rsid w:val="005826AF"/>
    <w:rsid w:val="005854D3"/>
    <w:rsid w:val="00585AC6"/>
    <w:rsid w:val="005862AB"/>
    <w:rsid w:val="005865D2"/>
    <w:rsid w:val="0058671F"/>
    <w:rsid w:val="00587AF9"/>
    <w:rsid w:val="00587F5F"/>
    <w:rsid w:val="005919D1"/>
    <w:rsid w:val="00592E54"/>
    <w:rsid w:val="005939D2"/>
    <w:rsid w:val="00593DFC"/>
    <w:rsid w:val="0059423B"/>
    <w:rsid w:val="005942C0"/>
    <w:rsid w:val="005959A7"/>
    <w:rsid w:val="00595B15"/>
    <w:rsid w:val="00595D56"/>
    <w:rsid w:val="00595DAB"/>
    <w:rsid w:val="00596585"/>
    <w:rsid w:val="00597161"/>
    <w:rsid w:val="00597739"/>
    <w:rsid w:val="005A06D3"/>
    <w:rsid w:val="005A0785"/>
    <w:rsid w:val="005A07CC"/>
    <w:rsid w:val="005A14F8"/>
    <w:rsid w:val="005A1AF6"/>
    <w:rsid w:val="005A1CFB"/>
    <w:rsid w:val="005A1F52"/>
    <w:rsid w:val="005A3C2A"/>
    <w:rsid w:val="005A4742"/>
    <w:rsid w:val="005A4C32"/>
    <w:rsid w:val="005A5D9A"/>
    <w:rsid w:val="005A7063"/>
    <w:rsid w:val="005A78C7"/>
    <w:rsid w:val="005B173D"/>
    <w:rsid w:val="005B1A72"/>
    <w:rsid w:val="005B1F9D"/>
    <w:rsid w:val="005B27DC"/>
    <w:rsid w:val="005B447F"/>
    <w:rsid w:val="005B4F75"/>
    <w:rsid w:val="005B4F95"/>
    <w:rsid w:val="005B5356"/>
    <w:rsid w:val="005B5D24"/>
    <w:rsid w:val="005B7449"/>
    <w:rsid w:val="005B75A6"/>
    <w:rsid w:val="005B7D99"/>
    <w:rsid w:val="005B7DE3"/>
    <w:rsid w:val="005C00D7"/>
    <w:rsid w:val="005C00F6"/>
    <w:rsid w:val="005C084A"/>
    <w:rsid w:val="005C13E0"/>
    <w:rsid w:val="005C293D"/>
    <w:rsid w:val="005C29BD"/>
    <w:rsid w:val="005C2EF0"/>
    <w:rsid w:val="005C33B5"/>
    <w:rsid w:val="005C55DC"/>
    <w:rsid w:val="005C59BA"/>
    <w:rsid w:val="005C5FD9"/>
    <w:rsid w:val="005C6165"/>
    <w:rsid w:val="005C6383"/>
    <w:rsid w:val="005C6893"/>
    <w:rsid w:val="005C6B07"/>
    <w:rsid w:val="005D050B"/>
    <w:rsid w:val="005D05F0"/>
    <w:rsid w:val="005D072F"/>
    <w:rsid w:val="005D1DBA"/>
    <w:rsid w:val="005D2157"/>
    <w:rsid w:val="005D3A79"/>
    <w:rsid w:val="005D445D"/>
    <w:rsid w:val="005D49D5"/>
    <w:rsid w:val="005D5011"/>
    <w:rsid w:val="005D5E45"/>
    <w:rsid w:val="005D5F05"/>
    <w:rsid w:val="005D75B4"/>
    <w:rsid w:val="005E0BAB"/>
    <w:rsid w:val="005E1044"/>
    <w:rsid w:val="005E127E"/>
    <w:rsid w:val="005E14F4"/>
    <w:rsid w:val="005E180E"/>
    <w:rsid w:val="005E18AB"/>
    <w:rsid w:val="005E1AAE"/>
    <w:rsid w:val="005E31B9"/>
    <w:rsid w:val="005E4CCE"/>
    <w:rsid w:val="005E5CF4"/>
    <w:rsid w:val="005E6DA9"/>
    <w:rsid w:val="005F0865"/>
    <w:rsid w:val="005F1A34"/>
    <w:rsid w:val="005F27A7"/>
    <w:rsid w:val="005F55B1"/>
    <w:rsid w:val="00600084"/>
    <w:rsid w:val="00600403"/>
    <w:rsid w:val="0060117D"/>
    <w:rsid w:val="00601401"/>
    <w:rsid w:val="0060215C"/>
    <w:rsid w:val="0060230E"/>
    <w:rsid w:val="00602494"/>
    <w:rsid w:val="00602F8C"/>
    <w:rsid w:val="00603286"/>
    <w:rsid w:val="00603D0B"/>
    <w:rsid w:val="006051D0"/>
    <w:rsid w:val="006057DA"/>
    <w:rsid w:val="006110BC"/>
    <w:rsid w:val="0061158F"/>
    <w:rsid w:val="00613A8A"/>
    <w:rsid w:val="006147CA"/>
    <w:rsid w:val="00615387"/>
    <w:rsid w:val="006169B4"/>
    <w:rsid w:val="00620D80"/>
    <w:rsid w:val="006218F4"/>
    <w:rsid w:val="00622FC8"/>
    <w:rsid w:val="006234E7"/>
    <w:rsid w:val="006244EB"/>
    <w:rsid w:val="006245C9"/>
    <w:rsid w:val="00624E1B"/>
    <w:rsid w:val="00624F74"/>
    <w:rsid w:val="00627253"/>
    <w:rsid w:val="00630644"/>
    <w:rsid w:val="00630D8B"/>
    <w:rsid w:val="006317ED"/>
    <w:rsid w:val="00631BE5"/>
    <w:rsid w:val="00631F09"/>
    <w:rsid w:val="00632998"/>
    <w:rsid w:val="006330AD"/>
    <w:rsid w:val="0063331F"/>
    <w:rsid w:val="00633719"/>
    <w:rsid w:val="00633DA7"/>
    <w:rsid w:val="00635C6D"/>
    <w:rsid w:val="00635DE2"/>
    <w:rsid w:val="00637CFD"/>
    <w:rsid w:val="0064015A"/>
    <w:rsid w:val="00642B0E"/>
    <w:rsid w:val="00643E06"/>
    <w:rsid w:val="00644223"/>
    <w:rsid w:val="006450D3"/>
    <w:rsid w:val="00646CDF"/>
    <w:rsid w:val="006470E6"/>
    <w:rsid w:val="00647820"/>
    <w:rsid w:val="00650322"/>
    <w:rsid w:val="0065034D"/>
    <w:rsid w:val="00650ADE"/>
    <w:rsid w:val="00650D33"/>
    <w:rsid w:val="0065184D"/>
    <w:rsid w:val="00651F81"/>
    <w:rsid w:val="00652AEF"/>
    <w:rsid w:val="0065379F"/>
    <w:rsid w:val="006554C2"/>
    <w:rsid w:val="00655F06"/>
    <w:rsid w:val="006566D0"/>
    <w:rsid w:val="00656E16"/>
    <w:rsid w:val="00656F3F"/>
    <w:rsid w:val="00657C99"/>
    <w:rsid w:val="006604A4"/>
    <w:rsid w:val="00660F29"/>
    <w:rsid w:val="00662A08"/>
    <w:rsid w:val="006631F7"/>
    <w:rsid w:val="00664069"/>
    <w:rsid w:val="00665910"/>
    <w:rsid w:val="00665B8B"/>
    <w:rsid w:val="00665D1A"/>
    <w:rsid w:val="00665EA5"/>
    <w:rsid w:val="0066646A"/>
    <w:rsid w:val="00666632"/>
    <w:rsid w:val="00667F3F"/>
    <w:rsid w:val="00670E32"/>
    <w:rsid w:val="006717B7"/>
    <w:rsid w:val="00671D57"/>
    <w:rsid w:val="00672037"/>
    <w:rsid w:val="006735B5"/>
    <w:rsid w:val="00673609"/>
    <w:rsid w:val="00673A28"/>
    <w:rsid w:val="00676878"/>
    <w:rsid w:val="0068016A"/>
    <w:rsid w:val="006823C8"/>
    <w:rsid w:val="00682D42"/>
    <w:rsid w:val="00683424"/>
    <w:rsid w:val="00683AE1"/>
    <w:rsid w:val="00683E05"/>
    <w:rsid w:val="00684853"/>
    <w:rsid w:val="0068630C"/>
    <w:rsid w:val="0068713B"/>
    <w:rsid w:val="00690576"/>
    <w:rsid w:val="00691125"/>
    <w:rsid w:val="00691ED8"/>
    <w:rsid w:val="006928AA"/>
    <w:rsid w:val="00693B0F"/>
    <w:rsid w:val="00693FD4"/>
    <w:rsid w:val="00695533"/>
    <w:rsid w:val="006956AB"/>
    <w:rsid w:val="006967B4"/>
    <w:rsid w:val="00696E16"/>
    <w:rsid w:val="006A080C"/>
    <w:rsid w:val="006A1480"/>
    <w:rsid w:val="006A1501"/>
    <w:rsid w:val="006A1A4E"/>
    <w:rsid w:val="006A2351"/>
    <w:rsid w:val="006A276C"/>
    <w:rsid w:val="006A3C34"/>
    <w:rsid w:val="006A6291"/>
    <w:rsid w:val="006A652F"/>
    <w:rsid w:val="006A6A83"/>
    <w:rsid w:val="006A7CBA"/>
    <w:rsid w:val="006B08B0"/>
    <w:rsid w:val="006B211D"/>
    <w:rsid w:val="006B260D"/>
    <w:rsid w:val="006B2CB5"/>
    <w:rsid w:val="006B2DCD"/>
    <w:rsid w:val="006B5081"/>
    <w:rsid w:val="006B5706"/>
    <w:rsid w:val="006B57B9"/>
    <w:rsid w:val="006B79A1"/>
    <w:rsid w:val="006B7DF8"/>
    <w:rsid w:val="006C0989"/>
    <w:rsid w:val="006C12FE"/>
    <w:rsid w:val="006C136C"/>
    <w:rsid w:val="006C2870"/>
    <w:rsid w:val="006C2BF0"/>
    <w:rsid w:val="006C32A5"/>
    <w:rsid w:val="006C3630"/>
    <w:rsid w:val="006C5E5F"/>
    <w:rsid w:val="006C6943"/>
    <w:rsid w:val="006C6AC9"/>
    <w:rsid w:val="006C6F2B"/>
    <w:rsid w:val="006D041C"/>
    <w:rsid w:val="006D13CF"/>
    <w:rsid w:val="006D3767"/>
    <w:rsid w:val="006D6243"/>
    <w:rsid w:val="006D6698"/>
    <w:rsid w:val="006D697D"/>
    <w:rsid w:val="006D7437"/>
    <w:rsid w:val="006D77EE"/>
    <w:rsid w:val="006E000D"/>
    <w:rsid w:val="006E0169"/>
    <w:rsid w:val="006E0B98"/>
    <w:rsid w:val="006E14F6"/>
    <w:rsid w:val="006E14FA"/>
    <w:rsid w:val="006E1CAA"/>
    <w:rsid w:val="006E229A"/>
    <w:rsid w:val="006E28D6"/>
    <w:rsid w:val="006E29D3"/>
    <w:rsid w:val="006E3CE5"/>
    <w:rsid w:val="006E44FB"/>
    <w:rsid w:val="006F1259"/>
    <w:rsid w:val="006F234C"/>
    <w:rsid w:val="006F2E4F"/>
    <w:rsid w:val="006F3678"/>
    <w:rsid w:val="006F4CF3"/>
    <w:rsid w:val="006F5BE4"/>
    <w:rsid w:val="006F6146"/>
    <w:rsid w:val="006F6FF6"/>
    <w:rsid w:val="006F7EE8"/>
    <w:rsid w:val="0070080E"/>
    <w:rsid w:val="00700B85"/>
    <w:rsid w:val="00700DAA"/>
    <w:rsid w:val="007019D5"/>
    <w:rsid w:val="00701A53"/>
    <w:rsid w:val="00702EB9"/>
    <w:rsid w:val="0070405F"/>
    <w:rsid w:val="00705F2E"/>
    <w:rsid w:val="00706455"/>
    <w:rsid w:val="00710799"/>
    <w:rsid w:val="0071102C"/>
    <w:rsid w:val="007149C2"/>
    <w:rsid w:val="00715614"/>
    <w:rsid w:val="00715A96"/>
    <w:rsid w:val="007163CD"/>
    <w:rsid w:val="0071653B"/>
    <w:rsid w:val="00720FC1"/>
    <w:rsid w:val="007216E8"/>
    <w:rsid w:val="007217AC"/>
    <w:rsid w:val="007221E9"/>
    <w:rsid w:val="00724782"/>
    <w:rsid w:val="007257FD"/>
    <w:rsid w:val="00726B0B"/>
    <w:rsid w:val="00726C9D"/>
    <w:rsid w:val="00726CD7"/>
    <w:rsid w:val="00726FCD"/>
    <w:rsid w:val="0072729B"/>
    <w:rsid w:val="00730E96"/>
    <w:rsid w:val="00731BD5"/>
    <w:rsid w:val="00732B18"/>
    <w:rsid w:val="0073353C"/>
    <w:rsid w:val="00733540"/>
    <w:rsid w:val="007337C0"/>
    <w:rsid w:val="007340FA"/>
    <w:rsid w:val="00734ACF"/>
    <w:rsid w:val="00735AB2"/>
    <w:rsid w:val="00737CCB"/>
    <w:rsid w:val="0074190F"/>
    <w:rsid w:val="00742288"/>
    <w:rsid w:val="0074354E"/>
    <w:rsid w:val="00743B88"/>
    <w:rsid w:val="00744979"/>
    <w:rsid w:val="00745405"/>
    <w:rsid w:val="00745D53"/>
    <w:rsid w:val="00745EDF"/>
    <w:rsid w:val="00746324"/>
    <w:rsid w:val="007473B8"/>
    <w:rsid w:val="00747646"/>
    <w:rsid w:val="007509C5"/>
    <w:rsid w:val="00751B37"/>
    <w:rsid w:val="00752134"/>
    <w:rsid w:val="007524BB"/>
    <w:rsid w:val="0075257A"/>
    <w:rsid w:val="007525C2"/>
    <w:rsid w:val="00752A33"/>
    <w:rsid w:val="00752E66"/>
    <w:rsid w:val="007531AC"/>
    <w:rsid w:val="007534DC"/>
    <w:rsid w:val="0075353D"/>
    <w:rsid w:val="00753978"/>
    <w:rsid w:val="00754FB2"/>
    <w:rsid w:val="00755930"/>
    <w:rsid w:val="0075681B"/>
    <w:rsid w:val="007575E5"/>
    <w:rsid w:val="00757B29"/>
    <w:rsid w:val="00760152"/>
    <w:rsid w:val="007610B3"/>
    <w:rsid w:val="007614C8"/>
    <w:rsid w:val="00762C4E"/>
    <w:rsid w:val="0076361E"/>
    <w:rsid w:val="007637C7"/>
    <w:rsid w:val="0076387A"/>
    <w:rsid w:val="00763C16"/>
    <w:rsid w:val="00764763"/>
    <w:rsid w:val="00764CE3"/>
    <w:rsid w:val="00766136"/>
    <w:rsid w:val="0076662D"/>
    <w:rsid w:val="00766F66"/>
    <w:rsid w:val="00771776"/>
    <w:rsid w:val="00771A27"/>
    <w:rsid w:val="00772EE5"/>
    <w:rsid w:val="00772FC4"/>
    <w:rsid w:val="00773ACE"/>
    <w:rsid w:val="00773D62"/>
    <w:rsid w:val="00773D9D"/>
    <w:rsid w:val="0077492E"/>
    <w:rsid w:val="00775D6D"/>
    <w:rsid w:val="007769C2"/>
    <w:rsid w:val="007770AC"/>
    <w:rsid w:val="007771A9"/>
    <w:rsid w:val="0077731A"/>
    <w:rsid w:val="007777D5"/>
    <w:rsid w:val="00777C22"/>
    <w:rsid w:val="00777C4A"/>
    <w:rsid w:val="00780C14"/>
    <w:rsid w:val="00781C3A"/>
    <w:rsid w:val="00782DB3"/>
    <w:rsid w:val="0078304D"/>
    <w:rsid w:val="00785B2F"/>
    <w:rsid w:val="0079002D"/>
    <w:rsid w:val="007900C4"/>
    <w:rsid w:val="00791231"/>
    <w:rsid w:val="00792275"/>
    <w:rsid w:val="0079260C"/>
    <w:rsid w:val="0079274A"/>
    <w:rsid w:val="00793072"/>
    <w:rsid w:val="0079324D"/>
    <w:rsid w:val="0079361D"/>
    <w:rsid w:val="00794064"/>
    <w:rsid w:val="007946D1"/>
    <w:rsid w:val="00794B2B"/>
    <w:rsid w:val="00794B35"/>
    <w:rsid w:val="00797237"/>
    <w:rsid w:val="007A0BFA"/>
    <w:rsid w:val="007A1182"/>
    <w:rsid w:val="007A1A2A"/>
    <w:rsid w:val="007A1C18"/>
    <w:rsid w:val="007A3258"/>
    <w:rsid w:val="007A38BB"/>
    <w:rsid w:val="007A3D1E"/>
    <w:rsid w:val="007A62B5"/>
    <w:rsid w:val="007A63AD"/>
    <w:rsid w:val="007A7298"/>
    <w:rsid w:val="007B01E2"/>
    <w:rsid w:val="007B1114"/>
    <w:rsid w:val="007B1487"/>
    <w:rsid w:val="007B1DF5"/>
    <w:rsid w:val="007B4D5E"/>
    <w:rsid w:val="007C09F5"/>
    <w:rsid w:val="007C19CE"/>
    <w:rsid w:val="007C1CE3"/>
    <w:rsid w:val="007C2B49"/>
    <w:rsid w:val="007C314E"/>
    <w:rsid w:val="007C6C34"/>
    <w:rsid w:val="007C7B94"/>
    <w:rsid w:val="007C7E24"/>
    <w:rsid w:val="007D3436"/>
    <w:rsid w:val="007D4730"/>
    <w:rsid w:val="007D679A"/>
    <w:rsid w:val="007D694C"/>
    <w:rsid w:val="007D7D4D"/>
    <w:rsid w:val="007E0012"/>
    <w:rsid w:val="007E0E63"/>
    <w:rsid w:val="007E37D2"/>
    <w:rsid w:val="007E4C16"/>
    <w:rsid w:val="007E4D8A"/>
    <w:rsid w:val="007E5062"/>
    <w:rsid w:val="007E76DE"/>
    <w:rsid w:val="007F00B3"/>
    <w:rsid w:val="007F206B"/>
    <w:rsid w:val="007F2532"/>
    <w:rsid w:val="007F2C40"/>
    <w:rsid w:val="007F5D2B"/>
    <w:rsid w:val="007F64AB"/>
    <w:rsid w:val="00800622"/>
    <w:rsid w:val="008006BA"/>
    <w:rsid w:val="008011AD"/>
    <w:rsid w:val="0080431D"/>
    <w:rsid w:val="008052CE"/>
    <w:rsid w:val="00806499"/>
    <w:rsid w:val="00807608"/>
    <w:rsid w:val="008108F6"/>
    <w:rsid w:val="008113FC"/>
    <w:rsid w:val="0081254F"/>
    <w:rsid w:val="0081306C"/>
    <w:rsid w:val="00813242"/>
    <w:rsid w:val="0081582D"/>
    <w:rsid w:val="00817CA8"/>
    <w:rsid w:val="008201D4"/>
    <w:rsid w:val="00820E52"/>
    <w:rsid w:val="0082108A"/>
    <w:rsid w:val="00822162"/>
    <w:rsid w:val="00823626"/>
    <w:rsid w:val="008248AD"/>
    <w:rsid w:val="00825CA1"/>
    <w:rsid w:val="00825E2A"/>
    <w:rsid w:val="0082785E"/>
    <w:rsid w:val="00827A00"/>
    <w:rsid w:val="00830F76"/>
    <w:rsid w:val="00830F91"/>
    <w:rsid w:val="00831BFC"/>
    <w:rsid w:val="00832AC5"/>
    <w:rsid w:val="008348C6"/>
    <w:rsid w:val="00834AD6"/>
    <w:rsid w:val="00834B92"/>
    <w:rsid w:val="00836A5A"/>
    <w:rsid w:val="00836C30"/>
    <w:rsid w:val="00836FEE"/>
    <w:rsid w:val="008372B9"/>
    <w:rsid w:val="00840564"/>
    <w:rsid w:val="008425DB"/>
    <w:rsid w:val="008437BB"/>
    <w:rsid w:val="00843E91"/>
    <w:rsid w:val="00844576"/>
    <w:rsid w:val="0084571E"/>
    <w:rsid w:val="0084595E"/>
    <w:rsid w:val="00845BCD"/>
    <w:rsid w:val="00846149"/>
    <w:rsid w:val="0084617F"/>
    <w:rsid w:val="0084633F"/>
    <w:rsid w:val="00850261"/>
    <w:rsid w:val="00850A89"/>
    <w:rsid w:val="00851079"/>
    <w:rsid w:val="0085151C"/>
    <w:rsid w:val="0085181C"/>
    <w:rsid w:val="00852060"/>
    <w:rsid w:val="0085252E"/>
    <w:rsid w:val="00853619"/>
    <w:rsid w:val="00854485"/>
    <w:rsid w:val="00854DC9"/>
    <w:rsid w:val="00857EFD"/>
    <w:rsid w:val="008606E4"/>
    <w:rsid w:val="00861869"/>
    <w:rsid w:val="00861915"/>
    <w:rsid w:val="00861B04"/>
    <w:rsid w:val="00862424"/>
    <w:rsid w:val="00862728"/>
    <w:rsid w:val="00862EDB"/>
    <w:rsid w:val="008649F7"/>
    <w:rsid w:val="00865AF6"/>
    <w:rsid w:val="00865BC0"/>
    <w:rsid w:val="0086625C"/>
    <w:rsid w:val="00866696"/>
    <w:rsid w:val="00867273"/>
    <w:rsid w:val="0086787A"/>
    <w:rsid w:val="00867BC6"/>
    <w:rsid w:val="00870E71"/>
    <w:rsid w:val="00870ECD"/>
    <w:rsid w:val="008735E5"/>
    <w:rsid w:val="00873CC2"/>
    <w:rsid w:val="00876514"/>
    <w:rsid w:val="008803BA"/>
    <w:rsid w:val="00881183"/>
    <w:rsid w:val="00881212"/>
    <w:rsid w:val="00881506"/>
    <w:rsid w:val="00881EAC"/>
    <w:rsid w:val="008822C6"/>
    <w:rsid w:val="00882D20"/>
    <w:rsid w:val="00883E19"/>
    <w:rsid w:val="0088452E"/>
    <w:rsid w:val="00885C83"/>
    <w:rsid w:val="00886062"/>
    <w:rsid w:val="0088768A"/>
    <w:rsid w:val="0088769C"/>
    <w:rsid w:val="008879E2"/>
    <w:rsid w:val="00887C63"/>
    <w:rsid w:val="00890870"/>
    <w:rsid w:val="00890C6A"/>
    <w:rsid w:val="00891501"/>
    <w:rsid w:val="00891DC9"/>
    <w:rsid w:val="00892787"/>
    <w:rsid w:val="00892B3A"/>
    <w:rsid w:val="008930C9"/>
    <w:rsid w:val="008943DB"/>
    <w:rsid w:val="008944A0"/>
    <w:rsid w:val="00894803"/>
    <w:rsid w:val="00894882"/>
    <w:rsid w:val="0089646C"/>
    <w:rsid w:val="00896570"/>
    <w:rsid w:val="00896690"/>
    <w:rsid w:val="00896D5F"/>
    <w:rsid w:val="00896D90"/>
    <w:rsid w:val="00896EC9"/>
    <w:rsid w:val="0089765E"/>
    <w:rsid w:val="008978ED"/>
    <w:rsid w:val="008A1C2D"/>
    <w:rsid w:val="008A1FF1"/>
    <w:rsid w:val="008A28C4"/>
    <w:rsid w:val="008A2D0F"/>
    <w:rsid w:val="008A2F12"/>
    <w:rsid w:val="008A3A1D"/>
    <w:rsid w:val="008A4340"/>
    <w:rsid w:val="008A5213"/>
    <w:rsid w:val="008A53AA"/>
    <w:rsid w:val="008A724D"/>
    <w:rsid w:val="008B09E3"/>
    <w:rsid w:val="008B0E86"/>
    <w:rsid w:val="008B1C1C"/>
    <w:rsid w:val="008B1D7A"/>
    <w:rsid w:val="008B2CA4"/>
    <w:rsid w:val="008B2DA4"/>
    <w:rsid w:val="008B2E79"/>
    <w:rsid w:val="008B3599"/>
    <w:rsid w:val="008B3975"/>
    <w:rsid w:val="008B3E95"/>
    <w:rsid w:val="008B4994"/>
    <w:rsid w:val="008B5697"/>
    <w:rsid w:val="008B6B3F"/>
    <w:rsid w:val="008B6D6A"/>
    <w:rsid w:val="008C0E7E"/>
    <w:rsid w:val="008C10C3"/>
    <w:rsid w:val="008C3298"/>
    <w:rsid w:val="008C35C5"/>
    <w:rsid w:val="008C4B3A"/>
    <w:rsid w:val="008C53AA"/>
    <w:rsid w:val="008C53DF"/>
    <w:rsid w:val="008C5A75"/>
    <w:rsid w:val="008C6984"/>
    <w:rsid w:val="008C6F7A"/>
    <w:rsid w:val="008D01C6"/>
    <w:rsid w:val="008D0682"/>
    <w:rsid w:val="008D12C6"/>
    <w:rsid w:val="008D2FB0"/>
    <w:rsid w:val="008D3689"/>
    <w:rsid w:val="008D38D5"/>
    <w:rsid w:val="008D44EC"/>
    <w:rsid w:val="008D6285"/>
    <w:rsid w:val="008D78FC"/>
    <w:rsid w:val="008D7C07"/>
    <w:rsid w:val="008D7E8C"/>
    <w:rsid w:val="008E2F59"/>
    <w:rsid w:val="008E3A83"/>
    <w:rsid w:val="008E3C54"/>
    <w:rsid w:val="008E3E7A"/>
    <w:rsid w:val="008E4BDC"/>
    <w:rsid w:val="008E5850"/>
    <w:rsid w:val="008E6379"/>
    <w:rsid w:val="008E67CB"/>
    <w:rsid w:val="008E6945"/>
    <w:rsid w:val="008E69E0"/>
    <w:rsid w:val="008E7315"/>
    <w:rsid w:val="008F3A3A"/>
    <w:rsid w:val="008F3A95"/>
    <w:rsid w:val="008F4369"/>
    <w:rsid w:val="008F505F"/>
    <w:rsid w:val="008F55FB"/>
    <w:rsid w:val="008F5925"/>
    <w:rsid w:val="008F5F47"/>
    <w:rsid w:val="008F60BA"/>
    <w:rsid w:val="008F73B5"/>
    <w:rsid w:val="009000C0"/>
    <w:rsid w:val="00900153"/>
    <w:rsid w:val="00902708"/>
    <w:rsid w:val="00903392"/>
    <w:rsid w:val="00903E7F"/>
    <w:rsid w:val="009043A0"/>
    <w:rsid w:val="00906068"/>
    <w:rsid w:val="009069B5"/>
    <w:rsid w:val="00906DD0"/>
    <w:rsid w:val="009070CB"/>
    <w:rsid w:val="00907988"/>
    <w:rsid w:val="00907D9E"/>
    <w:rsid w:val="00907EBA"/>
    <w:rsid w:val="00911590"/>
    <w:rsid w:val="0091162E"/>
    <w:rsid w:val="009122D6"/>
    <w:rsid w:val="00912D22"/>
    <w:rsid w:val="009142FD"/>
    <w:rsid w:val="009149F5"/>
    <w:rsid w:val="00914AB5"/>
    <w:rsid w:val="009151C9"/>
    <w:rsid w:val="00915EF0"/>
    <w:rsid w:val="009175B5"/>
    <w:rsid w:val="0092062F"/>
    <w:rsid w:val="009215C1"/>
    <w:rsid w:val="00922564"/>
    <w:rsid w:val="009229F7"/>
    <w:rsid w:val="00922BB1"/>
    <w:rsid w:val="0092318A"/>
    <w:rsid w:val="0092637E"/>
    <w:rsid w:val="00927699"/>
    <w:rsid w:val="00927868"/>
    <w:rsid w:val="009312FB"/>
    <w:rsid w:val="009315E9"/>
    <w:rsid w:val="009318E7"/>
    <w:rsid w:val="00931D08"/>
    <w:rsid w:val="009324E0"/>
    <w:rsid w:val="00933595"/>
    <w:rsid w:val="00934917"/>
    <w:rsid w:val="00934F31"/>
    <w:rsid w:val="009350A4"/>
    <w:rsid w:val="00935478"/>
    <w:rsid w:val="009369EF"/>
    <w:rsid w:val="009420DA"/>
    <w:rsid w:val="00945108"/>
    <w:rsid w:val="00946E5D"/>
    <w:rsid w:val="0094739E"/>
    <w:rsid w:val="00950792"/>
    <w:rsid w:val="00950D44"/>
    <w:rsid w:val="00953DE5"/>
    <w:rsid w:val="0095465D"/>
    <w:rsid w:val="00955D04"/>
    <w:rsid w:val="00956516"/>
    <w:rsid w:val="0095660E"/>
    <w:rsid w:val="0095662C"/>
    <w:rsid w:val="00956CD1"/>
    <w:rsid w:val="00957177"/>
    <w:rsid w:val="00957B8A"/>
    <w:rsid w:val="00957E7C"/>
    <w:rsid w:val="00957F01"/>
    <w:rsid w:val="00960137"/>
    <w:rsid w:val="009613B1"/>
    <w:rsid w:val="00962A7B"/>
    <w:rsid w:val="009650D2"/>
    <w:rsid w:val="00965786"/>
    <w:rsid w:val="00966CBA"/>
    <w:rsid w:val="0096723A"/>
    <w:rsid w:val="00967ABE"/>
    <w:rsid w:val="00967E84"/>
    <w:rsid w:val="00970FBA"/>
    <w:rsid w:val="00972C9C"/>
    <w:rsid w:val="00973F04"/>
    <w:rsid w:val="00974CC7"/>
    <w:rsid w:val="00977D2F"/>
    <w:rsid w:val="00977E5E"/>
    <w:rsid w:val="00980400"/>
    <w:rsid w:val="00980D7A"/>
    <w:rsid w:val="0098163F"/>
    <w:rsid w:val="00981D76"/>
    <w:rsid w:val="00982362"/>
    <w:rsid w:val="00982839"/>
    <w:rsid w:val="00982B5F"/>
    <w:rsid w:val="009837D2"/>
    <w:rsid w:val="0098394C"/>
    <w:rsid w:val="009848C6"/>
    <w:rsid w:val="00985122"/>
    <w:rsid w:val="00985950"/>
    <w:rsid w:val="009906CE"/>
    <w:rsid w:val="00990DC9"/>
    <w:rsid w:val="00991951"/>
    <w:rsid w:val="009920FA"/>
    <w:rsid w:val="0099228F"/>
    <w:rsid w:val="009927C3"/>
    <w:rsid w:val="00992E9B"/>
    <w:rsid w:val="00993936"/>
    <w:rsid w:val="009946DB"/>
    <w:rsid w:val="00994BCF"/>
    <w:rsid w:val="00997366"/>
    <w:rsid w:val="00997AD2"/>
    <w:rsid w:val="009A0A69"/>
    <w:rsid w:val="009A11D3"/>
    <w:rsid w:val="009A14F3"/>
    <w:rsid w:val="009A4498"/>
    <w:rsid w:val="009A577B"/>
    <w:rsid w:val="009A664F"/>
    <w:rsid w:val="009A6C2D"/>
    <w:rsid w:val="009A7293"/>
    <w:rsid w:val="009A7514"/>
    <w:rsid w:val="009B11F1"/>
    <w:rsid w:val="009B127D"/>
    <w:rsid w:val="009B158F"/>
    <w:rsid w:val="009B1948"/>
    <w:rsid w:val="009B1C8C"/>
    <w:rsid w:val="009B2015"/>
    <w:rsid w:val="009B3195"/>
    <w:rsid w:val="009B3ADE"/>
    <w:rsid w:val="009B430A"/>
    <w:rsid w:val="009B53E5"/>
    <w:rsid w:val="009B62C0"/>
    <w:rsid w:val="009B62E7"/>
    <w:rsid w:val="009B6A93"/>
    <w:rsid w:val="009B6B99"/>
    <w:rsid w:val="009B76C6"/>
    <w:rsid w:val="009B7CEB"/>
    <w:rsid w:val="009C06C8"/>
    <w:rsid w:val="009C2876"/>
    <w:rsid w:val="009C4164"/>
    <w:rsid w:val="009C4FC8"/>
    <w:rsid w:val="009C664C"/>
    <w:rsid w:val="009C69B1"/>
    <w:rsid w:val="009C6F60"/>
    <w:rsid w:val="009C779E"/>
    <w:rsid w:val="009C7ACC"/>
    <w:rsid w:val="009C7F37"/>
    <w:rsid w:val="009D0442"/>
    <w:rsid w:val="009D1473"/>
    <w:rsid w:val="009D177F"/>
    <w:rsid w:val="009D2E1E"/>
    <w:rsid w:val="009D380C"/>
    <w:rsid w:val="009D3CC0"/>
    <w:rsid w:val="009D3E3A"/>
    <w:rsid w:val="009D42C3"/>
    <w:rsid w:val="009D4601"/>
    <w:rsid w:val="009D4895"/>
    <w:rsid w:val="009D564A"/>
    <w:rsid w:val="009D5DCF"/>
    <w:rsid w:val="009D63D6"/>
    <w:rsid w:val="009D6C24"/>
    <w:rsid w:val="009D7DAF"/>
    <w:rsid w:val="009E0E54"/>
    <w:rsid w:val="009E1D3E"/>
    <w:rsid w:val="009E25D5"/>
    <w:rsid w:val="009E2A25"/>
    <w:rsid w:val="009E311C"/>
    <w:rsid w:val="009E3BA8"/>
    <w:rsid w:val="009E45BE"/>
    <w:rsid w:val="009E4E53"/>
    <w:rsid w:val="009E4EE2"/>
    <w:rsid w:val="009E5ACA"/>
    <w:rsid w:val="009E63CC"/>
    <w:rsid w:val="009E71FB"/>
    <w:rsid w:val="009F015B"/>
    <w:rsid w:val="009F0A82"/>
    <w:rsid w:val="009F0F4F"/>
    <w:rsid w:val="009F21C4"/>
    <w:rsid w:val="009F2AFC"/>
    <w:rsid w:val="009F2E7A"/>
    <w:rsid w:val="009F3CED"/>
    <w:rsid w:val="009F400A"/>
    <w:rsid w:val="009F4ADE"/>
    <w:rsid w:val="009F5B2D"/>
    <w:rsid w:val="009F5C0D"/>
    <w:rsid w:val="009F65D4"/>
    <w:rsid w:val="009F6AC0"/>
    <w:rsid w:val="009F7978"/>
    <w:rsid w:val="00A003AF"/>
    <w:rsid w:val="00A00804"/>
    <w:rsid w:val="00A020D7"/>
    <w:rsid w:val="00A02937"/>
    <w:rsid w:val="00A03445"/>
    <w:rsid w:val="00A03ED7"/>
    <w:rsid w:val="00A04B9C"/>
    <w:rsid w:val="00A062ED"/>
    <w:rsid w:val="00A1077D"/>
    <w:rsid w:val="00A11A9A"/>
    <w:rsid w:val="00A125D0"/>
    <w:rsid w:val="00A1264A"/>
    <w:rsid w:val="00A140C4"/>
    <w:rsid w:val="00A146DF"/>
    <w:rsid w:val="00A14851"/>
    <w:rsid w:val="00A14C16"/>
    <w:rsid w:val="00A156BE"/>
    <w:rsid w:val="00A1617D"/>
    <w:rsid w:val="00A16D37"/>
    <w:rsid w:val="00A17500"/>
    <w:rsid w:val="00A217EB"/>
    <w:rsid w:val="00A219FE"/>
    <w:rsid w:val="00A226AC"/>
    <w:rsid w:val="00A25211"/>
    <w:rsid w:val="00A253A5"/>
    <w:rsid w:val="00A25E10"/>
    <w:rsid w:val="00A26853"/>
    <w:rsid w:val="00A2713C"/>
    <w:rsid w:val="00A27B12"/>
    <w:rsid w:val="00A3069B"/>
    <w:rsid w:val="00A3179C"/>
    <w:rsid w:val="00A3179F"/>
    <w:rsid w:val="00A32E03"/>
    <w:rsid w:val="00A3325F"/>
    <w:rsid w:val="00A33E8D"/>
    <w:rsid w:val="00A34033"/>
    <w:rsid w:val="00A3686A"/>
    <w:rsid w:val="00A375F5"/>
    <w:rsid w:val="00A37E6C"/>
    <w:rsid w:val="00A37EA9"/>
    <w:rsid w:val="00A40E59"/>
    <w:rsid w:val="00A41C8F"/>
    <w:rsid w:val="00A42BBE"/>
    <w:rsid w:val="00A42F21"/>
    <w:rsid w:val="00A43180"/>
    <w:rsid w:val="00A431FE"/>
    <w:rsid w:val="00A4353D"/>
    <w:rsid w:val="00A43A9F"/>
    <w:rsid w:val="00A44023"/>
    <w:rsid w:val="00A452DF"/>
    <w:rsid w:val="00A459B7"/>
    <w:rsid w:val="00A46540"/>
    <w:rsid w:val="00A468F3"/>
    <w:rsid w:val="00A47A68"/>
    <w:rsid w:val="00A47C94"/>
    <w:rsid w:val="00A47CA7"/>
    <w:rsid w:val="00A50F5D"/>
    <w:rsid w:val="00A51156"/>
    <w:rsid w:val="00A52B5F"/>
    <w:rsid w:val="00A52D61"/>
    <w:rsid w:val="00A53416"/>
    <w:rsid w:val="00A53A44"/>
    <w:rsid w:val="00A53AD9"/>
    <w:rsid w:val="00A54443"/>
    <w:rsid w:val="00A56B1F"/>
    <w:rsid w:val="00A5758C"/>
    <w:rsid w:val="00A575F3"/>
    <w:rsid w:val="00A57847"/>
    <w:rsid w:val="00A57E12"/>
    <w:rsid w:val="00A61114"/>
    <w:rsid w:val="00A6328A"/>
    <w:rsid w:val="00A634E7"/>
    <w:rsid w:val="00A639CB"/>
    <w:rsid w:val="00A64028"/>
    <w:rsid w:val="00A64092"/>
    <w:rsid w:val="00A6552D"/>
    <w:rsid w:val="00A65A73"/>
    <w:rsid w:val="00A666B9"/>
    <w:rsid w:val="00A67AB9"/>
    <w:rsid w:val="00A703CE"/>
    <w:rsid w:val="00A704AE"/>
    <w:rsid w:val="00A7083E"/>
    <w:rsid w:val="00A70B86"/>
    <w:rsid w:val="00A72B2F"/>
    <w:rsid w:val="00A73278"/>
    <w:rsid w:val="00A73BCE"/>
    <w:rsid w:val="00A74596"/>
    <w:rsid w:val="00A7526B"/>
    <w:rsid w:val="00A7746B"/>
    <w:rsid w:val="00A779F3"/>
    <w:rsid w:val="00A77EF1"/>
    <w:rsid w:val="00A80268"/>
    <w:rsid w:val="00A81FE5"/>
    <w:rsid w:val="00A82105"/>
    <w:rsid w:val="00A82344"/>
    <w:rsid w:val="00A83751"/>
    <w:rsid w:val="00A83D73"/>
    <w:rsid w:val="00A83FDA"/>
    <w:rsid w:val="00A841E1"/>
    <w:rsid w:val="00A8445A"/>
    <w:rsid w:val="00A84C80"/>
    <w:rsid w:val="00A85F68"/>
    <w:rsid w:val="00A8625A"/>
    <w:rsid w:val="00A862CA"/>
    <w:rsid w:val="00A86B3F"/>
    <w:rsid w:val="00A86C07"/>
    <w:rsid w:val="00A875F2"/>
    <w:rsid w:val="00A87AFD"/>
    <w:rsid w:val="00A87F8C"/>
    <w:rsid w:val="00A9160F"/>
    <w:rsid w:val="00A91D5A"/>
    <w:rsid w:val="00A933CA"/>
    <w:rsid w:val="00A94811"/>
    <w:rsid w:val="00A94B75"/>
    <w:rsid w:val="00A9546E"/>
    <w:rsid w:val="00A95B16"/>
    <w:rsid w:val="00A96E2F"/>
    <w:rsid w:val="00A97218"/>
    <w:rsid w:val="00A97EC0"/>
    <w:rsid w:val="00AA0043"/>
    <w:rsid w:val="00AA2425"/>
    <w:rsid w:val="00AA26D6"/>
    <w:rsid w:val="00AA42AC"/>
    <w:rsid w:val="00AA51FB"/>
    <w:rsid w:val="00AA5D94"/>
    <w:rsid w:val="00AB1622"/>
    <w:rsid w:val="00AB1AF1"/>
    <w:rsid w:val="00AB242E"/>
    <w:rsid w:val="00AB3AD7"/>
    <w:rsid w:val="00AB4149"/>
    <w:rsid w:val="00AB5F51"/>
    <w:rsid w:val="00AB6472"/>
    <w:rsid w:val="00AB6C17"/>
    <w:rsid w:val="00AC02CE"/>
    <w:rsid w:val="00AC05A1"/>
    <w:rsid w:val="00AC0A78"/>
    <w:rsid w:val="00AC2B1A"/>
    <w:rsid w:val="00AC30CA"/>
    <w:rsid w:val="00AC3F9C"/>
    <w:rsid w:val="00AC5CF3"/>
    <w:rsid w:val="00AC6827"/>
    <w:rsid w:val="00AC7320"/>
    <w:rsid w:val="00AC7B64"/>
    <w:rsid w:val="00AD1143"/>
    <w:rsid w:val="00AD11F8"/>
    <w:rsid w:val="00AD193E"/>
    <w:rsid w:val="00AD1B6D"/>
    <w:rsid w:val="00AD25BC"/>
    <w:rsid w:val="00AD3224"/>
    <w:rsid w:val="00AD3736"/>
    <w:rsid w:val="00AD432C"/>
    <w:rsid w:val="00AD59DB"/>
    <w:rsid w:val="00AD758A"/>
    <w:rsid w:val="00AD7C2E"/>
    <w:rsid w:val="00AD7DAE"/>
    <w:rsid w:val="00AE09E5"/>
    <w:rsid w:val="00AE11CE"/>
    <w:rsid w:val="00AE1758"/>
    <w:rsid w:val="00AE3771"/>
    <w:rsid w:val="00AE6E53"/>
    <w:rsid w:val="00AE7DE9"/>
    <w:rsid w:val="00AF3AC7"/>
    <w:rsid w:val="00AF46DB"/>
    <w:rsid w:val="00AF5524"/>
    <w:rsid w:val="00AF5939"/>
    <w:rsid w:val="00AF5E7F"/>
    <w:rsid w:val="00AF67CC"/>
    <w:rsid w:val="00AF68CF"/>
    <w:rsid w:val="00AF7D76"/>
    <w:rsid w:val="00B00735"/>
    <w:rsid w:val="00B012D8"/>
    <w:rsid w:val="00B013AC"/>
    <w:rsid w:val="00B03A84"/>
    <w:rsid w:val="00B04013"/>
    <w:rsid w:val="00B06B14"/>
    <w:rsid w:val="00B06C42"/>
    <w:rsid w:val="00B07228"/>
    <w:rsid w:val="00B07610"/>
    <w:rsid w:val="00B1030F"/>
    <w:rsid w:val="00B10A8F"/>
    <w:rsid w:val="00B10BED"/>
    <w:rsid w:val="00B13923"/>
    <w:rsid w:val="00B141A7"/>
    <w:rsid w:val="00B14E03"/>
    <w:rsid w:val="00B15930"/>
    <w:rsid w:val="00B15DA4"/>
    <w:rsid w:val="00B16B7B"/>
    <w:rsid w:val="00B2198C"/>
    <w:rsid w:val="00B25150"/>
    <w:rsid w:val="00B25ADE"/>
    <w:rsid w:val="00B26935"/>
    <w:rsid w:val="00B26998"/>
    <w:rsid w:val="00B2784A"/>
    <w:rsid w:val="00B3082F"/>
    <w:rsid w:val="00B31355"/>
    <w:rsid w:val="00B31A14"/>
    <w:rsid w:val="00B32DFD"/>
    <w:rsid w:val="00B32F0F"/>
    <w:rsid w:val="00B332E5"/>
    <w:rsid w:val="00B33336"/>
    <w:rsid w:val="00B334CA"/>
    <w:rsid w:val="00B336D5"/>
    <w:rsid w:val="00B349DA"/>
    <w:rsid w:val="00B34A05"/>
    <w:rsid w:val="00B3538A"/>
    <w:rsid w:val="00B35FCD"/>
    <w:rsid w:val="00B3675A"/>
    <w:rsid w:val="00B371ED"/>
    <w:rsid w:val="00B40F85"/>
    <w:rsid w:val="00B40FAE"/>
    <w:rsid w:val="00B424B5"/>
    <w:rsid w:val="00B4326D"/>
    <w:rsid w:val="00B43E7F"/>
    <w:rsid w:val="00B44A0C"/>
    <w:rsid w:val="00B45138"/>
    <w:rsid w:val="00B469F9"/>
    <w:rsid w:val="00B4720E"/>
    <w:rsid w:val="00B47AB3"/>
    <w:rsid w:val="00B47EB6"/>
    <w:rsid w:val="00B51634"/>
    <w:rsid w:val="00B52F79"/>
    <w:rsid w:val="00B53D18"/>
    <w:rsid w:val="00B54694"/>
    <w:rsid w:val="00B560A5"/>
    <w:rsid w:val="00B571EB"/>
    <w:rsid w:val="00B6010A"/>
    <w:rsid w:val="00B60126"/>
    <w:rsid w:val="00B60FF4"/>
    <w:rsid w:val="00B610FE"/>
    <w:rsid w:val="00B61A4E"/>
    <w:rsid w:val="00B62A9A"/>
    <w:rsid w:val="00B63022"/>
    <w:rsid w:val="00B63A59"/>
    <w:rsid w:val="00B64E27"/>
    <w:rsid w:val="00B70AA4"/>
    <w:rsid w:val="00B71020"/>
    <w:rsid w:val="00B71485"/>
    <w:rsid w:val="00B71A97"/>
    <w:rsid w:val="00B724A6"/>
    <w:rsid w:val="00B72742"/>
    <w:rsid w:val="00B736D3"/>
    <w:rsid w:val="00B73DFC"/>
    <w:rsid w:val="00B74BAA"/>
    <w:rsid w:val="00B750DA"/>
    <w:rsid w:val="00B75430"/>
    <w:rsid w:val="00B75BD0"/>
    <w:rsid w:val="00B75FE5"/>
    <w:rsid w:val="00B76AD6"/>
    <w:rsid w:val="00B774B4"/>
    <w:rsid w:val="00B77521"/>
    <w:rsid w:val="00B776CE"/>
    <w:rsid w:val="00B779EB"/>
    <w:rsid w:val="00B8022D"/>
    <w:rsid w:val="00B82861"/>
    <w:rsid w:val="00B829A9"/>
    <w:rsid w:val="00B84014"/>
    <w:rsid w:val="00B84257"/>
    <w:rsid w:val="00B847C5"/>
    <w:rsid w:val="00B84C84"/>
    <w:rsid w:val="00B870A4"/>
    <w:rsid w:val="00B92432"/>
    <w:rsid w:val="00B92538"/>
    <w:rsid w:val="00B9275D"/>
    <w:rsid w:val="00B94D66"/>
    <w:rsid w:val="00B96D40"/>
    <w:rsid w:val="00BA066F"/>
    <w:rsid w:val="00BA2BAD"/>
    <w:rsid w:val="00BA3B4C"/>
    <w:rsid w:val="00BA5F85"/>
    <w:rsid w:val="00BA6F99"/>
    <w:rsid w:val="00BA7146"/>
    <w:rsid w:val="00BB036A"/>
    <w:rsid w:val="00BB2157"/>
    <w:rsid w:val="00BB24A2"/>
    <w:rsid w:val="00BB262C"/>
    <w:rsid w:val="00BB2C2E"/>
    <w:rsid w:val="00BB2F88"/>
    <w:rsid w:val="00BB3402"/>
    <w:rsid w:val="00BB3E0B"/>
    <w:rsid w:val="00BB44CA"/>
    <w:rsid w:val="00BB47CE"/>
    <w:rsid w:val="00BB5339"/>
    <w:rsid w:val="00BB5CC4"/>
    <w:rsid w:val="00BB7233"/>
    <w:rsid w:val="00BB73A1"/>
    <w:rsid w:val="00BC1890"/>
    <w:rsid w:val="00BC1E13"/>
    <w:rsid w:val="00BC36DA"/>
    <w:rsid w:val="00BC3CB6"/>
    <w:rsid w:val="00BC491F"/>
    <w:rsid w:val="00BC4C6A"/>
    <w:rsid w:val="00BC5E6B"/>
    <w:rsid w:val="00BC6DE2"/>
    <w:rsid w:val="00BD2224"/>
    <w:rsid w:val="00BD28A3"/>
    <w:rsid w:val="00BD2B54"/>
    <w:rsid w:val="00BD33B9"/>
    <w:rsid w:val="00BD34DE"/>
    <w:rsid w:val="00BD464D"/>
    <w:rsid w:val="00BD476D"/>
    <w:rsid w:val="00BD5CB9"/>
    <w:rsid w:val="00BE0FE7"/>
    <w:rsid w:val="00BE1887"/>
    <w:rsid w:val="00BE23E0"/>
    <w:rsid w:val="00BE35A1"/>
    <w:rsid w:val="00BE4B87"/>
    <w:rsid w:val="00BE5BB2"/>
    <w:rsid w:val="00BE5C4F"/>
    <w:rsid w:val="00BE6524"/>
    <w:rsid w:val="00BE6762"/>
    <w:rsid w:val="00BE7BA3"/>
    <w:rsid w:val="00BF0478"/>
    <w:rsid w:val="00BF0D02"/>
    <w:rsid w:val="00BF1690"/>
    <w:rsid w:val="00BF36FE"/>
    <w:rsid w:val="00BF4373"/>
    <w:rsid w:val="00BF4559"/>
    <w:rsid w:val="00BF4F60"/>
    <w:rsid w:val="00BF5647"/>
    <w:rsid w:val="00BF5B08"/>
    <w:rsid w:val="00BF6EBC"/>
    <w:rsid w:val="00BF7CFF"/>
    <w:rsid w:val="00BF7E35"/>
    <w:rsid w:val="00C009C4"/>
    <w:rsid w:val="00C01B9F"/>
    <w:rsid w:val="00C0489E"/>
    <w:rsid w:val="00C04EEF"/>
    <w:rsid w:val="00C055AB"/>
    <w:rsid w:val="00C05CAF"/>
    <w:rsid w:val="00C06141"/>
    <w:rsid w:val="00C06770"/>
    <w:rsid w:val="00C06AD1"/>
    <w:rsid w:val="00C11851"/>
    <w:rsid w:val="00C1381B"/>
    <w:rsid w:val="00C139DF"/>
    <w:rsid w:val="00C177AB"/>
    <w:rsid w:val="00C2032C"/>
    <w:rsid w:val="00C2125E"/>
    <w:rsid w:val="00C215AD"/>
    <w:rsid w:val="00C25576"/>
    <w:rsid w:val="00C27C00"/>
    <w:rsid w:val="00C30045"/>
    <w:rsid w:val="00C33033"/>
    <w:rsid w:val="00C33106"/>
    <w:rsid w:val="00C33246"/>
    <w:rsid w:val="00C338BB"/>
    <w:rsid w:val="00C33B1D"/>
    <w:rsid w:val="00C34E57"/>
    <w:rsid w:val="00C35811"/>
    <w:rsid w:val="00C35BC2"/>
    <w:rsid w:val="00C35CC8"/>
    <w:rsid w:val="00C36356"/>
    <w:rsid w:val="00C36F41"/>
    <w:rsid w:val="00C413C1"/>
    <w:rsid w:val="00C41779"/>
    <w:rsid w:val="00C418BB"/>
    <w:rsid w:val="00C41905"/>
    <w:rsid w:val="00C42A29"/>
    <w:rsid w:val="00C4550F"/>
    <w:rsid w:val="00C467D1"/>
    <w:rsid w:val="00C4785E"/>
    <w:rsid w:val="00C5190C"/>
    <w:rsid w:val="00C52382"/>
    <w:rsid w:val="00C532A0"/>
    <w:rsid w:val="00C5628F"/>
    <w:rsid w:val="00C56A7D"/>
    <w:rsid w:val="00C56FC8"/>
    <w:rsid w:val="00C605A6"/>
    <w:rsid w:val="00C609A4"/>
    <w:rsid w:val="00C62B34"/>
    <w:rsid w:val="00C62DCA"/>
    <w:rsid w:val="00C63B5C"/>
    <w:rsid w:val="00C649C1"/>
    <w:rsid w:val="00C6564B"/>
    <w:rsid w:val="00C66569"/>
    <w:rsid w:val="00C679E1"/>
    <w:rsid w:val="00C7067E"/>
    <w:rsid w:val="00C70FA3"/>
    <w:rsid w:val="00C710F7"/>
    <w:rsid w:val="00C72DDE"/>
    <w:rsid w:val="00C73639"/>
    <w:rsid w:val="00C74B61"/>
    <w:rsid w:val="00C75DF7"/>
    <w:rsid w:val="00C75F56"/>
    <w:rsid w:val="00C77965"/>
    <w:rsid w:val="00C77E76"/>
    <w:rsid w:val="00C80B81"/>
    <w:rsid w:val="00C825E8"/>
    <w:rsid w:val="00C827A2"/>
    <w:rsid w:val="00C82B4B"/>
    <w:rsid w:val="00C83267"/>
    <w:rsid w:val="00C83495"/>
    <w:rsid w:val="00C838DF"/>
    <w:rsid w:val="00C8498C"/>
    <w:rsid w:val="00C8534A"/>
    <w:rsid w:val="00C855B9"/>
    <w:rsid w:val="00C87444"/>
    <w:rsid w:val="00C8782D"/>
    <w:rsid w:val="00C9018F"/>
    <w:rsid w:val="00C90B01"/>
    <w:rsid w:val="00C91E91"/>
    <w:rsid w:val="00C94977"/>
    <w:rsid w:val="00C95C61"/>
    <w:rsid w:val="00C96803"/>
    <w:rsid w:val="00C977DF"/>
    <w:rsid w:val="00CA161A"/>
    <w:rsid w:val="00CA1D70"/>
    <w:rsid w:val="00CA2669"/>
    <w:rsid w:val="00CA42CB"/>
    <w:rsid w:val="00CA4B53"/>
    <w:rsid w:val="00CA5068"/>
    <w:rsid w:val="00CA520D"/>
    <w:rsid w:val="00CA523B"/>
    <w:rsid w:val="00CA5554"/>
    <w:rsid w:val="00CA58BB"/>
    <w:rsid w:val="00CA7B1A"/>
    <w:rsid w:val="00CA7D8E"/>
    <w:rsid w:val="00CB08CB"/>
    <w:rsid w:val="00CB23DC"/>
    <w:rsid w:val="00CB39DC"/>
    <w:rsid w:val="00CB45CF"/>
    <w:rsid w:val="00CB5953"/>
    <w:rsid w:val="00CB5DED"/>
    <w:rsid w:val="00CB6787"/>
    <w:rsid w:val="00CB7EF1"/>
    <w:rsid w:val="00CC03F2"/>
    <w:rsid w:val="00CC104F"/>
    <w:rsid w:val="00CC1E3E"/>
    <w:rsid w:val="00CC396F"/>
    <w:rsid w:val="00CC4667"/>
    <w:rsid w:val="00CC578E"/>
    <w:rsid w:val="00CC599E"/>
    <w:rsid w:val="00CC65A9"/>
    <w:rsid w:val="00CC700E"/>
    <w:rsid w:val="00CC75C1"/>
    <w:rsid w:val="00CD0073"/>
    <w:rsid w:val="00CD0395"/>
    <w:rsid w:val="00CD0CFA"/>
    <w:rsid w:val="00CD0D13"/>
    <w:rsid w:val="00CD24AF"/>
    <w:rsid w:val="00CD4C7F"/>
    <w:rsid w:val="00CD541D"/>
    <w:rsid w:val="00CD5E39"/>
    <w:rsid w:val="00CD64DE"/>
    <w:rsid w:val="00CD6607"/>
    <w:rsid w:val="00CD665F"/>
    <w:rsid w:val="00CD7521"/>
    <w:rsid w:val="00CE01FF"/>
    <w:rsid w:val="00CE2037"/>
    <w:rsid w:val="00CE2470"/>
    <w:rsid w:val="00CE24E7"/>
    <w:rsid w:val="00CE325E"/>
    <w:rsid w:val="00CE4390"/>
    <w:rsid w:val="00CE44B2"/>
    <w:rsid w:val="00CE472B"/>
    <w:rsid w:val="00CE5078"/>
    <w:rsid w:val="00CE593A"/>
    <w:rsid w:val="00CE6628"/>
    <w:rsid w:val="00CE67F5"/>
    <w:rsid w:val="00CF14C7"/>
    <w:rsid w:val="00CF162F"/>
    <w:rsid w:val="00CF1C10"/>
    <w:rsid w:val="00CF20CA"/>
    <w:rsid w:val="00CF33C7"/>
    <w:rsid w:val="00CF4774"/>
    <w:rsid w:val="00CF56FC"/>
    <w:rsid w:val="00CF6D45"/>
    <w:rsid w:val="00CF72C8"/>
    <w:rsid w:val="00CF7522"/>
    <w:rsid w:val="00D0026F"/>
    <w:rsid w:val="00D00F94"/>
    <w:rsid w:val="00D01C7E"/>
    <w:rsid w:val="00D01C85"/>
    <w:rsid w:val="00D029FD"/>
    <w:rsid w:val="00D0387E"/>
    <w:rsid w:val="00D03A95"/>
    <w:rsid w:val="00D03B3D"/>
    <w:rsid w:val="00D10A0D"/>
    <w:rsid w:val="00D11488"/>
    <w:rsid w:val="00D129A6"/>
    <w:rsid w:val="00D1479B"/>
    <w:rsid w:val="00D1522A"/>
    <w:rsid w:val="00D15530"/>
    <w:rsid w:val="00D158F0"/>
    <w:rsid w:val="00D16E5D"/>
    <w:rsid w:val="00D208D7"/>
    <w:rsid w:val="00D214E9"/>
    <w:rsid w:val="00D22191"/>
    <w:rsid w:val="00D22AF3"/>
    <w:rsid w:val="00D23BC2"/>
    <w:rsid w:val="00D23D8F"/>
    <w:rsid w:val="00D27EC8"/>
    <w:rsid w:val="00D30453"/>
    <w:rsid w:val="00D31018"/>
    <w:rsid w:val="00D3213C"/>
    <w:rsid w:val="00D338E8"/>
    <w:rsid w:val="00D34AEE"/>
    <w:rsid w:val="00D34B2F"/>
    <w:rsid w:val="00D34BAD"/>
    <w:rsid w:val="00D34E39"/>
    <w:rsid w:val="00D355B4"/>
    <w:rsid w:val="00D35E2E"/>
    <w:rsid w:val="00D35FAE"/>
    <w:rsid w:val="00D37970"/>
    <w:rsid w:val="00D413FC"/>
    <w:rsid w:val="00D42E1B"/>
    <w:rsid w:val="00D43A26"/>
    <w:rsid w:val="00D44A6D"/>
    <w:rsid w:val="00D45670"/>
    <w:rsid w:val="00D46BF0"/>
    <w:rsid w:val="00D46CCA"/>
    <w:rsid w:val="00D50052"/>
    <w:rsid w:val="00D50BBF"/>
    <w:rsid w:val="00D520F4"/>
    <w:rsid w:val="00D53907"/>
    <w:rsid w:val="00D549D8"/>
    <w:rsid w:val="00D574FE"/>
    <w:rsid w:val="00D575E9"/>
    <w:rsid w:val="00D6000F"/>
    <w:rsid w:val="00D601F0"/>
    <w:rsid w:val="00D607D4"/>
    <w:rsid w:val="00D60858"/>
    <w:rsid w:val="00D60D0C"/>
    <w:rsid w:val="00D60EAF"/>
    <w:rsid w:val="00D610B9"/>
    <w:rsid w:val="00D62005"/>
    <w:rsid w:val="00D622BE"/>
    <w:rsid w:val="00D62F3C"/>
    <w:rsid w:val="00D630E9"/>
    <w:rsid w:val="00D636E8"/>
    <w:rsid w:val="00D63923"/>
    <w:rsid w:val="00D648F3"/>
    <w:rsid w:val="00D65804"/>
    <w:rsid w:val="00D65840"/>
    <w:rsid w:val="00D65B13"/>
    <w:rsid w:val="00D65CBB"/>
    <w:rsid w:val="00D65E76"/>
    <w:rsid w:val="00D673A7"/>
    <w:rsid w:val="00D70E2F"/>
    <w:rsid w:val="00D72E13"/>
    <w:rsid w:val="00D736A1"/>
    <w:rsid w:val="00D740B4"/>
    <w:rsid w:val="00D747EC"/>
    <w:rsid w:val="00D74D64"/>
    <w:rsid w:val="00D74F54"/>
    <w:rsid w:val="00D75993"/>
    <w:rsid w:val="00D75D51"/>
    <w:rsid w:val="00D76331"/>
    <w:rsid w:val="00D766A3"/>
    <w:rsid w:val="00D76E78"/>
    <w:rsid w:val="00D7722E"/>
    <w:rsid w:val="00D77B8D"/>
    <w:rsid w:val="00D812F0"/>
    <w:rsid w:val="00D81A32"/>
    <w:rsid w:val="00D81BFF"/>
    <w:rsid w:val="00D8313F"/>
    <w:rsid w:val="00D83DA8"/>
    <w:rsid w:val="00D85E4C"/>
    <w:rsid w:val="00D8703E"/>
    <w:rsid w:val="00D8705E"/>
    <w:rsid w:val="00D87560"/>
    <w:rsid w:val="00D87E2E"/>
    <w:rsid w:val="00D87F88"/>
    <w:rsid w:val="00D9042E"/>
    <w:rsid w:val="00D90A48"/>
    <w:rsid w:val="00D93ED5"/>
    <w:rsid w:val="00D950BB"/>
    <w:rsid w:val="00D9560F"/>
    <w:rsid w:val="00D962F2"/>
    <w:rsid w:val="00D96C1B"/>
    <w:rsid w:val="00D97BC2"/>
    <w:rsid w:val="00DA0A41"/>
    <w:rsid w:val="00DA0F54"/>
    <w:rsid w:val="00DA1217"/>
    <w:rsid w:val="00DA1793"/>
    <w:rsid w:val="00DA189A"/>
    <w:rsid w:val="00DA1908"/>
    <w:rsid w:val="00DA1E34"/>
    <w:rsid w:val="00DA28B3"/>
    <w:rsid w:val="00DA2AC9"/>
    <w:rsid w:val="00DA32B6"/>
    <w:rsid w:val="00DA3BE6"/>
    <w:rsid w:val="00DA4A22"/>
    <w:rsid w:val="00DB0224"/>
    <w:rsid w:val="00DB06C6"/>
    <w:rsid w:val="00DB087E"/>
    <w:rsid w:val="00DB1745"/>
    <w:rsid w:val="00DB1E73"/>
    <w:rsid w:val="00DB20F4"/>
    <w:rsid w:val="00DB467B"/>
    <w:rsid w:val="00DB619D"/>
    <w:rsid w:val="00DB7DAE"/>
    <w:rsid w:val="00DC001C"/>
    <w:rsid w:val="00DC122E"/>
    <w:rsid w:val="00DC132F"/>
    <w:rsid w:val="00DC2F3F"/>
    <w:rsid w:val="00DC3CCA"/>
    <w:rsid w:val="00DC5249"/>
    <w:rsid w:val="00DC52AE"/>
    <w:rsid w:val="00DC5685"/>
    <w:rsid w:val="00DC6E07"/>
    <w:rsid w:val="00DC78F0"/>
    <w:rsid w:val="00DD001F"/>
    <w:rsid w:val="00DD09D2"/>
    <w:rsid w:val="00DD2811"/>
    <w:rsid w:val="00DD343B"/>
    <w:rsid w:val="00DD42FB"/>
    <w:rsid w:val="00DD488A"/>
    <w:rsid w:val="00DD53E1"/>
    <w:rsid w:val="00DD5DA7"/>
    <w:rsid w:val="00DD7F89"/>
    <w:rsid w:val="00DE08B8"/>
    <w:rsid w:val="00DE0AD2"/>
    <w:rsid w:val="00DE120F"/>
    <w:rsid w:val="00DE16AC"/>
    <w:rsid w:val="00DE2BBD"/>
    <w:rsid w:val="00DE2C13"/>
    <w:rsid w:val="00DE3686"/>
    <w:rsid w:val="00DE37FF"/>
    <w:rsid w:val="00DE4380"/>
    <w:rsid w:val="00DE451A"/>
    <w:rsid w:val="00DE661A"/>
    <w:rsid w:val="00DE761A"/>
    <w:rsid w:val="00DE78A2"/>
    <w:rsid w:val="00DE7A0B"/>
    <w:rsid w:val="00DF039A"/>
    <w:rsid w:val="00DF0AE3"/>
    <w:rsid w:val="00DF0D93"/>
    <w:rsid w:val="00DF11D1"/>
    <w:rsid w:val="00DF20CC"/>
    <w:rsid w:val="00DF45CD"/>
    <w:rsid w:val="00DF51CF"/>
    <w:rsid w:val="00DF7FB8"/>
    <w:rsid w:val="00E00300"/>
    <w:rsid w:val="00E01A41"/>
    <w:rsid w:val="00E01F53"/>
    <w:rsid w:val="00E02CAE"/>
    <w:rsid w:val="00E037C7"/>
    <w:rsid w:val="00E04048"/>
    <w:rsid w:val="00E042F4"/>
    <w:rsid w:val="00E048A3"/>
    <w:rsid w:val="00E05CEE"/>
    <w:rsid w:val="00E05F68"/>
    <w:rsid w:val="00E07944"/>
    <w:rsid w:val="00E07DC6"/>
    <w:rsid w:val="00E10A5B"/>
    <w:rsid w:val="00E1144C"/>
    <w:rsid w:val="00E11675"/>
    <w:rsid w:val="00E11FBF"/>
    <w:rsid w:val="00E12218"/>
    <w:rsid w:val="00E12CB1"/>
    <w:rsid w:val="00E134FC"/>
    <w:rsid w:val="00E14323"/>
    <w:rsid w:val="00E144F3"/>
    <w:rsid w:val="00E14A32"/>
    <w:rsid w:val="00E174A0"/>
    <w:rsid w:val="00E22DB9"/>
    <w:rsid w:val="00E2348D"/>
    <w:rsid w:val="00E248ED"/>
    <w:rsid w:val="00E24E11"/>
    <w:rsid w:val="00E2560F"/>
    <w:rsid w:val="00E26728"/>
    <w:rsid w:val="00E30C98"/>
    <w:rsid w:val="00E315B8"/>
    <w:rsid w:val="00E31ECE"/>
    <w:rsid w:val="00E320CA"/>
    <w:rsid w:val="00E33487"/>
    <w:rsid w:val="00E33725"/>
    <w:rsid w:val="00E33AC6"/>
    <w:rsid w:val="00E33B2F"/>
    <w:rsid w:val="00E359DC"/>
    <w:rsid w:val="00E36065"/>
    <w:rsid w:val="00E3636A"/>
    <w:rsid w:val="00E37DC4"/>
    <w:rsid w:val="00E40B5F"/>
    <w:rsid w:val="00E4290A"/>
    <w:rsid w:val="00E43272"/>
    <w:rsid w:val="00E436AA"/>
    <w:rsid w:val="00E444C5"/>
    <w:rsid w:val="00E44F46"/>
    <w:rsid w:val="00E45042"/>
    <w:rsid w:val="00E45A8D"/>
    <w:rsid w:val="00E45E02"/>
    <w:rsid w:val="00E4665A"/>
    <w:rsid w:val="00E46F09"/>
    <w:rsid w:val="00E470A1"/>
    <w:rsid w:val="00E47A2A"/>
    <w:rsid w:val="00E47D42"/>
    <w:rsid w:val="00E51A4C"/>
    <w:rsid w:val="00E53AE6"/>
    <w:rsid w:val="00E54202"/>
    <w:rsid w:val="00E54217"/>
    <w:rsid w:val="00E54F1A"/>
    <w:rsid w:val="00E56859"/>
    <w:rsid w:val="00E57BFC"/>
    <w:rsid w:val="00E62E26"/>
    <w:rsid w:val="00E6316B"/>
    <w:rsid w:val="00E64534"/>
    <w:rsid w:val="00E64871"/>
    <w:rsid w:val="00E65ECB"/>
    <w:rsid w:val="00E661A9"/>
    <w:rsid w:val="00E6676D"/>
    <w:rsid w:val="00E66CA4"/>
    <w:rsid w:val="00E67004"/>
    <w:rsid w:val="00E6719F"/>
    <w:rsid w:val="00E72C30"/>
    <w:rsid w:val="00E74170"/>
    <w:rsid w:val="00E74487"/>
    <w:rsid w:val="00E75E38"/>
    <w:rsid w:val="00E76490"/>
    <w:rsid w:val="00E814F4"/>
    <w:rsid w:val="00E815EA"/>
    <w:rsid w:val="00E81C67"/>
    <w:rsid w:val="00E81D3D"/>
    <w:rsid w:val="00E82CA2"/>
    <w:rsid w:val="00E832A5"/>
    <w:rsid w:val="00E832CC"/>
    <w:rsid w:val="00E836ED"/>
    <w:rsid w:val="00E838BD"/>
    <w:rsid w:val="00E83C4C"/>
    <w:rsid w:val="00E83CDA"/>
    <w:rsid w:val="00E83D30"/>
    <w:rsid w:val="00E8434C"/>
    <w:rsid w:val="00E84CAD"/>
    <w:rsid w:val="00E84F24"/>
    <w:rsid w:val="00E85842"/>
    <w:rsid w:val="00E85BAC"/>
    <w:rsid w:val="00E86731"/>
    <w:rsid w:val="00E879D8"/>
    <w:rsid w:val="00E87F29"/>
    <w:rsid w:val="00E90362"/>
    <w:rsid w:val="00E90F23"/>
    <w:rsid w:val="00E917AA"/>
    <w:rsid w:val="00E92449"/>
    <w:rsid w:val="00E927E6"/>
    <w:rsid w:val="00E92DBF"/>
    <w:rsid w:val="00E94101"/>
    <w:rsid w:val="00E9654B"/>
    <w:rsid w:val="00E96663"/>
    <w:rsid w:val="00E97DD7"/>
    <w:rsid w:val="00EA1E63"/>
    <w:rsid w:val="00EA4CF3"/>
    <w:rsid w:val="00EA59FA"/>
    <w:rsid w:val="00EA5D0F"/>
    <w:rsid w:val="00EA7010"/>
    <w:rsid w:val="00EA7828"/>
    <w:rsid w:val="00EB1398"/>
    <w:rsid w:val="00EB2024"/>
    <w:rsid w:val="00EB210E"/>
    <w:rsid w:val="00EB36ED"/>
    <w:rsid w:val="00EB3AC6"/>
    <w:rsid w:val="00EC0F76"/>
    <w:rsid w:val="00EC1CBD"/>
    <w:rsid w:val="00EC2671"/>
    <w:rsid w:val="00EC48CE"/>
    <w:rsid w:val="00EC602F"/>
    <w:rsid w:val="00EC6052"/>
    <w:rsid w:val="00EC652B"/>
    <w:rsid w:val="00EC67A8"/>
    <w:rsid w:val="00EC73E1"/>
    <w:rsid w:val="00ED1205"/>
    <w:rsid w:val="00ED1ACB"/>
    <w:rsid w:val="00ED1EFC"/>
    <w:rsid w:val="00ED3C7F"/>
    <w:rsid w:val="00ED4A2E"/>
    <w:rsid w:val="00ED605C"/>
    <w:rsid w:val="00ED6896"/>
    <w:rsid w:val="00ED6A8C"/>
    <w:rsid w:val="00EE092C"/>
    <w:rsid w:val="00EE14AB"/>
    <w:rsid w:val="00EE154B"/>
    <w:rsid w:val="00EE1D01"/>
    <w:rsid w:val="00EE2436"/>
    <w:rsid w:val="00EE2EFB"/>
    <w:rsid w:val="00EE3156"/>
    <w:rsid w:val="00EE3159"/>
    <w:rsid w:val="00EE49A1"/>
    <w:rsid w:val="00EE49FF"/>
    <w:rsid w:val="00EE60A3"/>
    <w:rsid w:val="00EE6DDF"/>
    <w:rsid w:val="00EE7242"/>
    <w:rsid w:val="00EF0006"/>
    <w:rsid w:val="00EF007A"/>
    <w:rsid w:val="00EF3D1A"/>
    <w:rsid w:val="00EF3EAD"/>
    <w:rsid w:val="00EF47E3"/>
    <w:rsid w:val="00EF4862"/>
    <w:rsid w:val="00F007A3"/>
    <w:rsid w:val="00F00EF0"/>
    <w:rsid w:val="00F01B27"/>
    <w:rsid w:val="00F02CF4"/>
    <w:rsid w:val="00F074D9"/>
    <w:rsid w:val="00F1224B"/>
    <w:rsid w:val="00F12F06"/>
    <w:rsid w:val="00F13E4F"/>
    <w:rsid w:val="00F15579"/>
    <w:rsid w:val="00F155A0"/>
    <w:rsid w:val="00F157DE"/>
    <w:rsid w:val="00F16C00"/>
    <w:rsid w:val="00F20887"/>
    <w:rsid w:val="00F20908"/>
    <w:rsid w:val="00F20C98"/>
    <w:rsid w:val="00F214A2"/>
    <w:rsid w:val="00F2474C"/>
    <w:rsid w:val="00F249E1"/>
    <w:rsid w:val="00F259E9"/>
    <w:rsid w:val="00F269D9"/>
    <w:rsid w:val="00F26F5F"/>
    <w:rsid w:val="00F2764F"/>
    <w:rsid w:val="00F27863"/>
    <w:rsid w:val="00F27910"/>
    <w:rsid w:val="00F2791A"/>
    <w:rsid w:val="00F27A43"/>
    <w:rsid w:val="00F314F6"/>
    <w:rsid w:val="00F3201A"/>
    <w:rsid w:val="00F32083"/>
    <w:rsid w:val="00F32E65"/>
    <w:rsid w:val="00F33414"/>
    <w:rsid w:val="00F33692"/>
    <w:rsid w:val="00F339FC"/>
    <w:rsid w:val="00F35196"/>
    <w:rsid w:val="00F3604A"/>
    <w:rsid w:val="00F40B2A"/>
    <w:rsid w:val="00F447B5"/>
    <w:rsid w:val="00F449E5"/>
    <w:rsid w:val="00F459E9"/>
    <w:rsid w:val="00F463DC"/>
    <w:rsid w:val="00F4697B"/>
    <w:rsid w:val="00F46E3B"/>
    <w:rsid w:val="00F475F2"/>
    <w:rsid w:val="00F515AC"/>
    <w:rsid w:val="00F5171F"/>
    <w:rsid w:val="00F51C97"/>
    <w:rsid w:val="00F522B8"/>
    <w:rsid w:val="00F52B3A"/>
    <w:rsid w:val="00F532A0"/>
    <w:rsid w:val="00F53849"/>
    <w:rsid w:val="00F53D21"/>
    <w:rsid w:val="00F546E0"/>
    <w:rsid w:val="00F55F2B"/>
    <w:rsid w:val="00F5682C"/>
    <w:rsid w:val="00F56AA4"/>
    <w:rsid w:val="00F574D6"/>
    <w:rsid w:val="00F57EDA"/>
    <w:rsid w:val="00F60466"/>
    <w:rsid w:val="00F607F2"/>
    <w:rsid w:val="00F61128"/>
    <w:rsid w:val="00F630C4"/>
    <w:rsid w:val="00F6344B"/>
    <w:rsid w:val="00F6344E"/>
    <w:rsid w:val="00F638A3"/>
    <w:rsid w:val="00F65E0A"/>
    <w:rsid w:val="00F667CB"/>
    <w:rsid w:val="00F671E2"/>
    <w:rsid w:val="00F67254"/>
    <w:rsid w:val="00F67579"/>
    <w:rsid w:val="00F6762E"/>
    <w:rsid w:val="00F67665"/>
    <w:rsid w:val="00F67A6A"/>
    <w:rsid w:val="00F67C4B"/>
    <w:rsid w:val="00F70666"/>
    <w:rsid w:val="00F706F5"/>
    <w:rsid w:val="00F75F95"/>
    <w:rsid w:val="00F80C03"/>
    <w:rsid w:val="00F80D84"/>
    <w:rsid w:val="00F81831"/>
    <w:rsid w:val="00F8426E"/>
    <w:rsid w:val="00F843F8"/>
    <w:rsid w:val="00F85045"/>
    <w:rsid w:val="00F86167"/>
    <w:rsid w:val="00F86A64"/>
    <w:rsid w:val="00F86E9A"/>
    <w:rsid w:val="00F87533"/>
    <w:rsid w:val="00F900C4"/>
    <w:rsid w:val="00F9060A"/>
    <w:rsid w:val="00F908F1"/>
    <w:rsid w:val="00F917F5"/>
    <w:rsid w:val="00F92F66"/>
    <w:rsid w:val="00F92FE5"/>
    <w:rsid w:val="00F940F6"/>
    <w:rsid w:val="00F946EA"/>
    <w:rsid w:val="00F94A9B"/>
    <w:rsid w:val="00F94E1E"/>
    <w:rsid w:val="00F95245"/>
    <w:rsid w:val="00F95A8D"/>
    <w:rsid w:val="00F96603"/>
    <w:rsid w:val="00F96EE7"/>
    <w:rsid w:val="00F979DE"/>
    <w:rsid w:val="00FA1E37"/>
    <w:rsid w:val="00FA28D8"/>
    <w:rsid w:val="00FA29CF"/>
    <w:rsid w:val="00FA3754"/>
    <w:rsid w:val="00FA4DF3"/>
    <w:rsid w:val="00FA4FF0"/>
    <w:rsid w:val="00FA51CB"/>
    <w:rsid w:val="00FA6A04"/>
    <w:rsid w:val="00FA6E2A"/>
    <w:rsid w:val="00FA78A2"/>
    <w:rsid w:val="00FA7E43"/>
    <w:rsid w:val="00FA7EC6"/>
    <w:rsid w:val="00FB115C"/>
    <w:rsid w:val="00FB1612"/>
    <w:rsid w:val="00FB17EE"/>
    <w:rsid w:val="00FB1D77"/>
    <w:rsid w:val="00FB353E"/>
    <w:rsid w:val="00FB3761"/>
    <w:rsid w:val="00FB3BBC"/>
    <w:rsid w:val="00FB4501"/>
    <w:rsid w:val="00FB4681"/>
    <w:rsid w:val="00FB5884"/>
    <w:rsid w:val="00FB600C"/>
    <w:rsid w:val="00FB6375"/>
    <w:rsid w:val="00FB68FA"/>
    <w:rsid w:val="00FB6902"/>
    <w:rsid w:val="00FB6B18"/>
    <w:rsid w:val="00FB7D31"/>
    <w:rsid w:val="00FC1534"/>
    <w:rsid w:val="00FC24E8"/>
    <w:rsid w:val="00FC2C2C"/>
    <w:rsid w:val="00FC35C8"/>
    <w:rsid w:val="00FC46FC"/>
    <w:rsid w:val="00FC7A34"/>
    <w:rsid w:val="00FD0BE1"/>
    <w:rsid w:val="00FD12DC"/>
    <w:rsid w:val="00FD35C7"/>
    <w:rsid w:val="00FD3AA5"/>
    <w:rsid w:val="00FD49EB"/>
    <w:rsid w:val="00FD5BE2"/>
    <w:rsid w:val="00FD66FA"/>
    <w:rsid w:val="00FD6BC2"/>
    <w:rsid w:val="00FD6C35"/>
    <w:rsid w:val="00FD761B"/>
    <w:rsid w:val="00FD7B22"/>
    <w:rsid w:val="00FE0ECE"/>
    <w:rsid w:val="00FE0FE3"/>
    <w:rsid w:val="00FE172B"/>
    <w:rsid w:val="00FE1D29"/>
    <w:rsid w:val="00FE3364"/>
    <w:rsid w:val="00FE33F2"/>
    <w:rsid w:val="00FE5778"/>
    <w:rsid w:val="00FE5861"/>
    <w:rsid w:val="00FE5A66"/>
    <w:rsid w:val="00FE611B"/>
    <w:rsid w:val="00FE637C"/>
    <w:rsid w:val="00FE64B2"/>
    <w:rsid w:val="00FE6D26"/>
    <w:rsid w:val="00FE7636"/>
    <w:rsid w:val="00FF1D34"/>
    <w:rsid w:val="00FF3026"/>
    <w:rsid w:val="00FF3121"/>
    <w:rsid w:val="00FF3399"/>
    <w:rsid w:val="00FF5E7B"/>
    <w:rsid w:val="00FF6DE0"/>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1F8F"/>
  <w15:docId w15:val="{4D2DECAF-43E6-44ED-8399-BED04A2D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AA"/>
  </w:style>
  <w:style w:type="paragraph" w:styleId="Heading1">
    <w:name w:val="heading 1"/>
    <w:basedOn w:val="Normal"/>
    <w:next w:val="Normal"/>
    <w:link w:val="Heading1Char"/>
    <w:qFormat/>
    <w:rsid w:val="000208B8"/>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0208B8"/>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0208B8"/>
    <w:pPr>
      <w:keepNext/>
      <w:spacing w:before="240" w:after="60" w:line="240"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0208B8"/>
    <w:pPr>
      <w:keepNext/>
      <w:autoSpaceDE w:val="0"/>
      <w:autoSpaceDN w:val="0"/>
      <w:spacing w:after="0" w:line="240" w:lineRule="auto"/>
      <w:jc w:val="center"/>
      <w:outlineLvl w:val="3"/>
    </w:pPr>
    <w:rPr>
      <w:rFonts w:ascii="Times New Roman" w:eastAsia="Times New Roman" w:hAnsi="Times New Roman" w:cs="Times New Roman"/>
      <w:b/>
      <w:bCs/>
      <w:sz w:val="72"/>
      <w:szCs w:val="72"/>
    </w:rPr>
  </w:style>
  <w:style w:type="paragraph" w:styleId="Heading5">
    <w:name w:val="heading 5"/>
    <w:basedOn w:val="Normal"/>
    <w:next w:val="Normal"/>
    <w:link w:val="Heading5Char"/>
    <w:qFormat/>
    <w:rsid w:val="000208B8"/>
    <w:pPr>
      <w:keepNext/>
      <w:numPr>
        <w:numId w:val="11"/>
      </w:numPr>
      <w:spacing w:before="240" w:after="0" w:line="240" w:lineRule="auto"/>
      <w:jc w:val="both"/>
      <w:outlineLvl w:val="4"/>
    </w:pPr>
    <w:rPr>
      <w:rFonts w:ascii="Times New Roman" w:eastAsia="Times New Roman" w:hAnsi="Times New Roman" w:cs="Times New Roman"/>
      <w:color w:val="000080"/>
      <w:sz w:val="28"/>
      <w:szCs w:val="20"/>
      <w:lang w:val="ro-MD"/>
    </w:rPr>
  </w:style>
  <w:style w:type="paragraph" w:styleId="Heading8">
    <w:name w:val="heading 8"/>
    <w:basedOn w:val="Normal"/>
    <w:next w:val="Normal"/>
    <w:link w:val="Heading8Char"/>
    <w:qFormat/>
    <w:rsid w:val="000208B8"/>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qFormat/>
    <w:rsid w:val="000208B8"/>
    <w:pPr>
      <w:spacing w:before="240" w:after="60" w:line="240" w:lineRule="auto"/>
      <w:outlineLvl w:val="8"/>
    </w:pPr>
    <w:rPr>
      <w:rFonts w:ascii="Arial" w:eastAsia="Times New Roman" w:hAnsi="Arial"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8B8"/>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0208B8"/>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0208B8"/>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0208B8"/>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0208B8"/>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0208B8"/>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0208B8"/>
    <w:rPr>
      <w:rFonts w:ascii="Arial" w:eastAsia="Times New Roman" w:hAnsi="Arial" w:cs="Times New Roman"/>
      <w:lang w:val="ru-RU" w:eastAsia="ru-RU"/>
    </w:rPr>
  </w:style>
  <w:style w:type="paragraph" w:styleId="Header">
    <w:name w:val="header"/>
    <w:basedOn w:val="Normal"/>
    <w:link w:val="HeaderChar"/>
    <w:uiPriority w:val="99"/>
    <w:unhideWhenUsed/>
    <w:rsid w:val="00B40FAE"/>
    <w:pPr>
      <w:tabs>
        <w:tab w:val="center" w:pos="4844"/>
        <w:tab w:val="right" w:pos="9689"/>
      </w:tabs>
      <w:spacing w:after="0" w:line="240" w:lineRule="auto"/>
    </w:pPr>
  </w:style>
  <w:style w:type="character" w:customStyle="1" w:styleId="HeaderChar">
    <w:name w:val="Header Char"/>
    <w:basedOn w:val="DefaultParagraphFont"/>
    <w:link w:val="Header"/>
    <w:uiPriority w:val="99"/>
    <w:rsid w:val="00B40FAE"/>
  </w:style>
  <w:style w:type="paragraph" w:styleId="Footer">
    <w:name w:val="footer"/>
    <w:basedOn w:val="Normal"/>
    <w:link w:val="FooterChar"/>
    <w:uiPriority w:val="99"/>
    <w:unhideWhenUsed/>
    <w:rsid w:val="00B40FAE"/>
    <w:pPr>
      <w:tabs>
        <w:tab w:val="center" w:pos="4844"/>
        <w:tab w:val="right" w:pos="9689"/>
      </w:tabs>
      <w:spacing w:after="0" w:line="240" w:lineRule="auto"/>
    </w:pPr>
  </w:style>
  <w:style w:type="character" w:customStyle="1" w:styleId="FooterChar">
    <w:name w:val="Footer Char"/>
    <w:basedOn w:val="DefaultParagraphFont"/>
    <w:link w:val="Footer"/>
    <w:uiPriority w:val="99"/>
    <w:rsid w:val="00B40FAE"/>
  </w:style>
  <w:style w:type="paragraph" w:styleId="ListParagraph">
    <w:name w:val="List Paragraph"/>
    <w:basedOn w:val="Normal"/>
    <w:uiPriority w:val="34"/>
    <w:qFormat/>
    <w:rsid w:val="003E6D31"/>
    <w:pPr>
      <w:ind w:left="720"/>
      <w:contextualSpacing/>
    </w:pPr>
  </w:style>
  <w:style w:type="paragraph" w:customStyle="1" w:styleId="CM4">
    <w:name w:val="CM4"/>
    <w:basedOn w:val="Normal"/>
    <w:next w:val="Normal"/>
    <w:uiPriority w:val="99"/>
    <w:rsid w:val="00867BC6"/>
    <w:pPr>
      <w:autoSpaceDE w:val="0"/>
      <w:autoSpaceDN w:val="0"/>
      <w:adjustRightInd w:val="0"/>
      <w:spacing w:after="0" w:line="240" w:lineRule="auto"/>
    </w:pPr>
    <w:rPr>
      <w:rFonts w:ascii="EUAlbertina" w:eastAsia="Times New Roman" w:hAnsi="EUAlbertina" w:cs="Times New Roman"/>
      <w:sz w:val="24"/>
      <w:szCs w:val="24"/>
    </w:rPr>
  </w:style>
  <w:style w:type="paragraph" w:styleId="BalloonText">
    <w:name w:val="Balloon Text"/>
    <w:basedOn w:val="Normal"/>
    <w:link w:val="BalloonTextChar"/>
    <w:uiPriority w:val="99"/>
    <w:semiHidden/>
    <w:unhideWhenUsed/>
    <w:rsid w:val="008F3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3A"/>
    <w:rPr>
      <w:rFonts w:ascii="Segoe UI" w:hAnsi="Segoe UI" w:cs="Segoe UI"/>
      <w:sz w:val="18"/>
      <w:szCs w:val="18"/>
    </w:rPr>
  </w:style>
  <w:style w:type="paragraph" w:styleId="NormalWeb">
    <w:name w:val="Normal (Web)"/>
    <w:basedOn w:val="Normal"/>
    <w:link w:val="NormalWebChar"/>
    <w:uiPriority w:val="99"/>
    <w:rsid w:val="0017164A"/>
    <w:pPr>
      <w:spacing w:after="0" w:line="240" w:lineRule="auto"/>
      <w:ind w:firstLine="567"/>
      <w:jc w:val="both"/>
    </w:pPr>
    <w:rPr>
      <w:rFonts w:ascii="Times New Roman" w:eastAsia="Times New Roman" w:hAnsi="Times New Roman" w:cs="Times New Roman"/>
      <w:sz w:val="24"/>
      <w:szCs w:val="24"/>
      <w:lang w:val="ru-RU" w:eastAsia="ru-RU" w:bidi="or-IN"/>
    </w:rPr>
  </w:style>
  <w:style w:type="character" w:customStyle="1" w:styleId="NormalWebChar">
    <w:name w:val="Normal (Web) Char"/>
    <w:link w:val="NormalWeb"/>
    <w:uiPriority w:val="99"/>
    <w:rsid w:val="0017164A"/>
    <w:rPr>
      <w:rFonts w:ascii="Times New Roman" w:eastAsia="Times New Roman" w:hAnsi="Times New Roman" w:cs="Times New Roman"/>
      <w:sz w:val="24"/>
      <w:szCs w:val="24"/>
      <w:lang w:val="ru-RU" w:eastAsia="ru-RU" w:bidi="or-IN"/>
    </w:rPr>
  </w:style>
  <w:style w:type="character" w:styleId="Hyperlink">
    <w:name w:val="Hyperlink"/>
    <w:rsid w:val="002327B0"/>
    <w:rPr>
      <w:color w:val="0000FF"/>
      <w:u w:val="single"/>
    </w:rPr>
  </w:style>
  <w:style w:type="character" w:customStyle="1" w:styleId="superscript">
    <w:name w:val="superscript"/>
    <w:rsid w:val="002327B0"/>
    <w:rPr>
      <w:sz w:val="17"/>
      <w:szCs w:val="17"/>
      <w:vertAlign w:val="superscript"/>
    </w:rPr>
  </w:style>
  <w:style w:type="paragraph" w:customStyle="1" w:styleId="CM1">
    <w:name w:val="CM1"/>
    <w:basedOn w:val="Normal"/>
    <w:next w:val="Normal"/>
    <w:uiPriority w:val="99"/>
    <w:rsid w:val="00B571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title-article-norm">
    <w:name w:val="title-article-norm"/>
    <w:basedOn w:val="Normal"/>
    <w:rsid w:val="00603D0B"/>
    <w:pPr>
      <w:spacing w:before="240" w:after="120" w:line="240" w:lineRule="auto"/>
      <w:jc w:val="center"/>
    </w:pPr>
    <w:rPr>
      <w:rFonts w:ascii="Times New Roman" w:eastAsia="Times New Roman" w:hAnsi="Times New Roman" w:cs="Times New Roman"/>
      <w:i/>
      <w:iCs/>
      <w:sz w:val="24"/>
      <w:szCs w:val="24"/>
    </w:rPr>
  </w:style>
  <w:style w:type="paragraph" w:customStyle="1" w:styleId="ti-art">
    <w:name w:val="ti-art"/>
    <w:basedOn w:val="Normal"/>
    <w:rsid w:val="00603D0B"/>
    <w:pPr>
      <w:spacing w:before="360" w:after="120" w:line="240" w:lineRule="auto"/>
      <w:jc w:val="center"/>
    </w:pPr>
    <w:rPr>
      <w:rFonts w:ascii="Times New Roman" w:eastAsia="Times New Roman" w:hAnsi="Times New Roman" w:cs="Times New Roman"/>
      <w:i/>
      <w:iCs/>
      <w:sz w:val="24"/>
      <w:szCs w:val="24"/>
    </w:rPr>
  </w:style>
  <w:style w:type="paragraph" w:customStyle="1" w:styleId="ti-section-1">
    <w:name w:val="ti-section-1"/>
    <w:basedOn w:val="Normal"/>
    <w:rsid w:val="000A31C9"/>
    <w:pPr>
      <w:spacing w:before="480" w:after="0" w:line="240" w:lineRule="auto"/>
      <w:jc w:val="center"/>
    </w:pPr>
    <w:rPr>
      <w:rFonts w:ascii="Times New Roman" w:eastAsia="Times New Roman" w:hAnsi="Times New Roman" w:cs="Times New Roman"/>
      <w:b/>
      <w:bCs/>
      <w:sz w:val="24"/>
      <w:szCs w:val="24"/>
    </w:rPr>
  </w:style>
  <w:style w:type="character" w:customStyle="1" w:styleId="bold">
    <w:name w:val="bold"/>
    <w:rsid w:val="000A31C9"/>
    <w:rPr>
      <w:b/>
      <w:bCs/>
    </w:rPr>
  </w:style>
  <w:style w:type="paragraph" w:customStyle="1" w:styleId="CM44">
    <w:name w:val="CM4+4"/>
    <w:basedOn w:val="Normal"/>
    <w:next w:val="Normal"/>
    <w:uiPriority w:val="99"/>
    <w:rsid w:val="000A31C9"/>
    <w:pPr>
      <w:autoSpaceDE w:val="0"/>
      <w:autoSpaceDN w:val="0"/>
      <w:adjustRightInd w:val="0"/>
      <w:spacing w:after="0" w:line="240" w:lineRule="auto"/>
    </w:pPr>
    <w:rPr>
      <w:rFonts w:ascii="EUAlbertina" w:eastAsia="Calibri" w:hAnsi="EUAlbertina" w:cs="Times New Roman"/>
      <w:sz w:val="24"/>
      <w:szCs w:val="24"/>
    </w:rPr>
  </w:style>
  <w:style w:type="paragraph" w:customStyle="1" w:styleId="sti-art">
    <w:name w:val="sti-art"/>
    <w:basedOn w:val="Normal"/>
    <w:rsid w:val="002C1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C15C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5151C"/>
    <w:rPr>
      <w:sz w:val="16"/>
      <w:szCs w:val="16"/>
    </w:rPr>
  </w:style>
  <w:style w:type="paragraph" w:styleId="CommentText">
    <w:name w:val="annotation text"/>
    <w:basedOn w:val="Normal"/>
    <w:link w:val="CommentTextChar"/>
    <w:uiPriority w:val="99"/>
    <w:unhideWhenUsed/>
    <w:rsid w:val="0085151C"/>
    <w:pPr>
      <w:spacing w:line="240" w:lineRule="auto"/>
    </w:pPr>
    <w:rPr>
      <w:sz w:val="20"/>
      <w:szCs w:val="20"/>
    </w:rPr>
  </w:style>
  <w:style w:type="character" w:customStyle="1" w:styleId="CommentTextChar">
    <w:name w:val="Comment Text Char"/>
    <w:basedOn w:val="DefaultParagraphFont"/>
    <w:link w:val="CommentText"/>
    <w:uiPriority w:val="99"/>
    <w:rsid w:val="0085151C"/>
    <w:rPr>
      <w:sz w:val="20"/>
      <w:szCs w:val="20"/>
    </w:rPr>
  </w:style>
  <w:style w:type="paragraph" w:styleId="CommentSubject">
    <w:name w:val="annotation subject"/>
    <w:basedOn w:val="CommentText"/>
    <w:next w:val="CommentText"/>
    <w:link w:val="CommentSubjectChar"/>
    <w:uiPriority w:val="99"/>
    <w:semiHidden/>
    <w:unhideWhenUsed/>
    <w:rsid w:val="0085151C"/>
    <w:rPr>
      <w:b/>
      <w:bCs/>
    </w:rPr>
  </w:style>
  <w:style w:type="character" w:customStyle="1" w:styleId="CommentSubjectChar">
    <w:name w:val="Comment Subject Char"/>
    <w:basedOn w:val="CommentTextChar"/>
    <w:link w:val="CommentSubject"/>
    <w:uiPriority w:val="99"/>
    <w:semiHidden/>
    <w:rsid w:val="0085151C"/>
    <w:rPr>
      <w:b/>
      <w:bCs/>
      <w:sz w:val="20"/>
      <w:szCs w:val="20"/>
    </w:rPr>
  </w:style>
  <w:style w:type="paragraph" w:customStyle="1" w:styleId="Normal2">
    <w:name w:val="Normal2"/>
    <w:basedOn w:val="Normal"/>
    <w:rsid w:val="00DE3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93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D310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585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1F7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CA5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CA5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8011AD"/>
  </w:style>
  <w:style w:type="paragraph" w:styleId="Revision">
    <w:name w:val="Revision"/>
    <w:hidden/>
    <w:uiPriority w:val="99"/>
    <w:semiHidden/>
    <w:rsid w:val="008011AD"/>
    <w:pPr>
      <w:spacing w:after="0" w:line="240" w:lineRule="auto"/>
    </w:pPr>
  </w:style>
  <w:style w:type="paragraph" w:customStyle="1" w:styleId="List1">
    <w:name w:val="List1"/>
    <w:basedOn w:val="Normal"/>
    <w:rsid w:val="00972C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208B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208B8"/>
    <w:pPr>
      <w:autoSpaceDE w:val="0"/>
      <w:autoSpaceDN w:val="0"/>
      <w:spacing w:before="240" w:after="0" w:line="240" w:lineRule="auto"/>
      <w:ind w:firstLine="720"/>
      <w:jc w:val="both"/>
    </w:pPr>
    <w:rPr>
      <w:rFonts w:ascii="Times New Roman" w:eastAsia="Times New Roman" w:hAnsi="Times New Roman" w:cs="Times New Roman"/>
      <w:sz w:val="28"/>
      <w:szCs w:val="28"/>
      <w:lang w:val="ru-RU"/>
    </w:rPr>
  </w:style>
  <w:style w:type="character" w:customStyle="1" w:styleId="BodyTextIndentChar">
    <w:name w:val="Body Text Indent Char"/>
    <w:basedOn w:val="DefaultParagraphFont"/>
    <w:link w:val="BodyTextIndent"/>
    <w:rsid w:val="000208B8"/>
    <w:rPr>
      <w:rFonts w:ascii="Times New Roman" w:eastAsia="Times New Roman" w:hAnsi="Times New Roman" w:cs="Times New Roman"/>
      <w:sz w:val="28"/>
      <w:szCs w:val="28"/>
      <w:lang w:val="ru-RU"/>
    </w:rPr>
  </w:style>
  <w:style w:type="paragraph" w:styleId="BodyTextIndent2">
    <w:name w:val="Body Text Indent 2"/>
    <w:basedOn w:val="Normal"/>
    <w:link w:val="BodyTextIndent2Char"/>
    <w:rsid w:val="000208B8"/>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0208B8"/>
    <w:rPr>
      <w:rFonts w:ascii="Times New Roman" w:eastAsia="Times New Roman" w:hAnsi="Times New Roman" w:cs="Times New Roman"/>
      <w:sz w:val="24"/>
      <w:szCs w:val="24"/>
      <w:lang w:val="ru-RU" w:eastAsia="ru-RU"/>
    </w:rPr>
  </w:style>
  <w:style w:type="character" w:customStyle="1" w:styleId="FootnoteTextChar">
    <w:name w:val="Footnote Text Char"/>
    <w:basedOn w:val="DefaultParagraphFont"/>
    <w:link w:val="FootnoteText"/>
    <w:semiHidden/>
    <w:rsid w:val="000208B8"/>
    <w:rPr>
      <w:rFonts w:ascii="Times New Roman" w:eastAsia="Times New Roman" w:hAnsi="Times New Roman" w:cs="Times New Roman"/>
      <w:sz w:val="20"/>
      <w:szCs w:val="20"/>
      <w:lang w:val="ro-RO"/>
    </w:rPr>
  </w:style>
  <w:style w:type="paragraph" w:styleId="FootnoteText">
    <w:name w:val="footnote text"/>
    <w:basedOn w:val="Normal"/>
    <w:link w:val="FootnoteTextChar"/>
    <w:semiHidden/>
    <w:rsid w:val="000208B8"/>
    <w:pPr>
      <w:spacing w:after="0" w:line="240" w:lineRule="auto"/>
      <w:jc w:val="both"/>
    </w:pPr>
    <w:rPr>
      <w:rFonts w:ascii="Times New Roman" w:eastAsia="Times New Roman" w:hAnsi="Times New Roman" w:cs="Times New Roman"/>
      <w:sz w:val="20"/>
      <w:szCs w:val="20"/>
      <w:lang w:val="ro-RO"/>
    </w:rPr>
  </w:style>
  <w:style w:type="paragraph" w:styleId="BodyTextIndent3">
    <w:name w:val="Body Text Indent 3"/>
    <w:basedOn w:val="Normal"/>
    <w:link w:val="BodyTextIndent3Char"/>
    <w:rsid w:val="000208B8"/>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0208B8"/>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0208B8"/>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208B8"/>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0208B8"/>
  </w:style>
  <w:style w:type="paragraph" w:customStyle="1" w:styleId="cp">
    <w:name w:val="cp"/>
    <w:basedOn w:val="Normal"/>
    <w:rsid w:val="000208B8"/>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md">
    <w:name w:val="md"/>
    <w:basedOn w:val="Normal"/>
    <w:rsid w:val="000208B8"/>
    <w:pPr>
      <w:spacing w:after="0" w:line="240" w:lineRule="auto"/>
      <w:ind w:firstLine="567"/>
      <w:jc w:val="both"/>
    </w:pPr>
    <w:rPr>
      <w:rFonts w:ascii="Times New Roman" w:eastAsia="Times New Roman" w:hAnsi="Times New Roman" w:cs="Times New Roman"/>
      <w:i/>
      <w:iCs/>
      <w:color w:val="663300"/>
      <w:sz w:val="20"/>
      <w:szCs w:val="20"/>
      <w:lang w:val="ru-RU" w:eastAsia="ru-RU" w:bidi="or-IN"/>
    </w:rPr>
  </w:style>
  <w:style w:type="paragraph" w:styleId="BodyText3">
    <w:name w:val="Body Text 3"/>
    <w:basedOn w:val="Normal"/>
    <w:link w:val="BodyText3Char"/>
    <w:rsid w:val="000208B8"/>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0208B8"/>
    <w:rPr>
      <w:rFonts w:ascii="Times New Roman" w:eastAsia="Times New Roman" w:hAnsi="Times New Roman" w:cs="Times New Roman"/>
      <w:sz w:val="16"/>
      <w:szCs w:val="16"/>
      <w:lang w:val="ru-RU" w:eastAsia="ru-RU"/>
    </w:rPr>
  </w:style>
  <w:style w:type="character" w:styleId="Strong">
    <w:name w:val="Strong"/>
    <w:qFormat/>
    <w:rsid w:val="000208B8"/>
    <w:rPr>
      <w:b/>
      <w:bCs/>
    </w:rPr>
  </w:style>
  <w:style w:type="character" w:customStyle="1" w:styleId="a">
    <w:name w:val="a"/>
    <w:basedOn w:val="DefaultParagraphFont"/>
    <w:rsid w:val="000208B8"/>
  </w:style>
  <w:style w:type="paragraph" w:customStyle="1" w:styleId="cb">
    <w:name w:val="cb"/>
    <w:basedOn w:val="Normal"/>
    <w:rsid w:val="000208B8"/>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cn">
    <w:name w:val="cn"/>
    <w:basedOn w:val="Normal"/>
    <w:rsid w:val="000208B8"/>
    <w:pPr>
      <w:spacing w:after="0" w:line="240" w:lineRule="auto"/>
      <w:jc w:val="center"/>
    </w:pPr>
    <w:rPr>
      <w:rFonts w:ascii="Times New Roman" w:eastAsia="Times New Roman" w:hAnsi="Times New Roman" w:cs="Times New Roman"/>
      <w:sz w:val="24"/>
      <w:szCs w:val="24"/>
      <w:lang w:val="ru-RU" w:eastAsia="ru-RU" w:bidi="or-IN"/>
    </w:rPr>
  </w:style>
  <w:style w:type="paragraph" w:customStyle="1" w:styleId="a0">
    <w:name w:val="Знак"/>
    <w:basedOn w:val="Normal"/>
    <w:rsid w:val="000208B8"/>
    <w:pPr>
      <w:spacing w:line="240" w:lineRule="exact"/>
    </w:pPr>
    <w:rPr>
      <w:rFonts w:ascii="Arial" w:eastAsia="Batang" w:hAnsi="Arial" w:cs="Arial"/>
      <w:sz w:val="20"/>
      <w:szCs w:val="20"/>
    </w:rPr>
  </w:style>
  <w:style w:type="paragraph" w:styleId="BodyText">
    <w:name w:val="Body Text"/>
    <w:basedOn w:val="Normal"/>
    <w:link w:val="BodyTextChar"/>
    <w:rsid w:val="000208B8"/>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0208B8"/>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rsid w:val="0002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bidi="or-IN"/>
    </w:rPr>
  </w:style>
  <w:style w:type="character" w:customStyle="1" w:styleId="HTMLPreformattedChar">
    <w:name w:val="HTML Preformatted Char"/>
    <w:basedOn w:val="DefaultParagraphFont"/>
    <w:link w:val="HTMLPreformatted"/>
    <w:rsid w:val="000208B8"/>
    <w:rPr>
      <w:rFonts w:ascii="Courier New" w:eastAsia="Times New Roman" w:hAnsi="Courier New" w:cs="Courier New"/>
      <w:sz w:val="20"/>
      <w:szCs w:val="20"/>
      <w:lang w:val="ru-RU" w:eastAsia="ru-RU" w:bidi="or-IN"/>
    </w:rPr>
  </w:style>
  <w:style w:type="character" w:styleId="PageNumber">
    <w:name w:val="page number"/>
    <w:basedOn w:val="DefaultParagraphFont"/>
    <w:rsid w:val="000208B8"/>
  </w:style>
  <w:style w:type="paragraph" w:customStyle="1" w:styleId="a1">
    <w:name w:val="Знак Знак"/>
    <w:basedOn w:val="Normal"/>
    <w:next w:val="Normal"/>
    <w:rsid w:val="000208B8"/>
    <w:pPr>
      <w:spacing w:line="240" w:lineRule="exact"/>
    </w:pPr>
    <w:rPr>
      <w:rFonts w:ascii="Tahoma" w:eastAsia="Times New Roman" w:hAnsi="Tahoma" w:cs="Times New Roman"/>
      <w:sz w:val="24"/>
      <w:szCs w:val="20"/>
    </w:rPr>
  </w:style>
  <w:style w:type="paragraph" w:customStyle="1" w:styleId="CM3">
    <w:name w:val="CM3"/>
    <w:basedOn w:val="Normal"/>
    <w:next w:val="Normal"/>
    <w:uiPriority w:val="99"/>
    <w:rsid w:val="000208B8"/>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0208B8"/>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0208B8"/>
    <w:pPr>
      <w:spacing w:line="240" w:lineRule="exact"/>
    </w:pPr>
    <w:rPr>
      <w:rFonts w:ascii="Tahoma" w:eastAsia="Times New Roman" w:hAnsi="Tahoma" w:cs="Times New Roman"/>
      <w:sz w:val="24"/>
      <w:szCs w:val="20"/>
    </w:rPr>
  </w:style>
  <w:style w:type="paragraph" w:customStyle="1" w:styleId="js">
    <w:name w:val="js"/>
    <w:basedOn w:val="Normal"/>
    <w:rsid w:val="000208B8"/>
    <w:pPr>
      <w:spacing w:after="0" w:line="240" w:lineRule="auto"/>
      <w:jc w:val="both"/>
    </w:pPr>
    <w:rPr>
      <w:rFonts w:ascii="Times New Roman" w:eastAsia="Times New Roman" w:hAnsi="Times New Roman" w:cs="Times New Roman"/>
      <w:sz w:val="24"/>
      <w:szCs w:val="24"/>
      <w:lang w:val="ru-RU" w:eastAsia="ru-RU" w:bidi="or-IN"/>
    </w:rPr>
  </w:style>
  <w:style w:type="character" w:customStyle="1" w:styleId="ln2talineat">
    <w:name w:val="ln2talineat"/>
    <w:rsid w:val="000208B8"/>
    <w:rPr>
      <w:rFonts w:cs="Times New Roman"/>
    </w:rPr>
  </w:style>
  <w:style w:type="character" w:customStyle="1" w:styleId="actcpt">
    <w:name w:val="act_cpt"/>
    <w:rsid w:val="000208B8"/>
    <w:rPr>
      <w:rFonts w:cs="Times New Roman"/>
    </w:rPr>
  </w:style>
  <w:style w:type="character" w:customStyle="1" w:styleId="acttart">
    <w:name w:val="act_tart"/>
    <w:rsid w:val="000208B8"/>
    <w:rPr>
      <w:rFonts w:cs="Times New Roman"/>
    </w:rPr>
  </w:style>
  <w:style w:type="character" w:customStyle="1" w:styleId="acttsct">
    <w:name w:val="act_tsct"/>
    <w:rsid w:val="000208B8"/>
    <w:rPr>
      <w:rFonts w:cs="Times New Roman"/>
    </w:rPr>
  </w:style>
  <w:style w:type="character" w:customStyle="1" w:styleId="acttalineat">
    <w:name w:val="act_talineat"/>
    <w:rsid w:val="000208B8"/>
    <w:rPr>
      <w:rFonts w:cs="Times New Roman"/>
    </w:rPr>
  </w:style>
  <w:style w:type="character" w:customStyle="1" w:styleId="actsct">
    <w:name w:val="act_sct"/>
    <w:rsid w:val="000208B8"/>
    <w:rPr>
      <w:rFonts w:cs="Times New Roman"/>
    </w:rPr>
  </w:style>
  <w:style w:type="character" w:customStyle="1" w:styleId="ln2tarticol">
    <w:name w:val="ln2tarticol"/>
    <w:rsid w:val="000208B8"/>
    <w:rPr>
      <w:rFonts w:cs="Times New Roman"/>
    </w:rPr>
  </w:style>
  <w:style w:type="character" w:customStyle="1" w:styleId="acttpunct">
    <w:name w:val="act_tpunct"/>
    <w:rsid w:val="000208B8"/>
    <w:rPr>
      <w:rFonts w:cs="Times New Roman"/>
    </w:rPr>
  </w:style>
  <w:style w:type="character" w:customStyle="1" w:styleId="ln2articol">
    <w:name w:val="ln2articol"/>
    <w:rsid w:val="000208B8"/>
    <w:rPr>
      <w:rFonts w:cs="Times New Roman"/>
    </w:rPr>
  </w:style>
  <w:style w:type="character" w:customStyle="1" w:styleId="ln2tlitera">
    <w:name w:val="ln2tlitera"/>
    <w:rsid w:val="000208B8"/>
    <w:rPr>
      <w:rFonts w:cs="Times New Roman"/>
    </w:rPr>
  </w:style>
  <w:style w:type="character" w:customStyle="1" w:styleId="ln2alineat">
    <w:name w:val="ln2alineat"/>
    <w:rsid w:val="000208B8"/>
    <w:rPr>
      <w:rFonts w:cs="Times New Roman"/>
    </w:rPr>
  </w:style>
  <w:style w:type="character" w:customStyle="1" w:styleId="actart">
    <w:name w:val="act_art"/>
    <w:rsid w:val="000208B8"/>
    <w:rPr>
      <w:rFonts w:cs="Times New Roman"/>
    </w:rPr>
  </w:style>
  <w:style w:type="character" w:customStyle="1" w:styleId="ln2litera">
    <w:name w:val="ln2litera"/>
    <w:rsid w:val="000208B8"/>
    <w:rPr>
      <w:rFonts w:cs="Times New Roman"/>
    </w:rPr>
  </w:style>
  <w:style w:type="character" w:customStyle="1" w:styleId="hps">
    <w:name w:val="hps"/>
    <w:rsid w:val="000208B8"/>
    <w:rPr>
      <w:rFonts w:cs="Times New Roman"/>
    </w:rPr>
  </w:style>
  <w:style w:type="paragraph" w:customStyle="1" w:styleId="title-division-12">
    <w:name w:val="title-division-12"/>
    <w:basedOn w:val="Normal"/>
    <w:rsid w:val="000208B8"/>
    <w:pPr>
      <w:spacing w:after="120" w:line="312" w:lineRule="atLeast"/>
      <w:jc w:val="center"/>
    </w:pPr>
    <w:rPr>
      <w:rFonts w:ascii="Times New Roman" w:eastAsia="Times New Roman" w:hAnsi="Times New Roman" w:cs="Times New Roman"/>
      <w:sz w:val="24"/>
      <w:szCs w:val="24"/>
    </w:rPr>
  </w:style>
  <w:style w:type="paragraph" w:customStyle="1" w:styleId="title-division-22">
    <w:name w:val="title-division-22"/>
    <w:basedOn w:val="Normal"/>
    <w:rsid w:val="000208B8"/>
    <w:pPr>
      <w:spacing w:after="120" w:line="312" w:lineRule="atLeast"/>
      <w:jc w:val="center"/>
    </w:pPr>
    <w:rPr>
      <w:rFonts w:ascii="Times New Roman" w:eastAsia="Times New Roman" w:hAnsi="Times New Roman" w:cs="Times New Roman"/>
      <w:b/>
      <w:bCs/>
      <w:sz w:val="24"/>
      <w:szCs w:val="24"/>
    </w:rPr>
  </w:style>
  <w:style w:type="paragraph" w:customStyle="1" w:styleId="CM42">
    <w:name w:val="CM4+2"/>
    <w:basedOn w:val="Default"/>
    <w:next w:val="Default"/>
    <w:uiPriority w:val="99"/>
    <w:rsid w:val="000208B8"/>
    <w:rPr>
      <w:rFonts w:eastAsiaTheme="minorHAnsi" w:cstheme="minorBidi"/>
      <w:color w:val="auto"/>
    </w:rPr>
  </w:style>
  <w:style w:type="paragraph" w:customStyle="1" w:styleId="Style49">
    <w:name w:val="Style49"/>
    <w:basedOn w:val="Normal"/>
    <w:uiPriority w:val="99"/>
    <w:rsid w:val="000208B8"/>
    <w:pPr>
      <w:widowControl w:val="0"/>
      <w:autoSpaceDE w:val="0"/>
      <w:autoSpaceDN w:val="0"/>
      <w:adjustRightInd w:val="0"/>
      <w:spacing w:after="0" w:line="213" w:lineRule="exact"/>
      <w:ind w:hanging="274"/>
      <w:jc w:val="both"/>
    </w:pPr>
    <w:rPr>
      <w:rFonts w:ascii="Book Antiqua" w:eastAsiaTheme="minorEastAsia" w:hAnsi="Book Antiqua"/>
      <w:sz w:val="24"/>
      <w:szCs w:val="24"/>
    </w:rPr>
  </w:style>
  <w:style w:type="character" w:customStyle="1" w:styleId="FontStyle164">
    <w:name w:val="Font Style164"/>
    <w:basedOn w:val="DefaultParagraphFont"/>
    <w:uiPriority w:val="99"/>
    <w:rsid w:val="000208B8"/>
    <w:rPr>
      <w:rFonts w:ascii="Book Antiqua" w:hAnsi="Book Antiqua" w:cs="Book Antiqua"/>
      <w:color w:val="000000"/>
      <w:sz w:val="16"/>
      <w:szCs w:val="16"/>
    </w:rPr>
  </w:style>
  <w:style w:type="paragraph" w:customStyle="1" w:styleId="Style5">
    <w:name w:val="Style5"/>
    <w:basedOn w:val="Normal"/>
    <w:uiPriority w:val="99"/>
    <w:rsid w:val="000208B8"/>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32">
    <w:name w:val="Style32"/>
    <w:basedOn w:val="Normal"/>
    <w:uiPriority w:val="99"/>
    <w:rsid w:val="000208B8"/>
    <w:pPr>
      <w:widowControl w:val="0"/>
      <w:autoSpaceDE w:val="0"/>
      <w:autoSpaceDN w:val="0"/>
      <w:adjustRightInd w:val="0"/>
      <w:spacing w:after="0" w:line="216" w:lineRule="exact"/>
      <w:jc w:val="both"/>
    </w:pPr>
    <w:rPr>
      <w:rFonts w:ascii="Book Antiqua" w:eastAsiaTheme="minorEastAsia" w:hAnsi="Book Antiqua"/>
      <w:sz w:val="24"/>
      <w:szCs w:val="24"/>
    </w:rPr>
  </w:style>
  <w:style w:type="character" w:customStyle="1" w:styleId="FontStyle158">
    <w:name w:val="Font Style158"/>
    <w:basedOn w:val="DefaultParagraphFont"/>
    <w:uiPriority w:val="99"/>
    <w:rsid w:val="000208B8"/>
    <w:rPr>
      <w:rFonts w:ascii="Book Antiqua" w:hAnsi="Book Antiqua" w:cs="Book Antiqua"/>
      <w:b/>
      <w:bCs/>
      <w:color w:val="000000"/>
      <w:sz w:val="16"/>
      <w:szCs w:val="16"/>
    </w:rPr>
  </w:style>
  <w:style w:type="character" w:customStyle="1" w:styleId="FontStyle163">
    <w:name w:val="Font Style163"/>
    <w:basedOn w:val="DefaultParagraphFont"/>
    <w:uiPriority w:val="99"/>
    <w:rsid w:val="000208B8"/>
    <w:rPr>
      <w:rFonts w:ascii="Book Antiqua" w:hAnsi="Book Antiqua" w:cs="Book Antiqua"/>
      <w:i/>
      <w:iCs/>
      <w:color w:val="000000"/>
      <w:sz w:val="16"/>
      <w:szCs w:val="16"/>
    </w:rPr>
  </w:style>
  <w:style w:type="character" w:customStyle="1" w:styleId="subscript">
    <w:name w:val="subscript"/>
    <w:basedOn w:val="DefaultParagraphFont"/>
    <w:rsid w:val="000208B8"/>
  </w:style>
  <w:style w:type="character" w:customStyle="1" w:styleId="apple-converted-space">
    <w:name w:val="apple-converted-space"/>
    <w:basedOn w:val="DefaultParagraphFont"/>
    <w:rsid w:val="000208B8"/>
  </w:style>
  <w:style w:type="paragraph" w:customStyle="1" w:styleId="Style44">
    <w:name w:val="Style44"/>
    <w:basedOn w:val="Normal"/>
    <w:uiPriority w:val="99"/>
    <w:rsid w:val="000208B8"/>
    <w:pPr>
      <w:widowControl w:val="0"/>
      <w:autoSpaceDE w:val="0"/>
      <w:autoSpaceDN w:val="0"/>
      <w:adjustRightInd w:val="0"/>
      <w:spacing w:after="0" w:line="168" w:lineRule="exact"/>
      <w:jc w:val="center"/>
    </w:pPr>
    <w:rPr>
      <w:rFonts w:ascii="Book Antiqua" w:eastAsiaTheme="minorEastAsia" w:hAnsi="Book Antiqua"/>
      <w:sz w:val="24"/>
      <w:szCs w:val="24"/>
    </w:rPr>
  </w:style>
  <w:style w:type="paragraph" w:customStyle="1" w:styleId="Style58">
    <w:name w:val="Style58"/>
    <w:basedOn w:val="Normal"/>
    <w:uiPriority w:val="99"/>
    <w:rsid w:val="000208B8"/>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82">
    <w:name w:val="Style82"/>
    <w:basedOn w:val="Normal"/>
    <w:uiPriority w:val="99"/>
    <w:rsid w:val="000208B8"/>
    <w:pPr>
      <w:widowControl w:val="0"/>
      <w:autoSpaceDE w:val="0"/>
      <w:autoSpaceDN w:val="0"/>
      <w:adjustRightInd w:val="0"/>
      <w:spacing w:after="0" w:line="192" w:lineRule="exact"/>
      <w:jc w:val="both"/>
    </w:pPr>
    <w:rPr>
      <w:rFonts w:ascii="Book Antiqua" w:eastAsiaTheme="minorEastAsia" w:hAnsi="Book Antiqua"/>
      <w:sz w:val="24"/>
      <w:szCs w:val="24"/>
    </w:rPr>
  </w:style>
  <w:style w:type="character" w:customStyle="1" w:styleId="FontStyle159">
    <w:name w:val="Font Style159"/>
    <w:basedOn w:val="DefaultParagraphFont"/>
    <w:uiPriority w:val="99"/>
    <w:rsid w:val="000208B8"/>
    <w:rPr>
      <w:rFonts w:ascii="Book Antiqua" w:hAnsi="Book Antiqua" w:cs="Book Antiqua"/>
      <w:color w:val="000000"/>
      <w:sz w:val="14"/>
      <w:szCs w:val="14"/>
    </w:rPr>
  </w:style>
  <w:style w:type="character" w:customStyle="1" w:styleId="FontStyle169">
    <w:name w:val="Font Style169"/>
    <w:basedOn w:val="DefaultParagraphFont"/>
    <w:uiPriority w:val="99"/>
    <w:rsid w:val="000208B8"/>
    <w:rPr>
      <w:rFonts w:ascii="Book Antiqua" w:hAnsi="Book Antiqua" w:cs="Book Antiqua"/>
      <w:color w:val="000000"/>
      <w:sz w:val="12"/>
      <w:szCs w:val="12"/>
    </w:rPr>
  </w:style>
  <w:style w:type="paragraph" w:customStyle="1" w:styleId="Style69">
    <w:name w:val="Style69"/>
    <w:basedOn w:val="Normal"/>
    <w:uiPriority w:val="99"/>
    <w:rsid w:val="000208B8"/>
    <w:pPr>
      <w:widowControl w:val="0"/>
      <w:autoSpaceDE w:val="0"/>
      <w:autoSpaceDN w:val="0"/>
      <w:adjustRightInd w:val="0"/>
      <w:spacing w:after="0" w:line="192" w:lineRule="exact"/>
    </w:pPr>
    <w:rPr>
      <w:rFonts w:ascii="Book Antiqua" w:eastAsiaTheme="minorEastAsia" w:hAnsi="Book Antiqua"/>
      <w:sz w:val="24"/>
      <w:szCs w:val="24"/>
    </w:rPr>
  </w:style>
  <w:style w:type="paragraph" w:customStyle="1" w:styleId="Style95">
    <w:name w:val="Style95"/>
    <w:basedOn w:val="Normal"/>
    <w:uiPriority w:val="99"/>
    <w:rsid w:val="000208B8"/>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Style92">
    <w:name w:val="Style92"/>
    <w:basedOn w:val="Normal"/>
    <w:uiPriority w:val="99"/>
    <w:rsid w:val="000208B8"/>
    <w:pPr>
      <w:widowControl w:val="0"/>
      <w:autoSpaceDE w:val="0"/>
      <w:autoSpaceDN w:val="0"/>
      <w:adjustRightInd w:val="0"/>
      <w:spacing w:after="0" w:line="170" w:lineRule="exact"/>
      <w:ind w:firstLine="106"/>
    </w:pPr>
    <w:rPr>
      <w:rFonts w:ascii="Book Antiqua" w:eastAsiaTheme="minorEastAsia" w:hAnsi="Book Antiqua"/>
      <w:sz w:val="24"/>
      <w:szCs w:val="24"/>
    </w:rPr>
  </w:style>
  <w:style w:type="paragraph" w:customStyle="1" w:styleId="Style99">
    <w:name w:val="Style99"/>
    <w:basedOn w:val="Normal"/>
    <w:uiPriority w:val="99"/>
    <w:rsid w:val="000208B8"/>
    <w:pPr>
      <w:widowControl w:val="0"/>
      <w:autoSpaceDE w:val="0"/>
      <w:autoSpaceDN w:val="0"/>
      <w:adjustRightInd w:val="0"/>
      <w:spacing w:after="0" w:line="170" w:lineRule="exact"/>
      <w:jc w:val="right"/>
    </w:pPr>
    <w:rPr>
      <w:rFonts w:ascii="Book Antiqua" w:eastAsiaTheme="minorEastAsia" w:hAnsi="Book Antiqua"/>
      <w:sz w:val="24"/>
      <w:szCs w:val="24"/>
    </w:rPr>
  </w:style>
  <w:style w:type="character" w:customStyle="1" w:styleId="italics">
    <w:name w:val="italics"/>
    <w:basedOn w:val="DefaultParagraphFont"/>
    <w:rsid w:val="000208B8"/>
  </w:style>
  <w:style w:type="paragraph" w:customStyle="1" w:styleId="Style79">
    <w:name w:val="Style79"/>
    <w:basedOn w:val="Normal"/>
    <w:uiPriority w:val="99"/>
    <w:rsid w:val="000208B8"/>
    <w:pPr>
      <w:widowControl w:val="0"/>
      <w:autoSpaceDE w:val="0"/>
      <w:autoSpaceDN w:val="0"/>
      <w:adjustRightInd w:val="0"/>
      <w:spacing w:after="0" w:line="170" w:lineRule="exact"/>
      <w:ind w:firstLine="48"/>
    </w:pPr>
    <w:rPr>
      <w:rFonts w:ascii="Book Antiqua" w:eastAsiaTheme="minorEastAsia" w:hAnsi="Book Antiqua" w:cs="Times New Roman"/>
      <w:sz w:val="24"/>
      <w:szCs w:val="24"/>
    </w:rPr>
  </w:style>
  <w:style w:type="character" w:customStyle="1" w:styleId="FontStyle161">
    <w:name w:val="Font Style161"/>
    <w:basedOn w:val="DefaultParagraphFont"/>
    <w:uiPriority w:val="99"/>
    <w:rsid w:val="000208B8"/>
    <w:rPr>
      <w:rFonts w:ascii="Book Antiqua" w:hAnsi="Book Antiqua" w:cs="Book Antiqua" w:hint="default"/>
      <w:i/>
      <w:iCs/>
      <w:color w:val="000000"/>
      <w:sz w:val="14"/>
      <w:szCs w:val="14"/>
    </w:rPr>
  </w:style>
  <w:style w:type="paragraph" w:customStyle="1" w:styleId="Style119">
    <w:name w:val="Style119"/>
    <w:basedOn w:val="Normal"/>
    <w:uiPriority w:val="99"/>
    <w:rsid w:val="000208B8"/>
    <w:pPr>
      <w:widowControl w:val="0"/>
      <w:autoSpaceDE w:val="0"/>
      <w:autoSpaceDN w:val="0"/>
      <w:adjustRightInd w:val="0"/>
      <w:spacing w:after="0" w:line="240" w:lineRule="auto"/>
    </w:pPr>
    <w:rPr>
      <w:rFonts w:ascii="Book Antiqua" w:eastAsiaTheme="minorEastAsia" w:hAnsi="Book Antiqua" w:cs="Times New Roman"/>
      <w:sz w:val="24"/>
      <w:szCs w:val="24"/>
    </w:rPr>
  </w:style>
  <w:style w:type="paragraph" w:customStyle="1" w:styleId="CM14">
    <w:name w:val="CM1+4"/>
    <w:basedOn w:val="Default"/>
    <w:next w:val="Default"/>
    <w:uiPriority w:val="99"/>
    <w:rsid w:val="000208B8"/>
    <w:rPr>
      <w:rFonts w:eastAsiaTheme="minorHAnsi" w:cstheme="minorBidi"/>
      <w:color w:val="auto"/>
    </w:rPr>
  </w:style>
  <w:style w:type="paragraph" w:customStyle="1" w:styleId="Style125">
    <w:name w:val="Style125"/>
    <w:basedOn w:val="Normal"/>
    <w:uiPriority w:val="99"/>
    <w:rsid w:val="000208B8"/>
    <w:pPr>
      <w:widowControl w:val="0"/>
      <w:autoSpaceDE w:val="0"/>
      <w:autoSpaceDN w:val="0"/>
      <w:adjustRightInd w:val="0"/>
      <w:spacing w:after="0" w:line="240" w:lineRule="auto"/>
    </w:pPr>
    <w:rPr>
      <w:rFonts w:ascii="Book Antiqua" w:eastAsiaTheme="minorEastAsia" w:hAnsi="Book Antiqua" w:cs="Times New Roman"/>
      <w:sz w:val="24"/>
      <w:szCs w:val="24"/>
    </w:rPr>
  </w:style>
  <w:style w:type="character" w:customStyle="1" w:styleId="FontStyle187">
    <w:name w:val="Font Style187"/>
    <w:basedOn w:val="DefaultParagraphFont"/>
    <w:uiPriority w:val="99"/>
    <w:rsid w:val="000208B8"/>
    <w:rPr>
      <w:rFonts w:ascii="Book Antiqua" w:hAnsi="Book Antiqua" w:cs="Book Antiqua"/>
      <w:color w:val="000000"/>
      <w:sz w:val="14"/>
      <w:szCs w:val="14"/>
    </w:rPr>
  </w:style>
  <w:style w:type="paragraph" w:customStyle="1" w:styleId="CM45">
    <w:name w:val="CM4+5"/>
    <w:basedOn w:val="Default"/>
    <w:next w:val="Default"/>
    <w:uiPriority w:val="99"/>
    <w:rsid w:val="000208B8"/>
    <w:rPr>
      <w:rFonts w:eastAsiaTheme="minorHAnsi" w:cstheme="minorBidi"/>
      <w:color w:val="auto"/>
    </w:rPr>
  </w:style>
  <w:style w:type="paragraph" w:customStyle="1" w:styleId="CM15">
    <w:name w:val="CM1+5"/>
    <w:basedOn w:val="Default"/>
    <w:next w:val="Default"/>
    <w:uiPriority w:val="99"/>
    <w:rsid w:val="000208B8"/>
    <w:rPr>
      <w:rFonts w:eastAsiaTheme="minorHAnsi" w:cstheme="minorBidi"/>
      <w:color w:val="auto"/>
    </w:rPr>
  </w:style>
  <w:style w:type="paragraph" w:customStyle="1" w:styleId="Style75">
    <w:name w:val="Style75"/>
    <w:basedOn w:val="Normal"/>
    <w:uiPriority w:val="99"/>
    <w:rsid w:val="000208B8"/>
    <w:pPr>
      <w:widowControl w:val="0"/>
      <w:autoSpaceDE w:val="0"/>
      <w:autoSpaceDN w:val="0"/>
      <w:adjustRightInd w:val="0"/>
      <w:spacing w:after="0" w:line="341" w:lineRule="exact"/>
      <w:jc w:val="center"/>
    </w:pPr>
    <w:rPr>
      <w:rFonts w:ascii="Book Antiqua" w:eastAsiaTheme="minorEastAsia" w:hAnsi="Book Antiqua"/>
      <w:sz w:val="24"/>
      <w:szCs w:val="24"/>
    </w:rPr>
  </w:style>
  <w:style w:type="paragraph" w:customStyle="1" w:styleId="Style78">
    <w:name w:val="Style78"/>
    <w:basedOn w:val="Normal"/>
    <w:uiPriority w:val="99"/>
    <w:rsid w:val="000208B8"/>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footnote-spec">
    <w:name w:val="footnote-spec"/>
    <w:basedOn w:val="Normal"/>
    <w:rsid w:val="000208B8"/>
    <w:pPr>
      <w:spacing w:before="60" w:after="0" w:line="240" w:lineRule="auto"/>
      <w:jc w:val="both"/>
    </w:pPr>
    <w:rPr>
      <w:rFonts w:ascii="Times New Roman" w:eastAsia="Times New Roman" w:hAnsi="Times New Roman" w:cs="Times New Roman"/>
      <w:sz w:val="24"/>
      <w:szCs w:val="24"/>
    </w:rPr>
  </w:style>
  <w:style w:type="paragraph" w:customStyle="1" w:styleId="title-division-1">
    <w:name w:val="title-division-1"/>
    <w:basedOn w:val="Normal"/>
    <w:rsid w:val="000208B8"/>
    <w:pPr>
      <w:spacing w:after="120" w:line="240" w:lineRule="auto"/>
      <w:jc w:val="center"/>
    </w:pPr>
    <w:rPr>
      <w:rFonts w:ascii="Times New Roman" w:eastAsia="Times New Roman" w:hAnsi="Times New Roman" w:cs="Times New Roman"/>
      <w:sz w:val="24"/>
      <w:szCs w:val="24"/>
    </w:rPr>
  </w:style>
  <w:style w:type="paragraph" w:customStyle="1" w:styleId="title-division-2">
    <w:name w:val="title-division-2"/>
    <w:basedOn w:val="Normal"/>
    <w:rsid w:val="000208B8"/>
    <w:pPr>
      <w:spacing w:after="120" w:line="240" w:lineRule="auto"/>
      <w:jc w:val="center"/>
    </w:pPr>
    <w:rPr>
      <w:rFonts w:ascii="Times New Roman" w:eastAsia="Times New Roman" w:hAnsi="Times New Roman" w:cs="Times New Roman"/>
      <w:b/>
      <w:bCs/>
      <w:sz w:val="24"/>
      <w:szCs w:val="24"/>
    </w:rPr>
  </w:style>
  <w:style w:type="paragraph" w:styleId="PlainText">
    <w:name w:val="Plain Text"/>
    <w:basedOn w:val="Normal"/>
    <w:link w:val="PlainTextChar"/>
    <w:rsid w:val="000208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208B8"/>
    <w:rPr>
      <w:rFonts w:ascii="Courier New" w:eastAsia="Times New Roman" w:hAnsi="Courier New" w:cs="Courier New"/>
      <w:sz w:val="20"/>
      <w:szCs w:val="20"/>
    </w:rPr>
  </w:style>
  <w:style w:type="paragraph" w:customStyle="1" w:styleId="title-doc-first">
    <w:name w:val="title-doc-first"/>
    <w:basedOn w:val="Normal"/>
    <w:rsid w:val="000208B8"/>
    <w:pPr>
      <w:spacing w:before="120" w:after="0" w:line="240" w:lineRule="auto"/>
      <w:jc w:val="center"/>
    </w:pPr>
    <w:rPr>
      <w:rFonts w:ascii="Times New Roman" w:eastAsia="Times New Roman" w:hAnsi="Times New Roman" w:cs="Times New Roman"/>
      <w:b/>
      <w:bCs/>
      <w:sz w:val="24"/>
      <w:szCs w:val="24"/>
    </w:rPr>
  </w:style>
  <w:style w:type="paragraph" w:customStyle="1" w:styleId="toc-1">
    <w:name w:val="toc-1"/>
    <w:basedOn w:val="Normal"/>
    <w:rsid w:val="00020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Normal"/>
    <w:rsid w:val="000208B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l-norm">
    <w:name w:val="tbl-norm"/>
    <w:basedOn w:val="Normal"/>
    <w:rsid w:val="000208B8"/>
    <w:pPr>
      <w:spacing w:before="60" w:after="60" w:line="240" w:lineRule="auto"/>
      <w:jc w:val="both"/>
    </w:pPr>
    <w:rPr>
      <w:rFonts w:ascii="Times New Roman" w:eastAsia="Times New Roman" w:hAnsi="Times New Roman" w:cs="Times New Roman"/>
      <w:sz w:val="24"/>
      <w:szCs w:val="24"/>
    </w:rPr>
  </w:style>
  <w:style w:type="paragraph" w:customStyle="1" w:styleId="title-table">
    <w:name w:val="title-table"/>
    <w:basedOn w:val="Normal"/>
    <w:rsid w:val="000208B8"/>
    <w:pPr>
      <w:spacing w:after="120" w:line="240" w:lineRule="auto"/>
      <w:jc w:val="center"/>
    </w:pPr>
    <w:rPr>
      <w:rFonts w:ascii="Times New Roman" w:eastAsia="Times New Roman" w:hAnsi="Times New Roman" w:cs="Times New Roman"/>
      <w:b/>
      <w:bCs/>
      <w:sz w:val="24"/>
      <w:szCs w:val="24"/>
    </w:rPr>
  </w:style>
  <w:style w:type="paragraph" w:customStyle="1" w:styleId="msonormal0">
    <w:name w:val="msonormal"/>
    <w:basedOn w:val="Normal"/>
    <w:rsid w:val="00020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2">
    <w:name w:val="doc-ti2"/>
    <w:basedOn w:val="Normal"/>
    <w:rsid w:val="000208B8"/>
    <w:pPr>
      <w:spacing w:before="240" w:after="120" w:line="312" w:lineRule="atLeast"/>
      <w:jc w:val="center"/>
    </w:pPr>
    <w:rPr>
      <w:rFonts w:ascii="Times New Roman" w:eastAsia="Times New Roman" w:hAnsi="Times New Roman" w:cs="Times New Roman"/>
      <w:b/>
      <w:bCs/>
      <w:sz w:val="24"/>
      <w:szCs w:val="24"/>
    </w:rPr>
  </w:style>
  <w:style w:type="paragraph" w:customStyle="1" w:styleId="norm3">
    <w:name w:val="norm3"/>
    <w:basedOn w:val="Normal"/>
    <w:rsid w:val="00977E5E"/>
    <w:pPr>
      <w:spacing w:before="120" w:after="0" w:line="312" w:lineRule="atLeast"/>
      <w:jc w:val="both"/>
    </w:pPr>
    <w:rPr>
      <w:rFonts w:ascii="Times New Roman" w:eastAsia="Times New Roman" w:hAnsi="Times New Roman" w:cs="Times New Roman"/>
      <w:sz w:val="24"/>
      <w:szCs w:val="24"/>
    </w:rPr>
  </w:style>
  <w:style w:type="character" w:styleId="FootnoteReference">
    <w:name w:val="footnote reference"/>
    <w:semiHidden/>
    <w:rsid w:val="004651F6"/>
    <w:rPr>
      <w:vertAlign w:val="superscript"/>
    </w:rPr>
  </w:style>
  <w:style w:type="paragraph" w:customStyle="1" w:styleId="CM11">
    <w:name w:val="CM1+1"/>
    <w:basedOn w:val="Default"/>
    <w:next w:val="Default"/>
    <w:uiPriority w:val="99"/>
    <w:rsid w:val="0040020C"/>
    <w:rPr>
      <w:rFonts w:ascii="Times New Roman" w:eastAsiaTheme="minorHAnsi" w:hAnsi="Times New Roman" w:cs="Times New Roman"/>
      <w:color w:val="auto"/>
    </w:rPr>
  </w:style>
  <w:style w:type="paragraph" w:customStyle="1" w:styleId="CM31">
    <w:name w:val="CM3+1"/>
    <w:basedOn w:val="Default"/>
    <w:next w:val="Default"/>
    <w:uiPriority w:val="99"/>
    <w:rsid w:val="0040020C"/>
    <w:rPr>
      <w:rFonts w:ascii="Times New Roman" w:eastAsiaTheme="minorHAnsi" w:hAnsi="Times New Roman" w:cs="Times New Roman"/>
      <w:color w:val="auto"/>
    </w:rPr>
  </w:style>
  <w:style w:type="paragraph" w:customStyle="1" w:styleId="CM41">
    <w:name w:val="CM4+1"/>
    <w:basedOn w:val="Default"/>
    <w:next w:val="Default"/>
    <w:uiPriority w:val="99"/>
    <w:rsid w:val="0040020C"/>
    <w:rPr>
      <w:rFonts w:ascii="Times New Roman" w:eastAsiaTheme="minorHAnsi" w:hAnsi="Times New Roman" w:cs="Times New Roman"/>
      <w:color w:val="auto"/>
    </w:rPr>
  </w:style>
  <w:style w:type="numbering" w:customStyle="1" w:styleId="NoList1">
    <w:name w:val="No List1"/>
    <w:next w:val="NoList"/>
    <w:uiPriority w:val="99"/>
    <w:semiHidden/>
    <w:unhideWhenUsed/>
    <w:rsid w:val="0040020C"/>
  </w:style>
  <w:style w:type="table" w:customStyle="1" w:styleId="TableGrid1">
    <w:name w:val="Table Grid1"/>
    <w:basedOn w:val="TableNormal"/>
    <w:next w:val="TableGrid"/>
    <w:rsid w:val="0040020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0">
    <w:name w:val="CM1_1"/>
    <w:basedOn w:val="Default"/>
    <w:next w:val="Default"/>
    <w:uiPriority w:val="99"/>
    <w:rsid w:val="0040020C"/>
    <w:rPr>
      <w:rFonts w:ascii="Times New Roman" w:eastAsiaTheme="minorHAnsi" w:hAnsi="Times New Roman" w:cs="Times New Roman"/>
      <w:color w:val="auto"/>
    </w:rPr>
  </w:style>
  <w:style w:type="paragraph" w:customStyle="1" w:styleId="CM12">
    <w:name w:val="CM1+2"/>
    <w:basedOn w:val="Default"/>
    <w:next w:val="Default"/>
    <w:uiPriority w:val="99"/>
    <w:rsid w:val="0040020C"/>
    <w:rPr>
      <w:rFonts w:ascii="Times New Roman" w:eastAsiaTheme="minorHAnsi" w:hAnsi="Times New Roman" w:cs="Times New Roman"/>
      <w:color w:val="auto"/>
    </w:rPr>
  </w:style>
  <w:style w:type="paragraph" w:customStyle="1" w:styleId="CM32">
    <w:name w:val="CM3+2"/>
    <w:basedOn w:val="Default"/>
    <w:next w:val="Default"/>
    <w:uiPriority w:val="99"/>
    <w:rsid w:val="0040020C"/>
    <w:rPr>
      <w:rFonts w:ascii="Times New Roman" w:eastAsiaTheme="minorHAnsi" w:hAnsi="Times New Roman" w:cs="Times New Roman"/>
      <w:color w:val="auto"/>
    </w:rPr>
  </w:style>
  <w:style w:type="paragraph" w:customStyle="1" w:styleId="List2">
    <w:name w:val="List2"/>
    <w:basedOn w:val="Normal"/>
    <w:rsid w:val="00400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3">
    <w:name w:val="CM1+3"/>
    <w:basedOn w:val="Default"/>
    <w:next w:val="Default"/>
    <w:uiPriority w:val="99"/>
    <w:rsid w:val="0040020C"/>
    <w:rPr>
      <w:rFonts w:ascii="Times New Roman" w:eastAsiaTheme="minorHAnsi" w:hAnsi="Times New Roman" w:cs="Times New Roman"/>
      <w:color w:val="auto"/>
    </w:rPr>
  </w:style>
  <w:style w:type="paragraph" w:customStyle="1" w:styleId="CM33">
    <w:name w:val="CM3+3"/>
    <w:basedOn w:val="Default"/>
    <w:next w:val="Default"/>
    <w:uiPriority w:val="99"/>
    <w:rsid w:val="0040020C"/>
    <w:rPr>
      <w:rFonts w:ascii="Times New Roman" w:eastAsiaTheme="minorHAnsi" w:hAnsi="Times New Roman" w:cs="Times New Roman"/>
      <w:color w:val="auto"/>
    </w:rPr>
  </w:style>
  <w:style w:type="paragraph" w:customStyle="1" w:styleId="Normal4">
    <w:name w:val="Normal4"/>
    <w:basedOn w:val="Normal"/>
    <w:rsid w:val="00400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A64092"/>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List4">
    <w:name w:val="List4"/>
    <w:basedOn w:val="Normal"/>
    <w:rsid w:val="009B7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8425DB"/>
  </w:style>
  <w:style w:type="character" w:customStyle="1" w:styleId="boldface">
    <w:name w:val="boldface"/>
    <w:basedOn w:val="DefaultParagraphFont"/>
    <w:rsid w:val="00A431FE"/>
  </w:style>
  <w:style w:type="character" w:styleId="UnresolvedMention">
    <w:name w:val="Unresolved Mention"/>
    <w:basedOn w:val="DefaultParagraphFont"/>
    <w:uiPriority w:val="99"/>
    <w:semiHidden/>
    <w:unhideWhenUsed/>
    <w:rsid w:val="005023ED"/>
    <w:rPr>
      <w:color w:val="605E5C"/>
      <w:shd w:val="clear" w:color="auto" w:fill="E1DFDD"/>
    </w:rPr>
  </w:style>
  <w:style w:type="paragraph" w:customStyle="1" w:styleId="dlist-term">
    <w:name w:val="dlist-term"/>
    <w:basedOn w:val="Normal"/>
    <w:rsid w:val="00AC05A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rmal5">
    <w:name w:val="Normal5"/>
    <w:basedOn w:val="Normal"/>
    <w:rsid w:val="00A94811"/>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383">
      <w:bodyDiv w:val="1"/>
      <w:marLeft w:val="0"/>
      <w:marRight w:val="0"/>
      <w:marTop w:val="0"/>
      <w:marBottom w:val="0"/>
      <w:divBdr>
        <w:top w:val="none" w:sz="0" w:space="0" w:color="auto"/>
        <w:left w:val="none" w:sz="0" w:space="0" w:color="auto"/>
        <w:bottom w:val="none" w:sz="0" w:space="0" w:color="auto"/>
        <w:right w:val="none" w:sz="0" w:space="0" w:color="auto"/>
      </w:divBdr>
      <w:divsChild>
        <w:div w:id="533076473">
          <w:marLeft w:val="0"/>
          <w:marRight w:val="0"/>
          <w:marTop w:val="0"/>
          <w:marBottom w:val="0"/>
          <w:divBdr>
            <w:top w:val="none" w:sz="0" w:space="0" w:color="auto"/>
            <w:left w:val="none" w:sz="0" w:space="0" w:color="auto"/>
            <w:bottom w:val="none" w:sz="0" w:space="0" w:color="auto"/>
            <w:right w:val="none" w:sz="0" w:space="0" w:color="auto"/>
          </w:divBdr>
          <w:divsChild>
            <w:div w:id="1282230228">
              <w:marLeft w:val="0"/>
              <w:marRight w:val="0"/>
              <w:marTop w:val="0"/>
              <w:marBottom w:val="0"/>
              <w:divBdr>
                <w:top w:val="none" w:sz="0" w:space="0" w:color="auto"/>
                <w:left w:val="none" w:sz="0" w:space="0" w:color="auto"/>
                <w:bottom w:val="none" w:sz="0" w:space="0" w:color="auto"/>
                <w:right w:val="none" w:sz="0" w:space="0" w:color="auto"/>
              </w:divBdr>
            </w:div>
            <w:div w:id="19499704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838151">
      <w:bodyDiv w:val="1"/>
      <w:marLeft w:val="0"/>
      <w:marRight w:val="0"/>
      <w:marTop w:val="0"/>
      <w:marBottom w:val="0"/>
      <w:divBdr>
        <w:top w:val="none" w:sz="0" w:space="0" w:color="auto"/>
        <w:left w:val="none" w:sz="0" w:space="0" w:color="auto"/>
        <w:bottom w:val="none" w:sz="0" w:space="0" w:color="auto"/>
        <w:right w:val="none" w:sz="0" w:space="0" w:color="auto"/>
      </w:divBdr>
    </w:div>
    <w:div w:id="40907543">
      <w:bodyDiv w:val="1"/>
      <w:marLeft w:val="0"/>
      <w:marRight w:val="0"/>
      <w:marTop w:val="0"/>
      <w:marBottom w:val="0"/>
      <w:divBdr>
        <w:top w:val="none" w:sz="0" w:space="0" w:color="auto"/>
        <w:left w:val="none" w:sz="0" w:space="0" w:color="auto"/>
        <w:bottom w:val="none" w:sz="0" w:space="0" w:color="auto"/>
        <w:right w:val="none" w:sz="0" w:space="0" w:color="auto"/>
      </w:divBdr>
    </w:div>
    <w:div w:id="106122033">
      <w:bodyDiv w:val="1"/>
      <w:marLeft w:val="0"/>
      <w:marRight w:val="0"/>
      <w:marTop w:val="0"/>
      <w:marBottom w:val="0"/>
      <w:divBdr>
        <w:top w:val="none" w:sz="0" w:space="0" w:color="auto"/>
        <w:left w:val="none" w:sz="0" w:space="0" w:color="auto"/>
        <w:bottom w:val="none" w:sz="0" w:space="0" w:color="auto"/>
        <w:right w:val="none" w:sz="0" w:space="0" w:color="auto"/>
      </w:divBdr>
      <w:divsChild>
        <w:div w:id="286817355">
          <w:marLeft w:val="0"/>
          <w:marRight w:val="0"/>
          <w:marTop w:val="0"/>
          <w:marBottom w:val="0"/>
          <w:divBdr>
            <w:top w:val="none" w:sz="0" w:space="0" w:color="auto"/>
            <w:left w:val="none" w:sz="0" w:space="0" w:color="auto"/>
            <w:bottom w:val="none" w:sz="0" w:space="0" w:color="auto"/>
            <w:right w:val="none" w:sz="0" w:space="0" w:color="auto"/>
          </w:divBdr>
          <w:divsChild>
            <w:div w:id="141191860">
              <w:marLeft w:val="0"/>
              <w:marRight w:val="0"/>
              <w:marTop w:val="0"/>
              <w:marBottom w:val="0"/>
              <w:divBdr>
                <w:top w:val="none" w:sz="0" w:space="0" w:color="auto"/>
                <w:left w:val="none" w:sz="0" w:space="0" w:color="auto"/>
                <w:bottom w:val="none" w:sz="0" w:space="0" w:color="auto"/>
                <w:right w:val="none" w:sz="0" w:space="0" w:color="auto"/>
              </w:divBdr>
            </w:div>
          </w:divsChild>
        </w:div>
        <w:div w:id="1239244517">
          <w:marLeft w:val="0"/>
          <w:marRight w:val="0"/>
          <w:marTop w:val="0"/>
          <w:marBottom w:val="0"/>
          <w:divBdr>
            <w:top w:val="none" w:sz="0" w:space="0" w:color="auto"/>
            <w:left w:val="none" w:sz="0" w:space="0" w:color="auto"/>
            <w:bottom w:val="none" w:sz="0" w:space="0" w:color="auto"/>
            <w:right w:val="none" w:sz="0" w:space="0" w:color="auto"/>
          </w:divBdr>
          <w:divsChild>
            <w:div w:id="291328708">
              <w:marLeft w:val="0"/>
              <w:marRight w:val="0"/>
              <w:marTop w:val="0"/>
              <w:marBottom w:val="0"/>
              <w:divBdr>
                <w:top w:val="none" w:sz="0" w:space="0" w:color="auto"/>
                <w:left w:val="none" w:sz="0" w:space="0" w:color="auto"/>
                <w:bottom w:val="none" w:sz="0" w:space="0" w:color="auto"/>
                <w:right w:val="none" w:sz="0" w:space="0" w:color="auto"/>
              </w:divBdr>
              <w:divsChild>
                <w:div w:id="167447018">
                  <w:marLeft w:val="0"/>
                  <w:marRight w:val="0"/>
                  <w:marTop w:val="0"/>
                  <w:marBottom w:val="0"/>
                  <w:divBdr>
                    <w:top w:val="none" w:sz="0" w:space="0" w:color="auto"/>
                    <w:left w:val="none" w:sz="0" w:space="0" w:color="auto"/>
                    <w:bottom w:val="none" w:sz="0" w:space="0" w:color="auto"/>
                    <w:right w:val="none" w:sz="0" w:space="0" w:color="auto"/>
                  </w:divBdr>
                  <w:divsChild>
                    <w:div w:id="933320350">
                      <w:marLeft w:val="0"/>
                      <w:marRight w:val="0"/>
                      <w:marTop w:val="0"/>
                      <w:marBottom w:val="0"/>
                      <w:divBdr>
                        <w:top w:val="none" w:sz="0" w:space="0" w:color="auto"/>
                        <w:left w:val="none" w:sz="0" w:space="0" w:color="auto"/>
                        <w:bottom w:val="none" w:sz="0" w:space="0" w:color="auto"/>
                        <w:right w:val="none" w:sz="0" w:space="0" w:color="auto"/>
                      </w:divBdr>
                    </w:div>
                    <w:div w:id="1523547596">
                      <w:marLeft w:val="0"/>
                      <w:marRight w:val="0"/>
                      <w:marTop w:val="120"/>
                      <w:marBottom w:val="0"/>
                      <w:divBdr>
                        <w:top w:val="none" w:sz="0" w:space="0" w:color="auto"/>
                        <w:left w:val="none" w:sz="0" w:space="0" w:color="auto"/>
                        <w:bottom w:val="none" w:sz="0" w:space="0" w:color="auto"/>
                        <w:right w:val="none" w:sz="0" w:space="0" w:color="auto"/>
                      </w:divBdr>
                    </w:div>
                  </w:divsChild>
                </w:div>
                <w:div w:id="315498851">
                  <w:marLeft w:val="0"/>
                  <w:marRight w:val="0"/>
                  <w:marTop w:val="0"/>
                  <w:marBottom w:val="0"/>
                  <w:divBdr>
                    <w:top w:val="none" w:sz="0" w:space="0" w:color="auto"/>
                    <w:left w:val="none" w:sz="0" w:space="0" w:color="auto"/>
                    <w:bottom w:val="none" w:sz="0" w:space="0" w:color="auto"/>
                    <w:right w:val="none" w:sz="0" w:space="0" w:color="auto"/>
                  </w:divBdr>
                  <w:divsChild>
                    <w:div w:id="567377478">
                      <w:marLeft w:val="0"/>
                      <w:marRight w:val="0"/>
                      <w:marTop w:val="120"/>
                      <w:marBottom w:val="0"/>
                      <w:divBdr>
                        <w:top w:val="none" w:sz="0" w:space="0" w:color="auto"/>
                        <w:left w:val="none" w:sz="0" w:space="0" w:color="auto"/>
                        <w:bottom w:val="none" w:sz="0" w:space="0" w:color="auto"/>
                        <w:right w:val="none" w:sz="0" w:space="0" w:color="auto"/>
                      </w:divBdr>
                    </w:div>
                    <w:div w:id="1940403701">
                      <w:marLeft w:val="0"/>
                      <w:marRight w:val="0"/>
                      <w:marTop w:val="0"/>
                      <w:marBottom w:val="0"/>
                      <w:divBdr>
                        <w:top w:val="none" w:sz="0" w:space="0" w:color="auto"/>
                        <w:left w:val="none" w:sz="0" w:space="0" w:color="auto"/>
                        <w:bottom w:val="none" w:sz="0" w:space="0" w:color="auto"/>
                        <w:right w:val="none" w:sz="0" w:space="0" w:color="auto"/>
                      </w:divBdr>
                    </w:div>
                  </w:divsChild>
                </w:div>
                <w:div w:id="1004210954">
                  <w:marLeft w:val="0"/>
                  <w:marRight w:val="0"/>
                  <w:marTop w:val="0"/>
                  <w:marBottom w:val="0"/>
                  <w:divBdr>
                    <w:top w:val="none" w:sz="0" w:space="0" w:color="auto"/>
                    <w:left w:val="none" w:sz="0" w:space="0" w:color="auto"/>
                    <w:bottom w:val="none" w:sz="0" w:space="0" w:color="auto"/>
                    <w:right w:val="none" w:sz="0" w:space="0" w:color="auto"/>
                  </w:divBdr>
                  <w:divsChild>
                    <w:div w:id="1017001255">
                      <w:marLeft w:val="0"/>
                      <w:marRight w:val="0"/>
                      <w:marTop w:val="0"/>
                      <w:marBottom w:val="0"/>
                      <w:divBdr>
                        <w:top w:val="none" w:sz="0" w:space="0" w:color="auto"/>
                        <w:left w:val="none" w:sz="0" w:space="0" w:color="auto"/>
                        <w:bottom w:val="none" w:sz="0" w:space="0" w:color="auto"/>
                        <w:right w:val="none" w:sz="0" w:space="0" w:color="auto"/>
                      </w:divBdr>
                    </w:div>
                    <w:div w:id="1328942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3527453">
          <w:marLeft w:val="0"/>
          <w:marRight w:val="0"/>
          <w:marTop w:val="0"/>
          <w:marBottom w:val="0"/>
          <w:divBdr>
            <w:top w:val="none" w:sz="0" w:space="0" w:color="auto"/>
            <w:left w:val="none" w:sz="0" w:space="0" w:color="auto"/>
            <w:bottom w:val="none" w:sz="0" w:space="0" w:color="auto"/>
            <w:right w:val="none" w:sz="0" w:space="0" w:color="auto"/>
          </w:divBdr>
          <w:divsChild>
            <w:div w:id="935674790">
              <w:marLeft w:val="0"/>
              <w:marRight w:val="0"/>
              <w:marTop w:val="0"/>
              <w:marBottom w:val="0"/>
              <w:divBdr>
                <w:top w:val="none" w:sz="0" w:space="0" w:color="auto"/>
                <w:left w:val="none" w:sz="0" w:space="0" w:color="auto"/>
                <w:bottom w:val="none" w:sz="0" w:space="0" w:color="auto"/>
                <w:right w:val="none" w:sz="0" w:space="0" w:color="auto"/>
              </w:divBdr>
              <w:divsChild>
                <w:div w:id="1871607793">
                  <w:marLeft w:val="0"/>
                  <w:marRight w:val="0"/>
                  <w:marTop w:val="0"/>
                  <w:marBottom w:val="0"/>
                  <w:divBdr>
                    <w:top w:val="none" w:sz="0" w:space="0" w:color="auto"/>
                    <w:left w:val="none" w:sz="0" w:space="0" w:color="auto"/>
                    <w:bottom w:val="none" w:sz="0" w:space="0" w:color="auto"/>
                    <w:right w:val="none" w:sz="0" w:space="0" w:color="auto"/>
                  </w:divBdr>
                  <w:divsChild>
                    <w:div w:id="716778825">
                      <w:marLeft w:val="0"/>
                      <w:marRight w:val="0"/>
                      <w:marTop w:val="120"/>
                      <w:marBottom w:val="0"/>
                      <w:divBdr>
                        <w:top w:val="none" w:sz="0" w:space="0" w:color="auto"/>
                        <w:left w:val="none" w:sz="0" w:space="0" w:color="auto"/>
                        <w:bottom w:val="none" w:sz="0" w:space="0" w:color="auto"/>
                        <w:right w:val="none" w:sz="0" w:space="0" w:color="auto"/>
                      </w:divBdr>
                    </w:div>
                    <w:div w:id="1743483137">
                      <w:marLeft w:val="0"/>
                      <w:marRight w:val="0"/>
                      <w:marTop w:val="0"/>
                      <w:marBottom w:val="0"/>
                      <w:divBdr>
                        <w:top w:val="none" w:sz="0" w:space="0" w:color="auto"/>
                        <w:left w:val="none" w:sz="0" w:space="0" w:color="auto"/>
                        <w:bottom w:val="none" w:sz="0" w:space="0" w:color="auto"/>
                        <w:right w:val="none" w:sz="0" w:space="0" w:color="auto"/>
                      </w:divBdr>
                    </w:div>
                  </w:divsChild>
                </w:div>
                <w:div w:id="2131851224">
                  <w:marLeft w:val="0"/>
                  <w:marRight w:val="0"/>
                  <w:marTop w:val="0"/>
                  <w:marBottom w:val="0"/>
                  <w:divBdr>
                    <w:top w:val="none" w:sz="0" w:space="0" w:color="auto"/>
                    <w:left w:val="none" w:sz="0" w:space="0" w:color="auto"/>
                    <w:bottom w:val="none" w:sz="0" w:space="0" w:color="auto"/>
                    <w:right w:val="none" w:sz="0" w:space="0" w:color="auto"/>
                  </w:divBdr>
                  <w:divsChild>
                    <w:div w:id="297683259">
                      <w:marLeft w:val="0"/>
                      <w:marRight w:val="0"/>
                      <w:marTop w:val="120"/>
                      <w:marBottom w:val="0"/>
                      <w:divBdr>
                        <w:top w:val="none" w:sz="0" w:space="0" w:color="auto"/>
                        <w:left w:val="none" w:sz="0" w:space="0" w:color="auto"/>
                        <w:bottom w:val="none" w:sz="0" w:space="0" w:color="auto"/>
                        <w:right w:val="none" w:sz="0" w:space="0" w:color="auto"/>
                      </w:divBdr>
                    </w:div>
                    <w:div w:id="19828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7498">
          <w:marLeft w:val="0"/>
          <w:marRight w:val="0"/>
          <w:marTop w:val="0"/>
          <w:marBottom w:val="0"/>
          <w:divBdr>
            <w:top w:val="none" w:sz="0" w:space="0" w:color="auto"/>
            <w:left w:val="none" w:sz="0" w:space="0" w:color="auto"/>
            <w:bottom w:val="none" w:sz="0" w:space="0" w:color="auto"/>
            <w:right w:val="none" w:sz="0" w:space="0" w:color="auto"/>
          </w:divBdr>
          <w:divsChild>
            <w:div w:id="929585744">
              <w:marLeft w:val="0"/>
              <w:marRight w:val="0"/>
              <w:marTop w:val="0"/>
              <w:marBottom w:val="0"/>
              <w:divBdr>
                <w:top w:val="none" w:sz="0" w:space="0" w:color="auto"/>
                <w:left w:val="none" w:sz="0" w:space="0" w:color="auto"/>
                <w:bottom w:val="none" w:sz="0" w:space="0" w:color="auto"/>
                <w:right w:val="none" w:sz="0" w:space="0" w:color="auto"/>
              </w:divBdr>
              <w:divsChild>
                <w:div w:id="89159149">
                  <w:marLeft w:val="0"/>
                  <w:marRight w:val="0"/>
                  <w:marTop w:val="0"/>
                  <w:marBottom w:val="0"/>
                  <w:divBdr>
                    <w:top w:val="none" w:sz="0" w:space="0" w:color="auto"/>
                    <w:left w:val="none" w:sz="0" w:space="0" w:color="auto"/>
                    <w:bottom w:val="none" w:sz="0" w:space="0" w:color="auto"/>
                    <w:right w:val="none" w:sz="0" w:space="0" w:color="auto"/>
                  </w:divBdr>
                  <w:divsChild>
                    <w:div w:id="797452264">
                      <w:marLeft w:val="0"/>
                      <w:marRight w:val="0"/>
                      <w:marTop w:val="0"/>
                      <w:marBottom w:val="0"/>
                      <w:divBdr>
                        <w:top w:val="none" w:sz="0" w:space="0" w:color="auto"/>
                        <w:left w:val="none" w:sz="0" w:space="0" w:color="auto"/>
                        <w:bottom w:val="none" w:sz="0" w:space="0" w:color="auto"/>
                        <w:right w:val="none" w:sz="0" w:space="0" w:color="auto"/>
                      </w:divBdr>
                    </w:div>
                    <w:div w:id="877621587">
                      <w:marLeft w:val="0"/>
                      <w:marRight w:val="0"/>
                      <w:marTop w:val="120"/>
                      <w:marBottom w:val="0"/>
                      <w:divBdr>
                        <w:top w:val="none" w:sz="0" w:space="0" w:color="auto"/>
                        <w:left w:val="none" w:sz="0" w:space="0" w:color="auto"/>
                        <w:bottom w:val="none" w:sz="0" w:space="0" w:color="auto"/>
                        <w:right w:val="none" w:sz="0" w:space="0" w:color="auto"/>
                      </w:divBdr>
                    </w:div>
                  </w:divsChild>
                </w:div>
                <w:div w:id="217787184">
                  <w:marLeft w:val="0"/>
                  <w:marRight w:val="0"/>
                  <w:marTop w:val="0"/>
                  <w:marBottom w:val="0"/>
                  <w:divBdr>
                    <w:top w:val="none" w:sz="0" w:space="0" w:color="auto"/>
                    <w:left w:val="none" w:sz="0" w:space="0" w:color="auto"/>
                    <w:bottom w:val="none" w:sz="0" w:space="0" w:color="auto"/>
                    <w:right w:val="none" w:sz="0" w:space="0" w:color="auto"/>
                  </w:divBdr>
                  <w:divsChild>
                    <w:div w:id="148401387">
                      <w:marLeft w:val="0"/>
                      <w:marRight w:val="0"/>
                      <w:marTop w:val="0"/>
                      <w:marBottom w:val="0"/>
                      <w:divBdr>
                        <w:top w:val="none" w:sz="0" w:space="0" w:color="auto"/>
                        <w:left w:val="none" w:sz="0" w:space="0" w:color="auto"/>
                        <w:bottom w:val="none" w:sz="0" w:space="0" w:color="auto"/>
                        <w:right w:val="none" w:sz="0" w:space="0" w:color="auto"/>
                      </w:divBdr>
                    </w:div>
                    <w:div w:id="1876235969">
                      <w:marLeft w:val="0"/>
                      <w:marRight w:val="0"/>
                      <w:marTop w:val="120"/>
                      <w:marBottom w:val="0"/>
                      <w:divBdr>
                        <w:top w:val="none" w:sz="0" w:space="0" w:color="auto"/>
                        <w:left w:val="none" w:sz="0" w:space="0" w:color="auto"/>
                        <w:bottom w:val="none" w:sz="0" w:space="0" w:color="auto"/>
                        <w:right w:val="none" w:sz="0" w:space="0" w:color="auto"/>
                      </w:divBdr>
                    </w:div>
                  </w:divsChild>
                </w:div>
                <w:div w:id="1253974468">
                  <w:marLeft w:val="0"/>
                  <w:marRight w:val="0"/>
                  <w:marTop w:val="0"/>
                  <w:marBottom w:val="0"/>
                  <w:divBdr>
                    <w:top w:val="none" w:sz="0" w:space="0" w:color="auto"/>
                    <w:left w:val="none" w:sz="0" w:space="0" w:color="auto"/>
                    <w:bottom w:val="none" w:sz="0" w:space="0" w:color="auto"/>
                    <w:right w:val="none" w:sz="0" w:space="0" w:color="auto"/>
                  </w:divBdr>
                  <w:divsChild>
                    <w:div w:id="1484815757">
                      <w:marLeft w:val="0"/>
                      <w:marRight w:val="0"/>
                      <w:marTop w:val="0"/>
                      <w:marBottom w:val="0"/>
                      <w:divBdr>
                        <w:top w:val="none" w:sz="0" w:space="0" w:color="auto"/>
                        <w:left w:val="none" w:sz="0" w:space="0" w:color="auto"/>
                        <w:bottom w:val="none" w:sz="0" w:space="0" w:color="auto"/>
                        <w:right w:val="none" w:sz="0" w:space="0" w:color="auto"/>
                      </w:divBdr>
                    </w:div>
                    <w:div w:id="1785735013">
                      <w:marLeft w:val="0"/>
                      <w:marRight w:val="0"/>
                      <w:marTop w:val="120"/>
                      <w:marBottom w:val="0"/>
                      <w:divBdr>
                        <w:top w:val="none" w:sz="0" w:space="0" w:color="auto"/>
                        <w:left w:val="none" w:sz="0" w:space="0" w:color="auto"/>
                        <w:bottom w:val="none" w:sz="0" w:space="0" w:color="auto"/>
                        <w:right w:val="none" w:sz="0" w:space="0" w:color="auto"/>
                      </w:divBdr>
                    </w:div>
                  </w:divsChild>
                </w:div>
                <w:div w:id="1577587112">
                  <w:marLeft w:val="0"/>
                  <w:marRight w:val="0"/>
                  <w:marTop w:val="0"/>
                  <w:marBottom w:val="0"/>
                  <w:divBdr>
                    <w:top w:val="none" w:sz="0" w:space="0" w:color="auto"/>
                    <w:left w:val="none" w:sz="0" w:space="0" w:color="auto"/>
                    <w:bottom w:val="none" w:sz="0" w:space="0" w:color="auto"/>
                    <w:right w:val="none" w:sz="0" w:space="0" w:color="auto"/>
                  </w:divBdr>
                  <w:divsChild>
                    <w:div w:id="1837919349">
                      <w:marLeft w:val="0"/>
                      <w:marRight w:val="0"/>
                      <w:marTop w:val="0"/>
                      <w:marBottom w:val="0"/>
                      <w:divBdr>
                        <w:top w:val="none" w:sz="0" w:space="0" w:color="auto"/>
                        <w:left w:val="none" w:sz="0" w:space="0" w:color="auto"/>
                        <w:bottom w:val="none" w:sz="0" w:space="0" w:color="auto"/>
                        <w:right w:val="none" w:sz="0" w:space="0" w:color="auto"/>
                      </w:divBdr>
                    </w:div>
                    <w:div w:id="2017223459">
                      <w:marLeft w:val="0"/>
                      <w:marRight w:val="0"/>
                      <w:marTop w:val="120"/>
                      <w:marBottom w:val="0"/>
                      <w:divBdr>
                        <w:top w:val="none" w:sz="0" w:space="0" w:color="auto"/>
                        <w:left w:val="none" w:sz="0" w:space="0" w:color="auto"/>
                        <w:bottom w:val="none" w:sz="0" w:space="0" w:color="auto"/>
                        <w:right w:val="none" w:sz="0" w:space="0" w:color="auto"/>
                      </w:divBdr>
                    </w:div>
                  </w:divsChild>
                </w:div>
                <w:div w:id="1812209407">
                  <w:marLeft w:val="0"/>
                  <w:marRight w:val="0"/>
                  <w:marTop w:val="0"/>
                  <w:marBottom w:val="0"/>
                  <w:divBdr>
                    <w:top w:val="none" w:sz="0" w:space="0" w:color="auto"/>
                    <w:left w:val="none" w:sz="0" w:space="0" w:color="auto"/>
                    <w:bottom w:val="none" w:sz="0" w:space="0" w:color="auto"/>
                    <w:right w:val="none" w:sz="0" w:space="0" w:color="auto"/>
                  </w:divBdr>
                  <w:divsChild>
                    <w:div w:id="502476125">
                      <w:marLeft w:val="0"/>
                      <w:marRight w:val="0"/>
                      <w:marTop w:val="0"/>
                      <w:marBottom w:val="0"/>
                      <w:divBdr>
                        <w:top w:val="none" w:sz="0" w:space="0" w:color="auto"/>
                        <w:left w:val="none" w:sz="0" w:space="0" w:color="auto"/>
                        <w:bottom w:val="none" w:sz="0" w:space="0" w:color="auto"/>
                        <w:right w:val="none" w:sz="0" w:space="0" w:color="auto"/>
                      </w:divBdr>
                    </w:div>
                    <w:div w:id="1587884013">
                      <w:marLeft w:val="0"/>
                      <w:marRight w:val="0"/>
                      <w:marTop w:val="120"/>
                      <w:marBottom w:val="0"/>
                      <w:divBdr>
                        <w:top w:val="none" w:sz="0" w:space="0" w:color="auto"/>
                        <w:left w:val="none" w:sz="0" w:space="0" w:color="auto"/>
                        <w:bottom w:val="none" w:sz="0" w:space="0" w:color="auto"/>
                        <w:right w:val="none" w:sz="0" w:space="0" w:color="auto"/>
                      </w:divBdr>
                    </w:div>
                  </w:divsChild>
                </w:div>
                <w:div w:id="1818188137">
                  <w:marLeft w:val="0"/>
                  <w:marRight w:val="0"/>
                  <w:marTop w:val="0"/>
                  <w:marBottom w:val="0"/>
                  <w:divBdr>
                    <w:top w:val="none" w:sz="0" w:space="0" w:color="auto"/>
                    <w:left w:val="none" w:sz="0" w:space="0" w:color="auto"/>
                    <w:bottom w:val="none" w:sz="0" w:space="0" w:color="auto"/>
                    <w:right w:val="none" w:sz="0" w:space="0" w:color="auto"/>
                  </w:divBdr>
                  <w:divsChild>
                    <w:div w:id="1882744775">
                      <w:marLeft w:val="0"/>
                      <w:marRight w:val="0"/>
                      <w:marTop w:val="0"/>
                      <w:marBottom w:val="0"/>
                      <w:divBdr>
                        <w:top w:val="none" w:sz="0" w:space="0" w:color="auto"/>
                        <w:left w:val="none" w:sz="0" w:space="0" w:color="auto"/>
                        <w:bottom w:val="none" w:sz="0" w:space="0" w:color="auto"/>
                        <w:right w:val="none" w:sz="0" w:space="0" w:color="auto"/>
                      </w:divBdr>
                    </w:div>
                    <w:div w:id="1997878285">
                      <w:marLeft w:val="0"/>
                      <w:marRight w:val="0"/>
                      <w:marTop w:val="120"/>
                      <w:marBottom w:val="0"/>
                      <w:divBdr>
                        <w:top w:val="none" w:sz="0" w:space="0" w:color="auto"/>
                        <w:left w:val="none" w:sz="0" w:space="0" w:color="auto"/>
                        <w:bottom w:val="none" w:sz="0" w:space="0" w:color="auto"/>
                        <w:right w:val="none" w:sz="0" w:space="0" w:color="auto"/>
                      </w:divBdr>
                    </w:div>
                  </w:divsChild>
                </w:div>
                <w:div w:id="2001346659">
                  <w:marLeft w:val="0"/>
                  <w:marRight w:val="0"/>
                  <w:marTop w:val="0"/>
                  <w:marBottom w:val="0"/>
                  <w:divBdr>
                    <w:top w:val="none" w:sz="0" w:space="0" w:color="auto"/>
                    <w:left w:val="none" w:sz="0" w:space="0" w:color="auto"/>
                    <w:bottom w:val="none" w:sz="0" w:space="0" w:color="auto"/>
                    <w:right w:val="none" w:sz="0" w:space="0" w:color="auto"/>
                  </w:divBdr>
                  <w:divsChild>
                    <w:div w:id="581448884">
                      <w:marLeft w:val="0"/>
                      <w:marRight w:val="0"/>
                      <w:marTop w:val="120"/>
                      <w:marBottom w:val="0"/>
                      <w:divBdr>
                        <w:top w:val="none" w:sz="0" w:space="0" w:color="auto"/>
                        <w:left w:val="none" w:sz="0" w:space="0" w:color="auto"/>
                        <w:bottom w:val="none" w:sz="0" w:space="0" w:color="auto"/>
                        <w:right w:val="none" w:sz="0" w:space="0" w:color="auto"/>
                      </w:divBdr>
                    </w:div>
                    <w:div w:id="17381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0696">
      <w:bodyDiv w:val="1"/>
      <w:marLeft w:val="0"/>
      <w:marRight w:val="0"/>
      <w:marTop w:val="0"/>
      <w:marBottom w:val="0"/>
      <w:divBdr>
        <w:top w:val="none" w:sz="0" w:space="0" w:color="auto"/>
        <w:left w:val="none" w:sz="0" w:space="0" w:color="auto"/>
        <w:bottom w:val="none" w:sz="0" w:space="0" w:color="auto"/>
        <w:right w:val="none" w:sz="0" w:space="0" w:color="auto"/>
      </w:divBdr>
    </w:div>
    <w:div w:id="128406134">
      <w:bodyDiv w:val="1"/>
      <w:marLeft w:val="0"/>
      <w:marRight w:val="0"/>
      <w:marTop w:val="0"/>
      <w:marBottom w:val="0"/>
      <w:divBdr>
        <w:top w:val="none" w:sz="0" w:space="0" w:color="auto"/>
        <w:left w:val="none" w:sz="0" w:space="0" w:color="auto"/>
        <w:bottom w:val="none" w:sz="0" w:space="0" w:color="auto"/>
        <w:right w:val="none" w:sz="0" w:space="0" w:color="auto"/>
      </w:divBdr>
    </w:div>
    <w:div w:id="174155938">
      <w:bodyDiv w:val="1"/>
      <w:marLeft w:val="0"/>
      <w:marRight w:val="0"/>
      <w:marTop w:val="0"/>
      <w:marBottom w:val="0"/>
      <w:divBdr>
        <w:top w:val="none" w:sz="0" w:space="0" w:color="auto"/>
        <w:left w:val="none" w:sz="0" w:space="0" w:color="auto"/>
        <w:bottom w:val="none" w:sz="0" w:space="0" w:color="auto"/>
        <w:right w:val="none" w:sz="0" w:space="0" w:color="auto"/>
      </w:divBdr>
      <w:divsChild>
        <w:div w:id="1528057725">
          <w:marLeft w:val="0"/>
          <w:marRight w:val="0"/>
          <w:marTop w:val="0"/>
          <w:marBottom w:val="0"/>
          <w:divBdr>
            <w:top w:val="none" w:sz="0" w:space="0" w:color="auto"/>
            <w:left w:val="none" w:sz="0" w:space="0" w:color="auto"/>
            <w:bottom w:val="none" w:sz="0" w:space="0" w:color="auto"/>
            <w:right w:val="none" w:sz="0" w:space="0" w:color="auto"/>
          </w:divBdr>
        </w:div>
      </w:divsChild>
    </w:div>
    <w:div w:id="194856622">
      <w:bodyDiv w:val="1"/>
      <w:marLeft w:val="0"/>
      <w:marRight w:val="0"/>
      <w:marTop w:val="0"/>
      <w:marBottom w:val="0"/>
      <w:divBdr>
        <w:top w:val="none" w:sz="0" w:space="0" w:color="auto"/>
        <w:left w:val="none" w:sz="0" w:space="0" w:color="auto"/>
        <w:bottom w:val="none" w:sz="0" w:space="0" w:color="auto"/>
        <w:right w:val="none" w:sz="0" w:space="0" w:color="auto"/>
      </w:divBdr>
      <w:divsChild>
        <w:div w:id="1480002498">
          <w:marLeft w:val="0"/>
          <w:marRight w:val="0"/>
          <w:marTop w:val="0"/>
          <w:marBottom w:val="0"/>
          <w:divBdr>
            <w:top w:val="none" w:sz="0" w:space="0" w:color="auto"/>
            <w:left w:val="none" w:sz="0" w:space="0" w:color="auto"/>
            <w:bottom w:val="none" w:sz="0" w:space="0" w:color="auto"/>
            <w:right w:val="none" w:sz="0" w:space="0" w:color="auto"/>
          </w:divBdr>
          <w:divsChild>
            <w:div w:id="1051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389">
      <w:bodyDiv w:val="1"/>
      <w:marLeft w:val="0"/>
      <w:marRight w:val="0"/>
      <w:marTop w:val="0"/>
      <w:marBottom w:val="0"/>
      <w:divBdr>
        <w:top w:val="none" w:sz="0" w:space="0" w:color="auto"/>
        <w:left w:val="none" w:sz="0" w:space="0" w:color="auto"/>
        <w:bottom w:val="none" w:sz="0" w:space="0" w:color="auto"/>
        <w:right w:val="none" w:sz="0" w:space="0" w:color="auto"/>
      </w:divBdr>
      <w:divsChild>
        <w:div w:id="41634331">
          <w:marLeft w:val="0"/>
          <w:marRight w:val="0"/>
          <w:marTop w:val="0"/>
          <w:marBottom w:val="0"/>
          <w:divBdr>
            <w:top w:val="none" w:sz="0" w:space="0" w:color="auto"/>
            <w:left w:val="none" w:sz="0" w:space="0" w:color="auto"/>
            <w:bottom w:val="none" w:sz="0" w:space="0" w:color="auto"/>
            <w:right w:val="none" w:sz="0" w:space="0" w:color="auto"/>
          </w:divBdr>
          <w:divsChild>
            <w:div w:id="15356497">
              <w:marLeft w:val="0"/>
              <w:marRight w:val="0"/>
              <w:marTop w:val="120"/>
              <w:marBottom w:val="0"/>
              <w:divBdr>
                <w:top w:val="none" w:sz="0" w:space="0" w:color="auto"/>
                <w:left w:val="none" w:sz="0" w:space="0" w:color="auto"/>
                <w:bottom w:val="none" w:sz="0" w:space="0" w:color="auto"/>
                <w:right w:val="none" w:sz="0" w:space="0" w:color="auto"/>
              </w:divBdr>
            </w:div>
            <w:div w:id="261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3087">
      <w:bodyDiv w:val="1"/>
      <w:marLeft w:val="0"/>
      <w:marRight w:val="0"/>
      <w:marTop w:val="0"/>
      <w:marBottom w:val="0"/>
      <w:divBdr>
        <w:top w:val="none" w:sz="0" w:space="0" w:color="auto"/>
        <w:left w:val="none" w:sz="0" w:space="0" w:color="auto"/>
        <w:bottom w:val="none" w:sz="0" w:space="0" w:color="auto"/>
        <w:right w:val="none" w:sz="0" w:space="0" w:color="auto"/>
      </w:divBdr>
      <w:divsChild>
        <w:div w:id="1753161030">
          <w:marLeft w:val="0"/>
          <w:marRight w:val="0"/>
          <w:marTop w:val="0"/>
          <w:marBottom w:val="0"/>
          <w:divBdr>
            <w:top w:val="none" w:sz="0" w:space="0" w:color="auto"/>
            <w:left w:val="none" w:sz="0" w:space="0" w:color="auto"/>
            <w:bottom w:val="none" w:sz="0" w:space="0" w:color="auto"/>
            <w:right w:val="none" w:sz="0" w:space="0" w:color="auto"/>
          </w:divBdr>
          <w:divsChild>
            <w:div w:id="853229495">
              <w:marLeft w:val="0"/>
              <w:marRight w:val="0"/>
              <w:marTop w:val="0"/>
              <w:marBottom w:val="0"/>
              <w:divBdr>
                <w:top w:val="none" w:sz="0" w:space="0" w:color="auto"/>
                <w:left w:val="none" w:sz="0" w:space="0" w:color="auto"/>
                <w:bottom w:val="none" w:sz="0" w:space="0" w:color="auto"/>
                <w:right w:val="none" w:sz="0" w:space="0" w:color="auto"/>
              </w:divBdr>
              <w:divsChild>
                <w:div w:id="1543637961">
                  <w:marLeft w:val="0"/>
                  <w:marRight w:val="0"/>
                  <w:marTop w:val="0"/>
                  <w:marBottom w:val="0"/>
                  <w:divBdr>
                    <w:top w:val="none" w:sz="0" w:space="0" w:color="auto"/>
                    <w:left w:val="none" w:sz="0" w:space="0" w:color="auto"/>
                    <w:bottom w:val="none" w:sz="0" w:space="0" w:color="auto"/>
                    <w:right w:val="none" w:sz="0" w:space="0" w:color="auto"/>
                  </w:divBdr>
                  <w:divsChild>
                    <w:div w:id="363554402">
                      <w:marLeft w:val="0"/>
                      <w:marRight w:val="0"/>
                      <w:marTop w:val="0"/>
                      <w:marBottom w:val="0"/>
                      <w:divBdr>
                        <w:top w:val="none" w:sz="0" w:space="0" w:color="auto"/>
                        <w:left w:val="none" w:sz="0" w:space="0" w:color="auto"/>
                        <w:bottom w:val="none" w:sz="0" w:space="0" w:color="auto"/>
                        <w:right w:val="none" w:sz="0" w:space="0" w:color="auto"/>
                      </w:divBdr>
                    </w:div>
                    <w:div w:id="1061253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28808167">
      <w:bodyDiv w:val="1"/>
      <w:marLeft w:val="0"/>
      <w:marRight w:val="0"/>
      <w:marTop w:val="0"/>
      <w:marBottom w:val="0"/>
      <w:divBdr>
        <w:top w:val="none" w:sz="0" w:space="0" w:color="auto"/>
        <w:left w:val="none" w:sz="0" w:space="0" w:color="auto"/>
        <w:bottom w:val="none" w:sz="0" w:space="0" w:color="auto"/>
        <w:right w:val="none" w:sz="0" w:space="0" w:color="auto"/>
      </w:divBdr>
      <w:divsChild>
        <w:div w:id="159471292">
          <w:marLeft w:val="0"/>
          <w:marRight w:val="0"/>
          <w:marTop w:val="0"/>
          <w:marBottom w:val="0"/>
          <w:divBdr>
            <w:top w:val="none" w:sz="0" w:space="0" w:color="auto"/>
            <w:left w:val="none" w:sz="0" w:space="0" w:color="auto"/>
            <w:bottom w:val="none" w:sz="0" w:space="0" w:color="auto"/>
            <w:right w:val="none" w:sz="0" w:space="0" w:color="auto"/>
          </w:divBdr>
          <w:divsChild>
            <w:div w:id="323436782">
              <w:marLeft w:val="0"/>
              <w:marRight w:val="0"/>
              <w:marTop w:val="0"/>
              <w:marBottom w:val="0"/>
              <w:divBdr>
                <w:top w:val="none" w:sz="0" w:space="0" w:color="auto"/>
                <w:left w:val="none" w:sz="0" w:space="0" w:color="auto"/>
                <w:bottom w:val="none" w:sz="0" w:space="0" w:color="auto"/>
                <w:right w:val="none" w:sz="0" w:space="0" w:color="auto"/>
              </w:divBdr>
              <w:divsChild>
                <w:div w:id="1347827610">
                  <w:marLeft w:val="0"/>
                  <w:marRight w:val="0"/>
                  <w:marTop w:val="0"/>
                  <w:marBottom w:val="0"/>
                  <w:divBdr>
                    <w:top w:val="none" w:sz="0" w:space="0" w:color="auto"/>
                    <w:left w:val="none" w:sz="0" w:space="0" w:color="auto"/>
                    <w:bottom w:val="none" w:sz="0" w:space="0" w:color="auto"/>
                    <w:right w:val="none" w:sz="0" w:space="0" w:color="auto"/>
                  </w:divBdr>
                  <w:divsChild>
                    <w:div w:id="626352931">
                      <w:marLeft w:val="0"/>
                      <w:marRight w:val="0"/>
                      <w:marTop w:val="120"/>
                      <w:marBottom w:val="0"/>
                      <w:divBdr>
                        <w:top w:val="none" w:sz="0" w:space="0" w:color="auto"/>
                        <w:left w:val="none" w:sz="0" w:space="0" w:color="auto"/>
                        <w:bottom w:val="none" w:sz="0" w:space="0" w:color="auto"/>
                        <w:right w:val="none" w:sz="0" w:space="0" w:color="auto"/>
                      </w:divBdr>
                    </w:div>
                    <w:div w:id="1482690690">
                      <w:marLeft w:val="0"/>
                      <w:marRight w:val="0"/>
                      <w:marTop w:val="0"/>
                      <w:marBottom w:val="0"/>
                      <w:divBdr>
                        <w:top w:val="none" w:sz="0" w:space="0" w:color="auto"/>
                        <w:left w:val="none" w:sz="0" w:space="0" w:color="auto"/>
                        <w:bottom w:val="none" w:sz="0" w:space="0" w:color="auto"/>
                        <w:right w:val="none" w:sz="0" w:space="0" w:color="auto"/>
                      </w:divBdr>
                    </w:div>
                  </w:divsChild>
                </w:div>
                <w:div w:id="1687713087">
                  <w:marLeft w:val="0"/>
                  <w:marRight w:val="0"/>
                  <w:marTop w:val="0"/>
                  <w:marBottom w:val="0"/>
                  <w:divBdr>
                    <w:top w:val="none" w:sz="0" w:space="0" w:color="auto"/>
                    <w:left w:val="none" w:sz="0" w:space="0" w:color="auto"/>
                    <w:bottom w:val="none" w:sz="0" w:space="0" w:color="auto"/>
                    <w:right w:val="none" w:sz="0" w:space="0" w:color="auto"/>
                  </w:divBdr>
                  <w:divsChild>
                    <w:div w:id="492256579">
                      <w:marLeft w:val="0"/>
                      <w:marRight w:val="0"/>
                      <w:marTop w:val="120"/>
                      <w:marBottom w:val="0"/>
                      <w:divBdr>
                        <w:top w:val="none" w:sz="0" w:space="0" w:color="auto"/>
                        <w:left w:val="none" w:sz="0" w:space="0" w:color="auto"/>
                        <w:bottom w:val="none" w:sz="0" w:space="0" w:color="auto"/>
                        <w:right w:val="none" w:sz="0" w:space="0" w:color="auto"/>
                      </w:divBdr>
                    </w:div>
                    <w:div w:id="1241521420">
                      <w:marLeft w:val="0"/>
                      <w:marRight w:val="0"/>
                      <w:marTop w:val="0"/>
                      <w:marBottom w:val="0"/>
                      <w:divBdr>
                        <w:top w:val="none" w:sz="0" w:space="0" w:color="auto"/>
                        <w:left w:val="none" w:sz="0" w:space="0" w:color="auto"/>
                        <w:bottom w:val="none" w:sz="0" w:space="0" w:color="auto"/>
                        <w:right w:val="none" w:sz="0" w:space="0" w:color="auto"/>
                      </w:divBdr>
                    </w:div>
                  </w:divsChild>
                </w:div>
                <w:div w:id="1933392821">
                  <w:marLeft w:val="0"/>
                  <w:marRight w:val="0"/>
                  <w:marTop w:val="0"/>
                  <w:marBottom w:val="0"/>
                  <w:divBdr>
                    <w:top w:val="none" w:sz="0" w:space="0" w:color="auto"/>
                    <w:left w:val="none" w:sz="0" w:space="0" w:color="auto"/>
                    <w:bottom w:val="none" w:sz="0" w:space="0" w:color="auto"/>
                    <w:right w:val="none" w:sz="0" w:space="0" w:color="auto"/>
                  </w:divBdr>
                  <w:divsChild>
                    <w:div w:id="1555966712">
                      <w:marLeft w:val="0"/>
                      <w:marRight w:val="0"/>
                      <w:marTop w:val="120"/>
                      <w:marBottom w:val="0"/>
                      <w:divBdr>
                        <w:top w:val="none" w:sz="0" w:space="0" w:color="auto"/>
                        <w:left w:val="none" w:sz="0" w:space="0" w:color="auto"/>
                        <w:bottom w:val="none" w:sz="0" w:space="0" w:color="auto"/>
                        <w:right w:val="none" w:sz="0" w:space="0" w:color="auto"/>
                      </w:divBdr>
                    </w:div>
                    <w:div w:id="20679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3833">
              <w:marLeft w:val="0"/>
              <w:marRight w:val="0"/>
              <w:marTop w:val="120"/>
              <w:marBottom w:val="0"/>
              <w:divBdr>
                <w:top w:val="none" w:sz="0" w:space="0" w:color="auto"/>
                <w:left w:val="none" w:sz="0" w:space="0" w:color="auto"/>
                <w:bottom w:val="none" w:sz="0" w:space="0" w:color="auto"/>
                <w:right w:val="none" w:sz="0" w:space="0" w:color="auto"/>
              </w:divBdr>
            </w:div>
          </w:divsChild>
        </w:div>
        <w:div w:id="235670620">
          <w:marLeft w:val="0"/>
          <w:marRight w:val="0"/>
          <w:marTop w:val="0"/>
          <w:marBottom w:val="0"/>
          <w:divBdr>
            <w:top w:val="none" w:sz="0" w:space="0" w:color="auto"/>
            <w:left w:val="none" w:sz="0" w:space="0" w:color="auto"/>
            <w:bottom w:val="none" w:sz="0" w:space="0" w:color="auto"/>
            <w:right w:val="none" w:sz="0" w:space="0" w:color="auto"/>
          </w:divBdr>
          <w:divsChild>
            <w:div w:id="265624094">
              <w:marLeft w:val="0"/>
              <w:marRight w:val="0"/>
              <w:marTop w:val="0"/>
              <w:marBottom w:val="0"/>
              <w:divBdr>
                <w:top w:val="none" w:sz="0" w:space="0" w:color="auto"/>
                <w:left w:val="none" w:sz="0" w:space="0" w:color="auto"/>
                <w:bottom w:val="none" w:sz="0" w:space="0" w:color="auto"/>
                <w:right w:val="none" w:sz="0" w:space="0" w:color="auto"/>
              </w:divBdr>
            </w:div>
            <w:div w:id="1437871334">
              <w:marLeft w:val="0"/>
              <w:marRight w:val="0"/>
              <w:marTop w:val="120"/>
              <w:marBottom w:val="0"/>
              <w:divBdr>
                <w:top w:val="none" w:sz="0" w:space="0" w:color="auto"/>
                <w:left w:val="none" w:sz="0" w:space="0" w:color="auto"/>
                <w:bottom w:val="none" w:sz="0" w:space="0" w:color="auto"/>
                <w:right w:val="none" w:sz="0" w:space="0" w:color="auto"/>
              </w:divBdr>
            </w:div>
          </w:divsChild>
        </w:div>
        <w:div w:id="656304373">
          <w:marLeft w:val="0"/>
          <w:marRight w:val="0"/>
          <w:marTop w:val="0"/>
          <w:marBottom w:val="0"/>
          <w:divBdr>
            <w:top w:val="none" w:sz="0" w:space="0" w:color="auto"/>
            <w:left w:val="none" w:sz="0" w:space="0" w:color="auto"/>
            <w:bottom w:val="none" w:sz="0" w:space="0" w:color="auto"/>
            <w:right w:val="none" w:sz="0" w:space="0" w:color="auto"/>
          </w:divBdr>
          <w:divsChild>
            <w:div w:id="616331560">
              <w:marLeft w:val="0"/>
              <w:marRight w:val="0"/>
              <w:marTop w:val="0"/>
              <w:marBottom w:val="0"/>
              <w:divBdr>
                <w:top w:val="none" w:sz="0" w:space="0" w:color="auto"/>
                <w:left w:val="none" w:sz="0" w:space="0" w:color="auto"/>
                <w:bottom w:val="none" w:sz="0" w:space="0" w:color="auto"/>
                <w:right w:val="none" w:sz="0" w:space="0" w:color="auto"/>
              </w:divBdr>
            </w:div>
            <w:div w:id="1302535231">
              <w:marLeft w:val="0"/>
              <w:marRight w:val="0"/>
              <w:marTop w:val="120"/>
              <w:marBottom w:val="0"/>
              <w:divBdr>
                <w:top w:val="none" w:sz="0" w:space="0" w:color="auto"/>
                <w:left w:val="none" w:sz="0" w:space="0" w:color="auto"/>
                <w:bottom w:val="none" w:sz="0" w:space="0" w:color="auto"/>
                <w:right w:val="none" w:sz="0" w:space="0" w:color="auto"/>
              </w:divBdr>
            </w:div>
          </w:divsChild>
        </w:div>
        <w:div w:id="770049216">
          <w:marLeft w:val="0"/>
          <w:marRight w:val="0"/>
          <w:marTop w:val="0"/>
          <w:marBottom w:val="0"/>
          <w:divBdr>
            <w:top w:val="none" w:sz="0" w:space="0" w:color="auto"/>
            <w:left w:val="none" w:sz="0" w:space="0" w:color="auto"/>
            <w:bottom w:val="none" w:sz="0" w:space="0" w:color="auto"/>
            <w:right w:val="none" w:sz="0" w:space="0" w:color="auto"/>
          </w:divBdr>
          <w:divsChild>
            <w:div w:id="892346407">
              <w:marLeft w:val="0"/>
              <w:marRight w:val="0"/>
              <w:marTop w:val="120"/>
              <w:marBottom w:val="0"/>
              <w:divBdr>
                <w:top w:val="none" w:sz="0" w:space="0" w:color="auto"/>
                <w:left w:val="none" w:sz="0" w:space="0" w:color="auto"/>
                <w:bottom w:val="none" w:sz="0" w:space="0" w:color="auto"/>
                <w:right w:val="none" w:sz="0" w:space="0" w:color="auto"/>
              </w:divBdr>
            </w:div>
            <w:div w:id="1451512519">
              <w:marLeft w:val="0"/>
              <w:marRight w:val="0"/>
              <w:marTop w:val="0"/>
              <w:marBottom w:val="0"/>
              <w:divBdr>
                <w:top w:val="none" w:sz="0" w:space="0" w:color="auto"/>
                <w:left w:val="none" w:sz="0" w:space="0" w:color="auto"/>
                <w:bottom w:val="none" w:sz="0" w:space="0" w:color="auto"/>
                <w:right w:val="none" w:sz="0" w:space="0" w:color="auto"/>
              </w:divBdr>
              <w:divsChild>
                <w:div w:id="45643093">
                  <w:marLeft w:val="0"/>
                  <w:marRight w:val="0"/>
                  <w:marTop w:val="0"/>
                  <w:marBottom w:val="0"/>
                  <w:divBdr>
                    <w:top w:val="none" w:sz="0" w:space="0" w:color="auto"/>
                    <w:left w:val="none" w:sz="0" w:space="0" w:color="auto"/>
                    <w:bottom w:val="none" w:sz="0" w:space="0" w:color="auto"/>
                    <w:right w:val="none" w:sz="0" w:space="0" w:color="auto"/>
                  </w:divBdr>
                  <w:divsChild>
                    <w:div w:id="574709001">
                      <w:marLeft w:val="0"/>
                      <w:marRight w:val="0"/>
                      <w:marTop w:val="120"/>
                      <w:marBottom w:val="0"/>
                      <w:divBdr>
                        <w:top w:val="none" w:sz="0" w:space="0" w:color="auto"/>
                        <w:left w:val="none" w:sz="0" w:space="0" w:color="auto"/>
                        <w:bottom w:val="none" w:sz="0" w:space="0" w:color="auto"/>
                        <w:right w:val="none" w:sz="0" w:space="0" w:color="auto"/>
                      </w:divBdr>
                    </w:div>
                    <w:div w:id="1353612397">
                      <w:marLeft w:val="0"/>
                      <w:marRight w:val="0"/>
                      <w:marTop w:val="0"/>
                      <w:marBottom w:val="0"/>
                      <w:divBdr>
                        <w:top w:val="none" w:sz="0" w:space="0" w:color="auto"/>
                        <w:left w:val="none" w:sz="0" w:space="0" w:color="auto"/>
                        <w:bottom w:val="none" w:sz="0" w:space="0" w:color="auto"/>
                        <w:right w:val="none" w:sz="0" w:space="0" w:color="auto"/>
                      </w:divBdr>
                    </w:div>
                  </w:divsChild>
                </w:div>
                <w:div w:id="1185052311">
                  <w:marLeft w:val="0"/>
                  <w:marRight w:val="0"/>
                  <w:marTop w:val="0"/>
                  <w:marBottom w:val="0"/>
                  <w:divBdr>
                    <w:top w:val="none" w:sz="0" w:space="0" w:color="auto"/>
                    <w:left w:val="none" w:sz="0" w:space="0" w:color="auto"/>
                    <w:bottom w:val="none" w:sz="0" w:space="0" w:color="auto"/>
                    <w:right w:val="none" w:sz="0" w:space="0" w:color="auto"/>
                  </w:divBdr>
                  <w:divsChild>
                    <w:div w:id="227158307">
                      <w:marLeft w:val="0"/>
                      <w:marRight w:val="0"/>
                      <w:marTop w:val="0"/>
                      <w:marBottom w:val="0"/>
                      <w:divBdr>
                        <w:top w:val="none" w:sz="0" w:space="0" w:color="auto"/>
                        <w:left w:val="none" w:sz="0" w:space="0" w:color="auto"/>
                        <w:bottom w:val="none" w:sz="0" w:space="0" w:color="auto"/>
                        <w:right w:val="none" w:sz="0" w:space="0" w:color="auto"/>
                      </w:divBdr>
                    </w:div>
                    <w:div w:id="468864816">
                      <w:marLeft w:val="0"/>
                      <w:marRight w:val="0"/>
                      <w:marTop w:val="120"/>
                      <w:marBottom w:val="0"/>
                      <w:divBdr>
                        <w:top w:val="none" w:sz="0" w:space="0" w:color="auto"/>
                        <w:left w:val="none" w:sz="0" w:space="0" w:color="auto"/>
                        <w:bottom w:val="none" w:sz="0" w:space="0" w:color="auto"/>
                        <w:right w:val="none" w:sz="0" w:space="0" w:color="auto"/>
                      </w:divBdr>
                    </w:div>
                  </w:divsChild>
                </w:div>
                <w:div w:id="1922441963">
                  <w:marLeft w:val="0"/>
                  <w:marRight w:val="0"/>
                  <w:marTop w:val="0"/>
                  <w:marBottom w:val="0"/>
                  <w:divBdr>
                    <w:top w:val="none" w:sz="0" w:space="0" w:color="auto"/>
                    <w:left w:val="none" w:sz="0" w:space="0" w:color="auto"/>
                    <w:bottom w:val="none" w:sz="0" w:space="0" w:color="auto"/>
                    <w:right w:val="none" w:sz="0" w:space="0" w:color="auto"/>
                  </w:divBdr>
                  <w:divsChild>
                    <w:div w:id="1094009072">
                      <w:marLeft w:val="0"/>
                      <w:marRight w:val="0"/>
                      <w:marTop w:val="120"/>
                      <w:marBottom w:val="0"/>
                      <w:divBdr>
                        <w:top w:val="none" w:sz="0" w:space="0" w:color="auto"/>
                        <w:left w:val="none" w:sz="0" w:space="0" w:color="auto"/>
                        <w:bottom w:val="none" w:sz="0" w:space="0" w:color="auto"/>
                        <w:right w:val="none" w:sz="0" w:space="0" w:color="auto"/>
                      </w:divBdr>
                    </w:div>
                    <w:div w:id="1255630588">
                      <w:marLeft w:val="0"/>
                      <w:marRight w:val="0"/>
                      <w:marTop w:val="0"/>
                      <w:marBottom w:val="0"/>
                      <w:divBdr>
                        <w:top w:val="none" w:sz="0" w:space="0" w:color="auto"/>
                        <w:left w:val="none" w:sz="0" w:space="0" w:color="auto"/>
                        <w:bottom w:val="none" w:sz="0" w:space="0" w:color="auto"/>
                        <w:right w:val="none" w:sz="0" w:space="0" w:color="auto"/>
                      </w:divBdr>
                    </w:div>
                  </w:divsChild>
                </w:div>
                <w:div w:id="2105220747">
                  <w:marLeft w:val="0"/>
                  <w:marRight w:val="0"/>
                  <w:marTop w:val="0"/>
                  <w:marBottom w:val="0"/>
                  <w:divBdr>
                    <w:top w:val="none" w:sz="0" w:space="0" w:color="auto"/>
                    <w:left w:val="none" w:sz="0" w:space="0" w:color="auto"/>
                    <w:bottom w:val="none" w:sz="0" w:space="0" w:color="auto"/>
                    <w:right w:val="none" w:sz="0" w:space="0" w:color="auto"/>
                  </w:divBdr>
                  <w:divsChild>
                    <w:div w:id="31997859">
                      <w:marLeft w:val="0"/>
                      <w:marRight w:val="0"/>
                      <w:marTop w:val="120"/>
                      <w:marBottom w:val="0"/>
                      <w:divBdr>
                        <w:top w:val="none" w:sz="0" w:space="0" w:color="auto"/>
                        <w:left w:val="none" w:sz="0" w:space="0" w:color="auto"/>
                        <w:bottom w:val="none" w:sz="0" w:space="0" w:color="auto"/>
                        <w:right w:val="none" w:sz="0" w:space="0" w:color="auto"/>
                      </w:divBdr>
                    </w:div>
                    <w:div w:id="19285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459">
          <w:marLeft w:val="0"/>
          <w:marRight w:val="0"/>
          <w:marTop w:val="0"/>
          <w:marBottom w:val="0"/>
          <w:divBdr>
            <w:top w:val="none" w:sz="0" w:space="0" w:color="auto"/>
            <w:left w:val="none" w:sz="0" w:space="0" w:color="auto"/>
            <w:bottom w:val="none" w:sz="0" w:space="0" w:color="auto"/>
            <w:right w:val="none" w:sz="0" w:space="0" w:color="auto"/>
          </w:divBdr>
          <w:divsChild>
            <w:div w:id="528378798">
              <w:marLeft w:val="0"/>
              <w:marRight w:val="0"/>
              <w:marTop w:val="120"/>
              <w:marBottom w:val="0"/>
              <w:divBdr>
                <w:top w:val="none" w:sz="0" w:space="0" w:color="auto"/>
                <w:left w:val="none" w:sz="0" w:space="0" w:color="auto"/>
                <w:bottom w:val="none" w:sz="0" w:space="0" w:color="auto"/>
                <w:right w:val="none" w:sz="0" w:space="0" w:color="auto"/>
              </w:divBdr>
            </w:div>
            <w:div w:id="659651174">
              <w:marLeft w:val="0"/>
              <w:marRight w:val="0"/>
              <w:marTop w:val="0"/>
              <w:marBottom w:val="0"/>
              <w:divBdr>
                <w:top w:val="none" w:sz="0" w:space="0" w:color="auto"/>
                <w:left w:val="none" w:sz="0" w:space="0" w:color="auto"/>
                <w:bottom w:val="none" w:sz="0" w:space="0" w:color="auto"/>
                <w:right w:val="none" w:sz="0" w:space="0" w:color="auto"/>
              </w:divBdr>
            </w:div>
          </w:divsChild>
        </w:div>
        <w:div w:id="1518159225">
          <w:marLeft w:val="0"/>
          <w:marRight w:val="0"/>
          <w:marTop w:val="0"/>
          <w:marBottom w:val="0"/>
          <w:divBdr>
            <w:top w:val="none" w:sz="0" w:space="0" w:color="auto"/>
            <w:left w:val="none" w:sz="0" w:space="0" w:color="auto"/>
            <w:bottom w:val="none" w:sz="0" w:space="0" w:color="auto"/>
            <w:right w:val="none" w:sz="0" w:space="0" w:color="auto"/>
          </w:divBdr>
          <w:divsChild>
            <w:div w:id="87846018">
              <w:marLeft w:val="0"/>
              <w:marRight w:val="0"/>
              <w:marTop w:val="0"/>
              <w:marBottom w:val="0"/>
              <w:divBdr>
                <w:top w:val="none" w:sz="0" w:space="0" w:color="auto"/>
                <w:left w:val="none" w:sz="0" w:space="0" w:color="auto"/>
                <w:bottom w:val="none" w:sz="0" w:space="0" w:color="auto"/>
                <w:right w:val="none" w:sz="0" w:space="0" w:color="auto"/>
              </w:divBdr>
            </w:div>
            <w:div w:id="1356812394">
              <w:marLeft w:val="0"/>
              <w:marRight w:val="0"/>
              <w:marTop w:val="120"/>
              <w:marBottom w:val="0"/>
              <w:divBdr>
                <w:top w:val="none" w:sz="0" w:space="0" w:color="auto"/>
                <w:left w:val="none" w:sz="0" w:space="0" w:color="auto"/>
                <w:bottom w:val="none" w:sz="0" w:space="0" w:color="auto"/>
                <w:right w:val="none" w:sz="0" w:space="0" w:color="auto"/>
              </w:divBdr>
            </w:div>
          </w:divsChild>
        </w:div>
        <w:div w:id="1761022120">
          <w:marLeft w:val="0"/>
          <w:marRight w:val="0"/>
          <w:marTop w:val="0"/>
          <w:marBottom w:val="0"/>
          <w:divBdr>
            <w:top w:val="none" w:sz="0" w:space="0" w:color="auto"/>
            <w:left w:val="none" w:sz="0" w:space="0" w:color="auto"/>
            <w:bottom w:val="none" w:sz="0" w:space="0" w:color="auto"/>
            <w:right w:val="none" w:sz="0" w:space="0" w:color="auto"/>
          </w:divBdr>
          <w:divsChild>
            <w:div w:id="1559589599">
              <w:marLeft w:val="0"/>
              <w:marRight w:val="0"/>
              <w:marTop w:val="120"/>
              <w:marBottom w:val="0"/>
              <w:divBdr>
                <w:top w:val="none" w:sz="0" w:space="0" w:color="auto"/>
                <w:left w:val="none" w:sz="0" w:space="0" w:color="auto"/>
                <w:bottom w:val="none" w:sz="0" w:space="0" w:color="auto"/>
                <w:right w:val="none" w:sz="0" w:space="0" w:color="auto"/>
              </w:divBdr>
            </w:div>
            <w:div w:id="2121410479">
              <w:marLeft w:val="0"/>
              <w:marRight w:val="0"/>
              <w:marTop w:val="0"/>
              <w:marBottom w:val="0"/>
              <w:divBdr>
                <w:top w:val="none" w:sz="0" w:space="0" w:color="auto"/>
                <w:left w:val="none" w:sz="0" w:space="0" w:color="auto"/>
                <w:bottom w:val="none" w:sz="0" w:space="0" w:color="auto"/>
                <w:right w:val="none" w:sz="0" w:space="0" w:color="auto"/>
              </w:divBdr>
            </w:div>
          </w:divsChild>
        </w:div>
        <w:div w:id="2109305636">
          <w:marLeft w:val="0"/>
          <w:marRight w:val="0"/>
          <w:marTop w:val="0"/>
          <w:marBottom w:val="0"/>
          <w:divBdr>
            <w:top w:val="none" w:sz="0" w:space="0" w:color="auto"/>
            <w:left w:val="none" w:sz="0" w:space="0" w:color="auto"/>
            <w:bottom w:val="none" w:sz="0" w:space="0" w:color="auto"/>
            <w:right w:val="none" w:sz="0" w:space="0" w:color="auto"/>
          </w:divBdr>
          <w:divsChild>
            <w:div w:id="249972218">
              <w:marLeft w:val="0"/>
              <w:marRight w:val="0"/>
              <w:marTop w:val="120"/>
              <w:marBottom w:val="0"/>
              <w:divBdr>
                <w:top w:val="none" w:sz="0" w:space="0" w:color="auto"/>
                <w:left w:val="none" w:sz="0" w:space="0" w:color="auto"/>
                <w:bottom w:val="none" w:sz="0" w:space="0" w:color="auto"/>
                <w:right w:val="none" w:sz="0" w:space="0" w:color="auto"/>
              </w:divBdr>
            </w:div>
            <w:div w:id="825366379">
              <w:marLeft w:val="0"/>
              <w:marRight w:val="0"/>
              <w:marTop w:val="0"/>
              <w:marBottom w:val="0"/>
              <w:divBdr>
                <w:top w:val="none" w:sz="0" w:space="0" w:color="auto"/>
                <w:left w:val="none" w:sz="0" w:space="0" w:color="auto"/>
                <w:bottom w:val="none" w:sz="0" w:space="0" w:color="auto"/>
                <w:right w:val="none" w:sz="0" w:space="0" w:color="auto"/>
              </w:divBdr>
              <w:divsChild>
                <w:div w:id="609430348">
                  <w:marLeft w:val="0"/>
                  <w:marRight w:val="0"/>
                  <w:marTop w:val="0"/>
                  <w:marBottom w:val="0"/>
                  <w:divBdr>
                    <w:top w:val="none" w:sz="0" w:space="0" w:color="auto"/>
                    <w:left w:val="none" w:sz="0" w:space="0" w:color="auto"/>
                    <w:bottom w:val="none" w:sz="0" w:space="0" w:color="auto"/>
                    <w:right w:val="none" w:sz="0" w:space="0" w:color="auto"/>
                  </w:divBdr>
                  <w:divsChild>
                    <w:div w:id="260187148">
                      <w:marLeft w:val="0"/>
                      <w:marRight w:val="0"/>
                      <w:marTop w:val="120"/>
                      <w:marBottom w:val="0"/>
                      <w:divBdr>
                        <w:top w:val="none" w:sz="0" w:space="0" w:color="auto"/>
                        <w:left w:val="none" w:sz="0" w:space="0" w:color="auto"/>
                        <w:bottom w:val="none" w:sz="0" w:space="0" w:color="auto"/>
                        <w:right w:val="none" w:sz="0" w:space="0" w:color="auto"/>
                      </w:divBdr>
                    </w:div>
                    <w:div w:id="1987972648">
                      <w:marLeft w:val="0"/>
                      <w:marRight w:val="0"/>
                      <w:marTop w:val="0"/>
                      <w:marBottom w:val="0"/>
                      <w:divBdr>
                        <w:top w:val="none" w:sz="0" w:space="0" w:color="auto"/>
                        <w:left w:val="none" w:sz="0" w:space="0" w:color="auto"/>
                        <w:bottom w:val="none" w:sz="0" w:space="0" w:color="auto"/>
                        <w:right w:val="none" w:sz="0" w:space="0" w:color="auto"/>
                      </w:divBdr>
                    </w:div>
                  </w:divsChild>
                </w:div>
                <w:div w:id="658269209">
                  <w:marLeft w:val="0"/>
                  <w:marRight w:val="0"/>
                  <w:marTop w:val="0"/>
                  <w:marBottom w:val="0"/>
                  <w:divBdr>
                    <w:top w:val="none" w:sz="0" w:space="0" w:color="auto"/>
                    <w:left w:val="none" w:sz="0" w:space="0" w:color="auto"/>
                    <w:bottom w:val="none" w:sz="0" w:space="0" w:color="auto"/>
                    <w:right w:val="none" w:sz="0" w:space="0" w:color="auto"/>
                  </w:divBdr>
                  <w:divsChild>
                    <w:div w:id="1154419879">
                      <w:marLeft w:val="0"/>
                      <w:marRight w:val="0"/>
                      <w:marTop w:val="120"/>
                      <w:marBottom w:val="0"/>
                      <w:divBdr>
                        <w:top w:val="none" w:sz="0" w:space="0" w:color="auto"/>
                        <w:left w:val="none" w:sz="0" w:space="0" w:color="auto"/>
                        <w:bottom w:val="none" w:sz="0" w:space="0" w:color="auto"/>
                        <w:right w:val="none" w:sz="0" w:space="0" w:color="auto"/>
                      </w:divBdr>
                    </w:div>
                    <w:div w:id="2070954123">
                      <w:marLeft w:val="0"/>
                      <w:marRight w:val="0"/>
                      <w:marTop w:val="0"/>
                      <w:marBottom w:val="0"/>
                      <w:divBdr>
                        <w:top w:val="none" w:sz="0" w:space="0" w:color="auto"/>
                        <w:left w:val="none" w:sz="0" w:space="0" w:color="auto"/>
                        <w:bottom w:val="none" w:sz="0" w:space="0" w:color="auto"/>
                        <w:right w:val="none" w:sz="0" w:space="0" w:color="auto"/>
                      </w:divBdr>
                    </w:div>
                  </w:divsChild>
                </w:div>
                <w:div w:id="1206482684">
                  <w:marLeft w:val="0"/>
                  <w:marRight w:val="0"/>
                  <w:marTop w:val="0"/>
                  <w:marBottom w:val="0"/>
                  <w:divBdr>
                    <w:top w:val="none" w:sz="0" w:space="0" w:color="auto"/>
                    <w:left w:val="none" w:sz="0" w:space="0" w:color="auto"/>
                    <w:bottom w:val="none" w:sz="0" w:space="0" w:color="auto"/>
                    <w:right w:val="none" w:sz="0" w:space="0" w:color="auto"/>
                  </w:divBdr>
                  <w:divsChild>
                    <w:div w:id="22826712">
                      <w:marLeft w:val="0"/>
                      <w:marRight w:val="0"/>
                      <w:marTop w:val="0"/>
                      <w:marBottom w:val="0"/>
                      <w:divBdr>
                        <w:top w:val="none" w:sz="0" w:space="0" w:color="auto"/>
                        <w:left w:val="none" w:sz="0" w:space="0" w:color="auto"/>
                        <w:bottom w:val="none" w:sz="0" w:space="0" w:color="auto"/>
                        <w:right w:val="none" w:sz="0" w:space="0" w:color="auto"/>
                      </w:divBdr>
                    </w:div>
                    <w:div w:id="103309088">
                      <w:marLeft w:val="0"/>
                      <w:marRight w:val="0"/>
                      <w:marTop w:val="120"/>
                      <w:marBottom w:val="0"/>
                      <w:divBdr>
                        <w:top w:val="none" w:sz="0" w:space="0" w:color="auto"/>
                        <w:left w:val="none" w:sz="0" w:space="0" w:color="auto"/>
                        <w:bottom w:val="none" w:sz="0" w:space="0" w:color="auto"/>
                        <w:right w:val="none" w:sz="0" w:space="0" w:color="auto"/>
                      </w:divBdr>
                    </w:div>
                  </w:divsChild>
                </w:div>
                <w:div w:id="1353066522">
                  <w:marLeft w:val="0"/>
                  <w:marRight w:val="0"/>
                  <w:marTop w:val="0"/>
                  <w:marBottom w:val="0"/>
                  <w:divBdr>
                    <w:top w:val="none" w:sz="0" w:space="0" w:color="auto"/>
                    <w:left w:val="none" w:sz="0" w:space="0" w:color="auto"/>
                    <w:bottom w:val="none" w:sz="0" w:space="0" w:color="auto"/>
                    <w:right w:val="none" w:sz="0" w:space="0" w:color="auto"/>
                  </w:divBdr>
                  <w:divsChild>
                    <w:div w:id="654453862">
                      <w:marLeft w:val="0"/>
                      <w:marRight w:val="0"/>
                      <w:marTop w:val="120"/>
                      <w:marBottom w:val="0"/>
                      <w:divBdr>
                        <w:top w:val="none" w:sz="0" w:space="0" w:color="auto"/>
                        <w:left w:val="none" w:sz="0" w:space="0" w:color="auto"/>
                        <w:bottom w:val="none" w:sz="0" w:space="0" w:color="auto"/>
                        <w:right w:val="none" w:sz="0" w:space="0" w:color="auto"/>
                      </w:divBdr>
                    </w:div>
                    <w:div w:id="1777168134">
                      <w:marLeft w:val="0"/>
                      <w:marRight w:val="0"/>
                      <w:marTop w:val="0"/>
                      <w:marBottom w:val="0"/>
                      <w:divBdr>
                        <w:top w:val="none" w:sz="0" w:space="0" w:color="auto"/>
                        <w:left w:val="none" w:sz="0" w:space="0" w:color="auto"/>
                        <w:bottom w:val="none" w:sz="0" w:space="0" w:color="auto"/>
                        <w:right w:val="none" w:sz="0" w:space="0" w:color="auto"/>
                      </w:divBdr>
                    </w:div>
                  </w:divsChild>
                </w:div>
                <w:div w:id="2015106248">
                  <w:marLeft w:val="0"/>
                  <w:marRight w:val="0"/>
                  <w:marTop w:val="0"/>
                  <w:marBottom w:val="0"/>
                  <w:divBdr>
                    <w:top w:val="none" w:sz="0" w:space="0" w:color="auto"/>
                    <w:left w:val="none" w:sz="0" w:space="0" w:color="auto"/>
                    <w:bottom w:val="none" w:sz="0" w:space="0" w:color="auto"/>
                    <w:right w:val="none" w:sz="0" w:space="0" w:color="auto"/>
                  </w:divBdr>
                  <w:divsChild>
                    <w:div w:id="1244070868">
                      <w:marLeft w:val="0"/>
                      <w:marRight w:val="0"/>
                      <w:marTop w:val="0"/>
                      <w:marBottom w:val="0"/>
                      <w:divBdr>
                        <w:top w:val="none" w:sz="0" w:space="0" w:color="auto"/>
                        <w:left w:val="none" w:sz="0" w:space="0" w:color="auto"/>
                        <w:bottom w:val="none" w:sz="0" w:space="0" w:color="auto"/>
                        <w:right w:val="none" w:sz="0" w:space="0" w:color="auto"/>
                      </w:divBdr>
                    </w:div>
                    <w:div w:id="1289361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34584127">
      <w:bodyDiv w:val="1"/>
      <w:marLeft w:val="0"/>
      <w:marRight w:val="0"/>
      <w:marTop w:val="0"/>
      <w:marBottom w:val="0"/>
      <w:divBdr>
        <w:top w:val="none" w:sz="0" w:space="0" w:color="auto"/>
        <w:left w:val="none" w:sz="0" w:space="0" w:color="auto"/>
        <w:bottom w:val="none" w:sz="0" w:space="0" w:color="auto"/>
        <w:right w:val="none" w:sz="0" w:space="0" w:color="auto"/>
      </w:divBdr>
    </w:div>
    <w:div w:id="235672395">
      <w:bodyDiv w:val="1"/>
      <w:marLeft w:val="0"/>
      <w:marRight w:val="0"/>
      <w:marTop w:val="0"/>
      <w:marBottom w:val="0"/>
      <w:divBdr>
        <w:top w:val="none" w:sz="0" w:space="0" w:color="auto"/>
        <w:left w:val="none" w:sz="0" w:space="0" w:color="auto"/>
        <w:bottom w:val="none" w:sz="0" w:space="0" w:color="auto"/>
        <w:right w:val="none" w:sz="0" w:space="0" w:color="auto"/>
      </w:divBdr>
      <w:divsChild>
        <w:div w:id="1235507824">
          <w:marLeft w:val="0"/>
          <w:marRight w:val="0"/>
          <w:marTop w:val="0"/>
          <w:marBottom w:val="0"/>
          <w:divBdr>
            <w:top w:val="none" w:sz="0" w:space="0" w:color="auto"/>
            <w:left w:val="none" w:sz="0" w:space="0" w:color="auto"/>
            <w:bottom w:val="none" w:sz="0" w:space="0" w:color="auto"/>
            <w:right w:val="none" w:sz="0" w:space="0" w:color="auto"/>
          </w:divBdr>
        </w:div>
      </w:divsChild>
    </w:div>
    <w:div w:id="236479814">
      <w:bodyDiv w:val="1"/>
      <w:marLeft w:val="0"/>
      <w:marRight w:val="0"/>
      <w:marTop w:val="0"/>
      <w:marBottom w:val="0"/>
      <w:divBdr>
        <w:top w:val="none" w:sz="0" w:space="0" w:color="auto"/>
        <w:left w:val="none" w:sz="0" w:space="0" w:color="auto"/>
        <w:bottom w:val="none" w:sz="0" w:space="0" w:color="auto"/>
        <w:right w:val="none" w:sz="0" w:space="0" w:color="auto"/>
      </w:divBdr>
      <w:divsChild>
        <w:div w:id="1072040811">
          <w:marLeft w:val="0"/>
          <w:marRight w:val="0"/>
          <w:marTop w:val="0"/>
          <w:marBottom w:val="0"/>
          <w:divBdr>
            <w:top w:val="none" w:sz="0" w:space="0" w:color="auto"/>
            <w:left w:val="none" w:sz="0" w:space="0" w:color="auto"/>
            <w:bottom w:val="none" w:sz="0" w:space="0" w:color="auto"/>
            <w:right w:val="none" w:sz="0" w:space="0" w:color="auto"/>
          </w:divBdr>
          <w:divsChild>
            <w:div w:id="1759595767">
              <w:marLeft w:val="0"/>
              <w:marRight w:val="0"/>
              <w:marTop w:val="0"/>
              <w:marBottom w:val="0"/>
              <w:divBdr>
                <w:top w:val="none" w:sz="0" w:space="0" w:color="auto"/>
                <w:left w:val="none" w:sz="0" w:space="0" w:color="auto"/>
                <w:bottom w:val="none" w:sz="0" w:space="0" w:color="auto"/>
                <w:right w:val="none" w:sz="0" w:space="0" w:color="auto"/>
              </w:divBdr>
              <w:divsChild>
                <w:div w:id="233778118">
                  <w:marLeft w:val="0"/>
                  <w:marRight w:val="0"/>
                  <w:marTop w:val="120"/>
                  <w:marBottom w:val="0"/>
                  <w:divBdr>
                    <w:top w:val="none" w:sz="0" w:space="0" w:color="auto"/>
                    <w:left w:val="none" w:sz="0" w:space="0" w:color="auto"/>
                    <w:bottom w:val="none" w:sz="0" w:space="0" w:color="auto"/>
                    <w:right w:val="none" w:sz="0" w:space="0" w:color="auto"/>
                  </w:divBdr>
                </w:div>
                <w:div w:id="1926104958">
                  <w:marLeft w:val="0"/>
                  <w:marRight w:val="0"/>
                  <w:marTop w:val="0"/>
                  <w:marBottom w:val="0"/>
                  <w:divBdr>
                    <w:top w:val="none" w:sz="0" w:space="0" w:color="auto"/>
                    <w:left w:val="none" w:sz="0" w:space="0" w:color="auto"/>
                    <w:bottom w:val="none" w:sz="0" w:space="0" w:color="auto"/>
                    <w:right w:val="none" w:sz="0" w:space="0" w:color="auto"/>
                  </w:divBdr>
                </w:div>
              </w:divsChild>
            </w:div>
            <w:div w:id="1940791093">
              <w:marLeft w:val="0"/>
              <w:marRight w:val="0"/>
              <w:marTop w:val="0"/>
              <w:marBottom w:val="0"/>
              <w:divBdr>
                <w:top w:val="none" w:sz="0" w:space="0" w:color="auto"/>
                <w:left w:val="none" w:sz="0" w:space="0" w:color="auto"/>
                <w:bottom w:val="none" w:sz="0" w:space="0" w:color="auto"/>
                <w:right w:val="none" w:sz="0" w:space="0" w:color="auto"/>
              </w:divBdr>
              <w:divsChild>
                <w:div w:id="627472072">
                  <w:marLeft w:val="0"/>
                  <w:marRight w:val="0"/>
                  <w:marTop w:val="0"/>
                  <w:marBottom w:val="0"/>
                  <w:divBdr>
                    <w:top w:val="none" w:sz="0" w:space="0" w:color="auto"/>
                    <w:left w:val="none" w:sz="0" w:space="0" w:color="auto"/>
                    <w:bottom w:val="none" w:sz="0" w:space="0" w:color="auto"/>
                    <w:right w:val="none" w:sz="0" w:space="0" w:color="auto"/>
                  </w:divBdr>
                </w:div>
                <w:div w:id="9477395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7329566">
      <w:bodyDiv w:val="1"/>
      <w:marLeft w:val="0"/>
      <w:marRight w:val="0"/>
      <w:marTop w:val="0"/>
      <w:marBottom w:val="0"/>
      <w:divBdr>
        <w:top w:val="none" w:sz="0" w:space="0" w:color="auto"/>
        <w:left w:val="none" w:sz="0" w:space="0" w:color="auto"/>
        <w:bottom w:val="none" w:sz="0" w:space="0" w:color="auto"/>
        <w:right w:val="none" w:sz="0" w:space="0" w:color="auto"/>
      </w:divBdr>
      <w:divsChild>
        <w:div w:id="1892224565">
          <w:marLeft w:val="0"/>
          <w:marRight w:val="0"/>
          <w:marTop w:val="0"/>
          <w:marBottom w:val="0"/>
          <w:divBdr>
            <w:top w:val="none" w:sz="0" w:space="0" w:color="auto"/>
            <w:left w:val="none" w:sz="0" w:space="0" w:color="auto"/>
            <w:bottom w:val="none" w:sz="0" w:space="0" w:color="auto"/>
            <w:right w:val="none" w:sz="0" w:space="0" w:color="auto"/>
          </w:divBdr>
          <w:divsChild>
            <w:div w:id="1634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2561">
      <w:bodyDiv w:val="1"/>
      <w:marLeft w:val="0"/>
      <w:marRight w:val="0"/>
      <w:marTop w:val="0"/>
      <w:marBottom w:val="0"/>
      <w:divBdr>
        <w:top w:val="none" w:sz="0" w:space="0" w:color="auto"/>
        <w:left w:val="none" w:sz="0" w:space="0" w:color="auto"/>
        <w:bottom w:val="none" w:sz="0" w:space="0" w:color="auto"/>
        <w:right w:val="none" w:sz="0" w:space="0" w:color="auto"/>
      </w:divBdr>
      <w:divsChild>
        <w:div w:id="5450335">
          <w:marLeft w:val="0"/>
          <w:marRight w:val="0"/>
          <w:marTop w:val="0"/>
          <w:marBottom w:val="0"/>
          <w:divBdr>
            <w:top w:val="none" w:sz="0" w:space="0" w:color="auto"/>
            <w:left w:val="none" w:sz="0" w:space="0" w:color="auto"/>
            <w:bottom w:val="none" w:sz="0" w:space="0" w:color="auto"/>
            <w:right w:val="none" w:sz="0" w:space="0" w:color="auto"/>
          </w:divBdr>
          <w:divsChild>
            <w:div w:id="674261147">
              <w:marLeft w:val="0"/>
              <w:marRight w:val="0"/>
              <w:marTop w:val="0"/>
              <w:marBottom w:val="0"/>
              <w:divBdr>
                <w:top w:val="none" w:sz="0" w:space="0" w:color="auto"/>
                <w:left w:val="none" w:sz="0" w:space="0" w:color="auto"/>
                <w:bottom w:val="none" w:sz="0" w:space="0" w:color="auto"/>
                <w:right w:val="none" w:sz="0" w:space="0" w:color="auto"/>
              </w:divBdr>
              <w:divsChild>
                <w:div w:id="1030372775">
                  <w:marLeft w:val="0"/>
                  <w:marRight w:val="0"/>
                  <w:marTop w:val="120"/>
                  <w:marBottom w:val="0"/>
                  <w:divBdr>
                    <w:top w:val="none" w:sz="0" w:space="0" w:color="auto"/>
                    <w:left w:val="none" w:sz="0" w:space="0" w:color="auto"/>
                    <w:bottom w:val="none" w:sz="0" w:space="0" w:color="auto"/>
                    <w:right w:val="none" w:sz="0" w:space="0" w:color="auto"/>
                  </w:divBdr>
                </w:div>
                <w:div w:id="1126463611">
                  <w:marLeft w:val="0"/>
                  <w:marRight w:val="0"/>
                  <w:marTop w:val="0"/>
                  <w:marBottom w:val="0"/>
                  <w:divBdr>
                    <w:top w:val="none" w:sz="0" w:space="0" w:color="auto"/>
                    <w:left w:val="none" w:sz="0" w:space="0" w:color="auto"/>
                    <w:bottom w:val="none" w:sz="0" w:space="0" w:color="auto"/>
                    <w:right w:val="none" w:sz="0" w:space="0" w:color="auto"/>
                  </w:divBdr>
                </w:div>
              </w:divsChild>
            </w:div>
            <w:div w:id="1115514384">
              <w:marLeft w:val="0"/>
              <w:marRight w:val="0"/>
              <w:marTop w:val="0"/>
              <w:marBottom w:val="0"/>
              <w:divBdr>
                <w:top w:val="none" w:sz="0" w:space="0" w:color="auto"/>
                <w:left w:val="none" w:sz="0" w:space="0" w:color="auto"/>
                <w:bottom w:val="none" w:sz="0" w:space="0" w:color="auto"/>
                <w:right w:val="none" w:sz="0" w:space="0" w:color="auto"/>
              </w:divBdr>
              <w:divsChild>
                <w:div w:id="967782029">
                  <w:marLeft w:val="0"/>
                  <w:marRight w:val="0"/>
                  <w:marTop w:val="120"/>
                  <w:marBottom w:val="0"/>
                  <w:divBdr>
                    <w:top w:val="none" w:sz="0" w:space="0" w:color="auto"/>
                    <w:left w:val="none" w:sz="0" w:space="0" w:color="auto"/>
                    <w:bottom w:val="none" w:sz="0" w:space="0" w:color="auto"/>
                    <w:right w:val="none" w:sz="0" w:space="0" w:color="auto"/>
                  </w:divBdr>
                </w:div>
                <w:div w:id="1842813769">
                  <w:marLeft w:val="0"/>
                  <w:marRight w:val="0"/>
                  <w:marTop w:val="0"/>
                  <w:marBottom w:val="0"/>
                  <w:divBdr>
                    <w:top w:val="none" w:sz="0" w:space="0" w:color="auto"/>
                    <w:left w:val="none" w:sz="0" w:space="0" w:color="auto"/>
                    <w:bottom w:val="none" w:sz="0" w:space="0" w:color="auto"/>
                    <w:right w:val="none" w:sz="0" w:space="0" w:color="auto"/>
                  </w:divBdr>
                </w:div>
              </w:divsChild>
            </w:div>
            <w:div w:id="1657681874">
              <w:marLeft w:val="0"/>
              <w:marRight w:val="0"/>
              <w:marTop w:val="0"/>
              <w:marBottom w:val="0"/>
              <w:divBdr>
                <w:top w:val="none" w:sz="0" w:space="0" w:color="auto"/>
                <w:left w:val="none" w:sz="0" w:space="0" w:color="auto"/>
                <w:bottom w:val="none" w:sz="0" w:space="0" w:color="auto"/>
                <w:right w:val="none" w:sz="0" w:space="0" w:color="auto"/>
              </w:divBdr>
              <w:divsChild>
                <w:div w:id="186405396">
                  <w:marLeft w:val="0"/>
                  <w:marRight w:val="0"/>
                  <w:marTop w:val="120"/>
                  <w:marBottom w:val="0"/>
                  <w:divBdr>
                    <w:top w:val="none" w:sz="0" w:space="0" w:color="auto"/>
                    <w:left w:val="none" w:sz="0" w:space="0" w:color="auto"/>
                    <w:bottom w:val="none" w:sz="0" w:space="0" w:color="auto"/>
                    <w:right w:val="none" w:sz="0" w:space="0" w:color="auto"/>
                  </w:divBdr>
                </w:div>
                <w:div w:id="18637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838">
      <w:bodyDiv w:val="1"/>
      <w:marLeft w:val="0"/>
      <w:marRight w:val="0"/>
      <w:marTop w:val="0"/>
      <w:marBottom w:val="0"/>
      <w:divBdr>
        <w:top w:val="none" w:sz="0" w:space="0" w:color="auto"/>
        <w:left w:val="none" w:sz="0" w:space="0" w:color="auto"/>
        <w:bottom w:val="none" w:sz="0" w:space="0" w:color="auto"/>
        <w:right w:val="none" w:sz="0" w:space="0" w:color="auto"/>
      </w:divBdr>
      <w:divsChild>
        <w:div w:id="780993823">
          <w:marLeft w:val="0"/>
          <w:marRight w:val="0"/>
          <w:marTop w:val="0"/>
          <w:marBottom w:val="0"/>
          <w:divBdr>
            <w:top w:val="none" w:sz="0" w:space="0" w:color="auto"/>
            <w:left w:val="none" w:sz="0" w:space="0" w:color="auto"/>
            <w:bottom w:val="none" w:sz="0" w:space="0" w:color="auto"/>
            <w:right w:val="none" w:sz="0" w:space="0" w:color="auto"/>
          </w:divBdr>
          <w:divsChild>
            <w:div w:id="128012407">
              <w:marLeft w:val="0"/>
              <w:marRight w:val="0"/>
              <w:marTop w:val="0"/>
              <w:marBottom w:val="0"/>
              <w:divBdr>
                <w:top w:val="none" w:sz="0" w:space="0" w:color="auto"/>
                <w:left w:val="none" w:sz="0" w:space="0" w:color="auto"/>
                <w:bottom w:val="none" w:sz="0" w:space="0" w:color="auto"/>
                <w:right w:val="none" w:sz="0" w:space="0" w:color="auto"/>
              </w:divBdr>
              <w:divsChild>
                <w:div w:id="263926168">
                  <w:marLeft w:val="0"/>
                  <w:marRight w:val="0"/>
                  <w:marTop w:val="120"/>
                  <w:marBottom w:val="0"/>
                  <w:divBdr>
                    <w:top w:val="none" w:sz="0" w:space="0" w:color="auto"/>
                    <w:left w:val="none" w:sz="0" w:space="0" w:color="auto"/>
                    <w:bottom w:val="none" w:sz="0" w:space="0" w:color="auto"/>
                    <w:right w:val="none" w:sz="0" w:space="0" w:color="auto"/>
                  </w:divBdr>
                </w:div>
                <w:div w:id="997226982">
                  <w:marLeft w:val="0"/>
                  <w:marRight w:val="0"/>
                  <w:marTop w:val="0"/>
                  <w:marBottom w:val="0"/>
                  <w:divBdr>
                    <w:top w:val="none" w:sz="0" w:space="0" w:color="auto"/>
                    <w:left w:val="none" w:sz="0" w:space="0" w:color="auto"/>
                    <w:bottom w:val="none" w:sz="0" w:space="0" w:color="auto"/>
                    <w:right w:val="none" w:sz="0" w:space="0" w:color="auto"/>
                  </w:divBdr>
                </w:div>
              </w:divsChild>
            </w:div>
            <w:div w:id="288903405">
              <w:marLeft w:val="0"/>
              <w:marRight w:val="0"/>
              <w:marTop w:val="0"/>
              <w:marBottom w:val="0"/>
              <w:divBdr>
                <w:top w:val="none" w:sz="0" w:space="0" w:color="auto"/>
                <w:left w:val="none" w:sz="0" w:space="0" w:color="auto"/>
                <w:bottom w:val="none" w:sz="0" w:space="0" w:color="auto"/>
                <w:right w:val="none" w:sz="0" w:space="0" w:color="auto"/>
              </w:divBdr>
              <w:divsChild>
                <w:div w:id="123937760">
                  <w:marLeft w:val="0"/>
                  <w:marRight w:val="0"/>
                  <w:marTop w:val="120"/>
                  <w:marBottom w:val="0"/>
                  <w:divBdr>
                    <w:top w:val="none" w:sz="0" w:space="0" w:color="auto"/>
                    <w:left w:val="none" w:sz="0" w:space="0" w:color="auto"/>
                    <w:bottom w:val="none" w:sz="0" w:space="0" w:color="auto"/>
                    <w:right w:val="none" w:sz="0" w:space="0" w:color="auto"/>
                  </w:divBdr>
                </w:div>
                <w:div w:id="1255626795">
                  <w:marLeft w:val="0"/>
                  <w:marRight w:val="0"/>
                  <w:marTop w:val="0"/>
                  <w:marBottom w:val="0"/>
                  <w:divBdr>
                    <w:top w:val="none" w:sz="0" w:space="0" w:color="auto"/>
                    <w:left w:val="none" w:sz="0" w:space="0" w:color="auto"/>
                    <w:bottom w:val="none" w:sz="0" w:space="0" w:color="auto"/>
                    <w:right w:val="none" w:sz="0" w:space="0" w:color="auto"/>
                  </w:divBdr>
                </w:div>
              </w:divsChild>
            </w:div>
            <w:div w:id="518811239">
              <w:marLeft w:val="0"/>
              <w:marRight w:val="0"/>
              <w:marTop w:val="0"/>
              <w:marBottom w:val="0"/>
              <w:divBdr>
                <w:top w:val="none" w:sz="0" w:space="0" w:color="auto"/>
                <w:left w:val="none" w:sz="0" w:space="0" w:color="auto"/>
                <w:bottom w:val="none" w:sz="0" w:space="0" w:color="auto"/>
                <w:right w:val="none" w:sz="0" w:space="0" w:color="auto"/>
              </w:divBdr>
              <w:divsChild>
                <w:div w:id="642394673">
                  <w:marLeft w:val="0"/>
                  <w:marRight w:val="0"/>
                  <w:marTop w:val="0"/>
                  <w:marBottom w:val="0"/>
                  <w:divBdr>
                    <w:top w:val="none" w:sz="0" w:space="0" w:color="auto"/>
                    <w:left w:val="none" w:sz="0" w:space="0" w:color="auto"/>
                    <w:bottom w:val="none" w:sz="0" w:space="0" w:color="auto"/>
                    <w:right w:val="none" w:sz="0" w:space="0" w:color="auto"/>
                  </w:divBdr>
                </w:div>
                <w:div w:id="1386373912">
                  <w:marLeft w:val="0"/>
                  <w:marRight w:val="0"/>
                  <w:marTop w:val="120"/>
                  <w:marBottom w:val="0"/>
                  <w:divBdr>
                    <w:top w:val="none" w:sz="0" w:space="0" w:color="auto"/>
                    <w:left w:val="none" w:sz="0" w:space="0" w:color="auto"/>
                    <w:bottom w:val="none" w:sz="0" w:space="0" w:color="auto"/>
                    <w:right w:val="none" w:sz="0" w:space="0" w:color="auto"/>
                  </w:divBdr>
                </w:div>
              </w:divsChild>
            </w:div>
            <w:div w:id="636885493">
              <w:marLeft w:val="0"/>
              <w:marRight w:val="0"/>
              <w:marTop w:val="0"/>
              <w:marBottom w:val="0"/>
              <w:divBdr>
                <w:top w:val="none" w:sz="0" w:space="0" w:color="auto"/>
                <w:left w:val="none" w:sz="0" w:space="0" w:color="auto"/>
                <w:bottom w:val="none" w:sz="0" w:space="0" w:color="auto"/>
                <w:right w:val="none" w:sz="0" w:space="0" w:color="auto"/>
              </w:divBdr>
              <w:divsChild>
                <w:div w:id="1853372317">
                  <w:marLeft w:val="0"/>
                  <w:marRight w:val="0"/>
                  <w:marTop w:val="0"/>
                  <w:marBottom w:val="0"/>
                  <w:divBdr>
                    <w:top w:val="none" w:sz="0" w:space="0" w:color="auto"/>
                    <w:left w:val="none" w:sz="0" w:space="0" w:color="auto"/>
                    <w:bottom w:val="none" w:sz="0" w:space="0" w:color="auto"/>
                    <w:right w:val="none" w:sz="0" w:space="0" w:color="auto"/>
                  </w:divBdr>
                </w:div>
                <w:div w:id="1998683408">
                  <w:marLeft w:val="0"/>
                  <w:marRight w:val="0"/>
                  <w:marTop w:val="120"/>
                  <w:marBottom w:val="0"/>
                  <w:divBdr>
                    <w:top w:val="none" w:sz="0" w:space="0" w:color="auto"/>
                    <w:left w:val="none" w:sz="0" w:space="0" w:color="auto"/>
                    <w:bottom w:val="none" w:sz="0" w:space="0" w:color="auto"/>
                    <w:right w:val="none" w:sz="0" w:space="0" w:color="auto"/>
                  </w:divBdr>
                </w:div>
              </w:divsChild>
            </w:div>
            <w:div w:id="1530676917">
              <w:marLeft w:val="0"/>
              <w:marRight w:val="0"/>
              <w:marTop w:val="0"/>
              <w:marBottom w:val="0"/>
              <w:divBdr>
                <w:top w:val="none" w:sz="0" w:space="0" w:color="auto"/>
                <w:left w:val="none" w:sz="0" w:space="0" w:color="auto"/>
                <w:bottom w:val="none" w:sz="0" w:space="0" w:color="auto"/>
                <w:right w:val="none" w:sz="0" w:space="0" w:color="auto"/>
              </w:divBdr>
              <w:divsChild>
                <w:div w:id="145321037">
                  <w:marLeft w:val="0"/>
                  <w:marRight w:val="0"/>
                  <w:marTop w:val="0"/>
                  <w:marBottom w:val="0"/>
                  <w:divBdr>
                    <w:top w:val="none" w:sz="0" w:space="0" w:color="auto"/>
                    <w:left w:val="none" w:sz="0" w:space="0" w:color="auto"/>
                    <w:bottom w:val="none" w:sz="0" w:space="0" w:color="auto"/>
                    <w:right w:val="none" w:sz="0" w:space="0" w:color="auto"/>
                  </w:divBdr>
                </w:div>
                <w:div w:id="1323655045">
                  <w:marLeft w:val="0"/>
                  <w:marRight w:val="0"/>
                  <w:marTop w:val="120"/>
                  <w:marBottom w:val="0"/>
                  <w:divBdr>
                    <w:top w:val="none" w:sz="0" w:space="0" w:color="auto"/>
                    <w:left w:val="none" w:sz="0" w:space="0" w:color="auto"/>
                    <w:bottom w:val="none" w:sz="0" w:space="0" w:color="auto"/>
                    <w:right w:val="none" w:sz="0" w:space="0" w:color="auto"/>
                  </w:divBdr>
                </w:div>
              </w:divsChild>
            </w:div>
            <w:div w:id="1712001361">
              <w:marLeft w:val="0"/>
              <w:marRight w:val="0"/>
              <w:marTop w:val="0"/>
              <w:marBottom w:val="0"/>
              <w:divBdr>
                <w:top w:val="none" w:sz="0" w:space="0" w:color="auto"/>
                <w:left w:val="none" w:sz="0" w:space="0" w:color="auto"/>
                <w:bottom w:val="none" w:sz="0" w:space="0" w:color="auto"/>
                <w:right w:val="none" w:sz="0" w:space="0" w:color="auto"/>
              </w:divBdr>
              <w:divsChild>
                <w:div w:id="596250277">
                  <w:marLeft w:val="0"/>
                  <w:marRight w:val="0"/>
                  <w:marTop w:val="120"/>
                  <w:marBottom w:val="0"/>
                  <w:divBdr>
                    <w:top w:val="none" w:sz="0" w:space="0" w:color="auto"/>
                    <w:left w:val="none" w:sz="0" w:space="0" w:color="auto"/>
                    <w:bottom w:val="none" w:sz="0" w:space="0" w:color="auto"/>
                    <w:right w:val="none" w:sz="0" w:space="0" w:color="auto"/>
                  </w:divBdr>
                </w:div>
                <w:div w:id="17919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4185">
      <w:bodyDiv w:val="1"/>
      <w:marLeft w:val="0"/>
      <w:marRight w:val="0"/>
      <w:marTop w:val="0"/>
      <w:marBottom w:val="0"/>
      <w:divBdr>
        <w:top w:val="none" w:sz="0" w:space="0" w:color="auto"/>
        <w:left w:val="none" w:sz="0" w:space="0" w:color="auto"/>
        <w:bottom w:val="none" w:sz="0" w:space="0" w:color="auto"/>
        <w:right w:val="none" w:sz="0" w:space="0" w:color="auto"/>
      </w:divBdr>
      <w:divsChild>
        <w:div w:id="518324531">
          <w:marLeft w:val="0"/>
          <w:marRight w:val="0"/>
          <w:marTop w:val="0"/>
          <w:marBottom w:val="0"/>
          <w:divBdr>
            <w:top w:val="none" w:sz="0" w:space="0" w:color="auto"/>
            <w:left w:val="none" w:sz="0" w:space="0" w:color="auto"/>
            <w:bottom w:val="none" w:sz="0" w:space="0" w:color="auto"/>
            <w:right w:val="none" w:sz="0" w:space="0" w:color="auto"/>
          </w:divBdr>
        </w:div>
      </w:divsChild>
    </w:div>
    <w:div w:id="288825003">
      <w:bodyDiv w:val="1"/>
      <w:marLeft w:val="0"/>
      <w:marRight w:val="0"/>
      <w:marTop w:val="0"/>
      <w:marBottom w:val="0"/>
      <w:divBdr>
        <w:top w:val="none" w:sz="0" w:space="0" w:color="auto"/>
        <w:left w:val="none" w:sz="0" w:space="0" w:color="auto"/>
        <w:bottom w:val="none" w:sz="0" w:space="0" w:color="auto"/>
        <w:right w:val="none" w:sz="0" w:space="0" w:color="auto"/>
      </w:divBdr>
      <w:divsChild>
        <w:div w:id="439567248">
          <w:marLeft w:val="0"/>
          <w:marRight w:val="0"/>
          <w:marTop w:val="0"/>
          <w:marBottom w:val="0"/>
          <w:divBdr>
            <w:top w:val="none" w:sz="0" w:space="0" w:color="auto"/>
            <w:left w:val="none" w:sz="0" w:space="0" w:color="auto"/>
            <w:bottom w:val="none" w:sz="0" w:space="0" w:color="auto"/>
            <w:right w:val="none" w:sz="0" w:space="0" w:color="auto"/>
          </w:divBdr>
        </w:div>
      </w:divsChild>
    </w:div>
    <w:div w:id="292487861">
      <w:bodyDiv w:val="1"/>
      <w:marLeft w:val="0"/>
      <w:marRight w:val="0"/>
      <w:marTop w:val="0"/>
      <w:marBottom w:val="0"/>
      <w:divBdr>
        <w:top w:val="none" w:sz="0" w:space="0" w:color="auto"/>
        <w:left w:val="none" w:sz="0" w:space="0" w:color="auto"/>
        <w:bottom w:val="none" w:sz="0" w:space="0" w:color="auto"/>
        <w:right w:val="none" w:sz="0" w:space="0" w:color="auto"/>
      </w:divBdr>
      <w:divsChild>
        <w:div w:id="524288501">
          <w:marLeft w:val="0"/>
          <w:marRight w:val="0"/>
          <w:marTop w:val="0"/>
          <w:marBottom w:val="0"/>
          <w:divBdr>
            <w:top w:val="none" w:sz="0" w:space="0" w:color="auto"/>
            <w:left w:val="none" w:sz="0" w:space="0" w:color="auto"/>
            <w:bottom w:val="none" w:sz="0" w:space="0" w:color="auto"/>
            <w:right w:val="none" w:sz="0" w:space="0" w:color="auto"/>
          </w:divBdr>
          <w:divsChild>
            <w:div w:id="221528630">
              <w:marLeft w:val="0"/>
              <w:marRight w:val="0"/>
              <w:marTop w:val="0"/>
              <w:marBottom w:val="0"/>
              <w:divBdr>
                <w:top w:val="none" w:sz="0" w:space="0" w:color="auto"/>
                <w:left w:val="none" w:sz="0" w:space="0" w:color="auto"/>
                <w:bottom w:val="none" w:sz="0" w:space="0" w:color="auto"/>
                <w:right w:val="none" w:sz="0" w:space="0" w:color="auto"/>
              </w:divBdr>
            </w:div>
            <w:div w:id="1828327816">
              <w:marLeft w:val="0"/>
              <w:marRight w:val="0"/>
              <w:marTop w:val="120"/>
              <w:marBottom w:val="0"/>
              <w:divBdr>
                <w:top w:val="none" w:sz="0" w:space="0" w:color="auto"/>
                <w:left w:val="none" w:sz="0" w:space="0" w:color="auto"/>
                <w:bottom w:val="none" w:sz="0" w:space="0" w:color="auto"/>
                <w:right w:val="none" w:sz="0" w:space="0" w:color="auto"/>
              </w:divBdr>
            </w:div>
          </w:divsChild>
        </w:div>
        <w:div w:id="529339900">
          <w:marLeft w:val="0"/>
          <w:marRight w:val="0"/>
          <w:marTop w:val="0"/>
          <w:marBottom w:val="0"/>
          <w:divBdr>
            <w:top w:val="none" w:sz="0" w:space="0" w:color="auto"/>
            <w:left w:val="none" w:sz="0" w:space="0" w:color="auto"/>
            <w:bottom w:val="none" w:sz="0" w:space="0" w:color="auto"/>
            <w:right w:val="none" w:sz="0" w:space="0" w:color="auto"/>
          </w:divBdr>
          <w:divsChild>
            <w:div w:id="534736287">
              <w:marLeft w:val="0"/>
              <w:marRight w:val="0"/>
              <w:marTop w:val="120"/>
              <w:marBottom w:val="0"/>
              <w:divBdr>
                <w:top w:val="none" w:sz="0" w:space="0" w:color="auto"/>
                <w:left w:val="none" w:sz="0" w:space="0" w:color="auto"/>
                <w:bottom w:val="none" w:sz="0" w:space="0" w:color="auto"/>
                <w:right w:val="none" w:sz="0" w:space="0" w:color="auto"/>
              </w:divBdr>
            </w:div>
            <w:div w:id="673798378">
              <w:marLeft w:val="0"/>
              <w:marRight w:val="0"/>
              <w:marTop w:val="0"/>
              <w:marBottom w:val="0"/>
              <w:divBdr>
                <w:top w:val="none" w:sz="0" w:space="0" w:color="auto"/>
                <w:left w:val="none" w:sz="0" w:space="0" w:color="auto"/>
                <w:bottom w:val="none" w:sz="0" w:space="0" w:color="auto"/>
                <w:right w:val="none" w:sz="0" w:space="0" w:color="auto"/>
              </w:divBdr>
            </w:div>
          </w:divsChild>
        </w:div>
        <w:div w:id="569343676">
          <w:marLeft w:val="0"/>
          <w:marRight w:val="0"/>
          <w:marTop w:val="0"/>
          <w:marBottom w:val="0"/>
          <w:divBdr>
            <w:top w:val="none" w:sz="0" w:space="0" w:color="auto"/>
            <w:left w:val="none" w:sz="0" w:space="0" w:color="auto"/>
            <w:bottom w:val="none" w:sz="0" w:space="0" w:color="auto"/>
            <w:right w:val="none" w:sz="0" w:space="0" w:color="auto"/>
          </w:divBdr>
          <w:divsChild>
            <w:div w:id="261690710">
              <w:marLeft w:val="0"/>
              <w:marRight w:val="0"/>
              <w:marTop w:val="0"/>
              <w:marBottom w:val="0"/>
              <w:divBdr>
                <w:top w:val="none" w:sz="0" w:space="0" w:color="auto"/>
                <w:left w:val="none" w:sz="0" w:space="0" w:color="auto"/>
                <w:bottom w:val="none" w:sz="0" w:space="0" w:color="auto"/>
                <w:right w:val="none" w:sz="0" w:space="0" w:color="auto"/>
              </w:divBdr>
            </w:div>
            <w:div w:id="787622518">
              <w:marLeft w:val="0"/>
              <w:marRight w:val="0"/>
              <w:marTop w:val="120"/>
              <w:marBottom w:val="0"/>
              <w:divBdr>
                <w:top w:val="none" w:sz="0" w:space="0" w:color="auto"/>
                <w:left w:val="none" w:sz="0" w:space="0" w:color="auto"/>
                <w:bottom w:val="none" w:sz="0" w:space="0" w:color="auto"/>
                <w:right w:val="none" w:sz="0" w:space="0" w:color="auto"/>
              </w:divBdr>
            </w:div>
          </w:divsChild>
        </w:div>
        <w:div w:id="1379233905">
          <w:marLeft w:val="0"/>
          <w:marRight w:val="0"/>
          <w:marTop w:val="0"/>
          <w:marBottom w:val="0"/>
          <w:divBdr>
            <w:top w:val="none" w:sz="0" w:space="0" w:color="auto"/>
            <w:left w:val="none" w:sz="0" w:space="0" w:color="auto"/>
            <w:bottom w:val="none" w:sz="0" w:space="0" w:color="auto"/>
            <w:right w:val="none" w:sz="0" w:space="0" w:color="auto"/>
          </w:divBdr>
          <w:divsChild>
            <w:div w:id="202138510">
              <w:marLeft w:val="0"/>
              <w:marRight w:val="0"/>
              <w:marTop w:val="120"/>
              <w:marBottom w:val="0"/>
              <w:divBdr>
                <w:top w:val="none" w:sz="0" w:space="0" w:color="auto"/>
                <w:left w:val="none" w:sz="0" w:space="0" w:color="auto"/>
                <w:bottom w:val="none" w:sz="0" w:space="0" w:color="auto"/>
                <w:right w:val="none" w:sz="0" w:space="0" w:color="auto"/>
              </w:divBdr>
            </w:div>
            <w:div w:id="1849172710">
              <w:marLeft w:val="0"/>
              <w:marRight w:val="0"/>
              <w:marTop w:val="0"/>
              <w:marBottom w:val="0"/>
              <w:divBdr>
                <w:top w:val="none" w:sz="0" w:space="0" w:color="auto"/>
                <w:left w:val="none" w:sz="0" w:space="0" w:color="auto"/>
                <w:bottom w:val="none" w:sz="0" w:space="0" w:color="auto"/>
                <w:right w:val="none" w:sz="0" w:space="0" w:color="auto"/>
              </w:divBdr>
            </w:div>
          </w:divsChild>
        </w:div>
        <w:div w:id="1620526459">
          <w:marLeft w:val="0"/>
          <w:marRight w:val="0"/>
          <w:marTop w:val="0"/>
          <w:marBottom w:val="0"/>
          <w:divBdr>
            <w:top w:val="none" w:sz="0" w:space="0" w:color="auto"/>
            <w:left w:val="none" w:sz="0" w:space="0" w:color="auto"/>
            <w:bottom w:val="none" w:sz="0" w:space="0" w:color="auto"/>
            <w:right w:val="none" w:sz="0" w:space="0" w:color="auto"/>
          </w:divBdr>
          <w:divsChild>
            <w:div w:id="1112046440">
              <w:marLeft w:val="0"/>
              <w:marRight w:val="0"/>
              <w:marTop w:val="120"/>
              <w:marBottom w:val="0"/>
              <w:divBdr>
                <w:top w:val="none" w:sz="0" w:space="0" w:color="auto"/>
                <w:left w:val="none" w:sz="0" w:space="0" w:color="auto"/>
                <w:bottom w:val="none" w:sz="0" w:space="0" w:color="auto"/>
                <w:right w:val="none" w:sz="0" w:space="0" w:color="auto"/>
              </w:divBdr>
            </w:div>
            <w:div w:id="1839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9116">
      <w:bodyDiv w:val="1"/>
      <w:marLeft w:val="0"/>
      <w:marRight w:val="0"/>
      <w:marTop w:val="0"/>
      <w:marBottom w:val="0"/>
      <w:divBdr>
        <w:top w:val="none" w:sz="0" w:space="0" w:color="auto"/>
        <w:left w:val="none" w:sz="0" w:space="0" w:color="auto"/>
        <w:bottom w:val="none" w:sz="0" w:space="0" w:color="auto"/>
        <w:right w:val="none" w:sz="0" w:space="0" w:color="auto"/>
      </w:divBdr>
    </w:div>
    <w:div w:id="302388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2987">
          <w:marLeft w:val="0"/>
          <w:marRight w:val="0"/>
          <w:marTop w:val="0"/>
          <w:marBottom w:val="0"/>
          <w:divBdr>
            <w:top w:val="none" w:sz="0" w:space="0" w:color="auto"/>
            <w:left w:val="none" w:sz="0" w:space="0" w:color="auto"/>
            <w:bottom w:val="none" w:sz="0" w:space="0" w:color="auto"/>
            <w:right w:val="none" w:sz="0" w:space="0" w:color="auto"/>
          </w:divBdr>
          <w:divsChild>
            <w:div w:id="5121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555">
      <w:bodyDiv w:val="1"/>
      <w:marLeft w:val="0"/>
      <w:marRight w:val="0"/>
      <w:marTop w:val="0"/>
      <w:marBottom w:val="0"/>
      <w:divBdr>
        <w:top w:val="none" w:sz="0" w:space="0" w:color="auto"/>
        <w:left w:val="none" w:sz="0" w:space="0" w:color="auto"/>
        <w:bottom w:val="none" w:sz="0" w:space="0" w:color="auto"/>
        <w:right w:val="none" w:sz="0" w:space="0" w:color="auto"/>
      </w:divBdr>
    </w:div>
    <w:div w:id="317266666">
      <w:bodyDiv w:val="1"/>
      <w:marLeft w:val="0"/>
      <w:marRight w:val="0"/>
      <w:marTop w:val="0"/>
      <w:marBottom w:val="0"/>
      <w:divBdr>
        <w:top w:val="none" w:sz="0" w:space="0" w:color="auto"/>
        <w:left w:val="none" w:sz="0" w:space="0" w:color="auto"/>
        <w:bottom w:val="none" w:sz="0" w:space="0" w:color="auto"/>
        <w:right w:val="none" w:sz="0" w:space="0" w:color="auto"/>
      </w:divBdr>
    </w:div>
    <w:div w:id="325978243">
      <w:bodyDiv w:val="1"/>
      <w:marLeft w:val="0"/>
      <w:marRight w:val="0"/>
      <w:marTop w:val="0"/>
      <w:marBottom w:val="0"/>
      <w:divBdr>
        <w:top w:val="none" w:sz="0" w:space="0" w:color="auto"/>
        <w:left w:val="none" w:sz="0" w:space="0" w:color="auto"/>
        <w:bottom w:val="none" w:sz="0" w:space="0" w:color="auto"/>
        <w:right w:val="none" w:sz="0" w:space="0" w:color="auto"/>
      </w:divBdr>
      <w:divsChild>
        <w:div w:id="461733085">
          <w:marLeft w:val="0"/>
          <w:marRight w:val="0"/>
          <w:marTop w:val="0"/>
          <w:marBottom w:val="0"/>
          <w:divBdr>
            <w:top w:val="none" w:sz="0" w:space="0" w:color="auto"/>
            <w:left w:val="none" w:sz="0" w:space="0" w:color="auto"/>
            <w:bottom w:val="none" w:sz="0" w:space="0" w:color="auto"/>
            <w:right w:val="none" w:sz="0" w:space="0" w:color="auto"/>
          </w:divBdr>
          <w:divsChild>
            <w:div w:id="1585651625">
              <w:marLeft w:val="0"/>
              <w:marRight w:val="0"/>
              <w:marTop w:val="0"/>
              <w:marBottom w:val="0"/>
              <w:divBdr>
                <w:top w:val="none" w:sz="0" w:space="0" w:color="auto"/>
                <w:left w:val="none" w:sz="0" w:space="0" w:color="auto"/>
                <w:bottom w:val="none" w:sz="0" w:space="0" w:color="auto"/>
                <w:right w:val="none" w:sz="0" w:space="0" w:color="auto"/>
              </w:divBdr>
            </w:div>
          </w:divsChild>
        </w:div>
        <w:div w:id="912199209">
          <w:marLeft w:val="0"/>
          <w:marRight w:val="0"/>
          <w:marTop w:val="0"/>
          <w:marBottom w:val="0"/>
          <w:divBdr>
            <w:top w:val="none" w:sz="0" w:space="0" w:color="auto"/>
            <w:left w:val="none" w:sz="0" w:space="0" w:color="auto"/>
            <w:bottom w:val="none" w:sz="0" w:space="0" w:color="auto"/>
            <w:right w:val="none" w:sz="0" w:space="0" w:color="auto"/>
          </w:divBdr>
          <w:divsChild>
            <w:div w:id="1312905557">
              <w:marLeft w:val="0"/>
              <w:marRight w:val="0"/>
              <w:marTop w:val="0"/>
              <w:marBottom w:val="0"/>
              <w:divBdr>
                <w:top w:val="none" w:sz="0" w:space="0" w:color="auto"/>
                <w:left w:val="none" w:sz="0" w:space="0" w:color="auto"/>
                <w:bottom w:val="none" w:sz="0" w:space="0" w:color="auto"/>
                <w:right w:val="none" w:sz="0" w:space="0" w:color="auto"/>
              </w:divBdr>
            </w:div>
          </w:divsChild>
        </w:div>
        <w:div w:id="1032536065">
          <w:marLeft w:val="0"/>
          <w:marRight w:val="0"/>
          <w:marTop w:val="0"/>
          <w:marBottom w:val="0"/>
          <w:divBdr>
            <w:top w:val="none" w:sz="0" w:space="0" w:color="auto"/>
            <w:left w:val="none" w:sz="0" w:space="0" w:color="auto"/>
            <w:bottom w:val="none" w:sz="0" w:space="0" w:color="auto"/>
            <w:right w:val="none" w:sz="0" w:space="0" w:color="auto"/>
          </w:divBdr>
          <w:divsChild>
            <w:div w:id="1377855487">
              <w:marLeft w:val="0"/>
              <w:marRight w:val="0"/>
              <w:marTop w:val="0"/>
              <w:marBottom w:val="0"/>
              <w:divBdr>
                <w:top w:val="none" w:sz="0" w:space="0" w:color="auto"/>
                <w:left w:val="none" w:sz="0" w:space="0" w:color="auto"/>
                <w:bottom w:val="none" w:sz="0" w:space="0" w:color="auto"/>
                <w:right w:val="none" w:sz="0" w:space="0" w:color="auto"/>
              </w:divBdr>
            </w:div>
          </w:divsChild>
        </w:div>
        <w:div w:id="2017340551">
          <w:marLeft w:val="0"/>
          <w:marRight w:val="0"/>
          <w:marTop w:val="0"/>
          <w:marBottom w:val="0"/>
          <w:divBdr>
            <w:top w:val="none" w:sz="0" w:space="0" w:color="auto"/>
            <w:left w:val="none" w:sz="0" w:space="0" w:color="auto"/>
            <w:bottom w:val="none" w:sz="0" w:space="0" w:color="auto"/>
            <w:right w:val="none" w:sz="0" w:space="0" w:color="auto"/>
          </w:divBdr>
          <w:divsChild>
            <w:div w:id="1669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8913">
      <w:bodyDiv w:val="1"/>
      <w:marLeft w:val="0"/>
      <w:marRight w:val="0"/>
      <w:marTop w:val="0"/>
      <w:marBottom w:val="0"/>
      <w:divBdr>
        <w:top w:val="none" w:sz="0" w:space="0" w:color="auto"/>
        <w:left w:val="none" w:sz="0" w:space="0" w:color="auto"/>
        <w:bottom w:val="none" w:sz="0" w:space="0" w:color="auto"/>
        <w:right w:val="none" w:sz="0" w:space="0" w:color="auto"/>
      </w:divBdr>
    </w:div>
    <w:div w:id="336618237">
      <w:bodyDiv w:val="1"/>
      <w:marLeft w:val="0"/>
      <w:marRight w:val="0"/>
      <w:marTop w:val="0"/>
      <w:marBottom w:val="0"/>
      <w:divBdr>
        <w:top w:val="none" w:sz="0" w:space="0" w:color="auto"/>
        <w:left w:val="none" w:sz="0" w:space="0" w:color="auto"/>
        <w:bottom w:val="none" w:sz="0" w:space="0" w:color="auto"/>
        <w:right w:val="none" w:sz="0" w:space="0" w:color="auto"/>
      </w:divBdr>
      <w:divsChild>
        <w:div w:id="468743944">
          <w:marLeft w:val="0"/>
          <w:marRight w:val="0"/>
          <w:marTop w:val="0"/>
          <w:marBottom w:val="0"/>
          <w:divBdr>
            <w:top w:val="none" w:sz="0" w:space="0" w:color="auto"/>
            <w:left w:val="none" w:sz="0" w:space="0" w:color="auto"/>
            <w:bottom w:val="none" w:sz="0" w:space="0" w:color="auto"/>
            <w:right w:val="none" w:sz="0" w:space="0" w:color="auto"/>
          </w:divBdr>
        </w:div>
        <w:div w:id="1180269814">
          <w:marLeft w:val="0"/>
          <w:marRight w:val="0"/>
          <w:marTop w:val="120"/>
          <w:marBottom w:val="0"/>
          <w:divBdr>
            <w:top w:val="none" w:sz="0" w:space="0" w:color="auto"/>
            <w:left w:val="none" w:sz="0" w:space="0" w:color="auto"/>
            <w:bottom w:val="none" w:sz="0" w:space="0" w:color="auto"/>
            <w:right w:val="none" w:sz="0" w:space="0" w:color="auto"/>
          </w:divBdr>
        </w:div>
      </w:divsChild>
    </w:div>
    <w:div w:id="354422830">
      <w:bodyDiv w:val="1"/>
      <w:marLeft w:val="0"/>
      <w:marRight w:val="0"/>
      <w:marTop w:val="0"/>
      <w:marBottom w:val="0"/>
      <w:divBdr>
        <w:top w:val="none" w:sz="0" w:space="0" w:color="auto"/>
        <w:left w:val="none" w:sz="0" w:space="0" w:color="auto"/>
        <w:bottom w:val="none" w:sz="0" w:space="0" w:color="auto"/>
        <w:right w:val="none" w:sz="0" w:space="0" w:color="auto"/>
      </w:divBdr>
      <w:divsChild>
        <w:div w:id="363678732">
          <w:marLeft w:val="0"/>
          <w:marRight w:val="0"/>
          <w:marTop w:val="0"/>
          <w:marBottom w:val="0"/>
          <w:divBdr>
            <w:top w:val="none" w:sz="0" w:space="0" w:color="auto"/>
            <w:left w:val="none" w:sz="0" w:space="0" w:color="auto"/>
            <w:bottom w:val="none" w:sz="0" w:space="0" w:color="auto"/>
            <w:right w:val="none" w:sz="0" w:space="0" w:color="auto"/>
          </w:divBdr>
          <w:divsChild>
            <w:div w:id="26757833">
              <w:marLeft w:val="0"/>
              <w:marRight w:val="0"/>
              <w:marTop w:val="0"/>
              <w:marBottom w:val="0"/>
              <w:divBdr>
                <w:top w:val="none" w:sz="0" w:space="0" w:color="auto"/>
                <w:left w:val="none" w:sz="0" w:space="0" w:color="auto"/>
                <w:bottom w:val="none" w:sz="0" w:space="0" w:color="auto"/>
                <w:right w:val="none" w:sz="0" w:space="0" w:color="auto"/>
              </w:divBdr>
              <w:divsChild>
                <w:div w:id="90591685">
                  <w:marLeft w:val="0"/>
                  <w:marRight w:val="0"/>
                  <w:marTop w:val="0"/>
                  <w:marBottom w:val="0"/>
                  <w:divBdr>
                    <w:top w:val="none" w:sz="0" w:space="0" w:color="auto"/>
                    <w:left w:val="none" w:sz="0" w:space="0" w:color="auto"/>
                    <w:bottom w:val="none" w:sz="0" w:space="0" w:color="auto"/>
                    <w:right w:val="none" w:sz="0" w:space="0" w:color="auto"/>
                  </w:divBdr>
                  <w:divsChild>
                    <w:div w:id="464352000">
                      <w:marLeft w:val="0"/>
                      <w:marRight w:val="0"/>
                      <w:marTop w:val="120"/>
                      <w:marBottom w:val="0"/>
                      <w:divBdr>
                        <w:top w:val="none" w:sz="0" w:space="0" w:color="auto"/>
                        <w:left w:val="none" w:sz="0" w:space="0" w:color="auto"/>
                        <w:bottom w:val="none" w:sz="0" w:space="0" w:color="auto"/>
                        <w:right w:val="none" w:sz="0" w:space="0" w:color="auto"/>
                      </w:divBdr>
                    </w:div>
                    <w:div w:id="1744404032">
                      <w:marLeft w:val="0"/>
                      <w:marRight w:val="0"/>
                      <w:marTop w:val="0"/>
                      <w:marBottom w:val="0"/>
                      <w:divBdr>
                        <w:top w:val="none" w:sz="0" w:space="0" w:color="auto"/>
                        <w:left w:val="none" w:sz="0" w:space="0" w:color="auto"/>
                        <w:bottom w:val="none" w:sz="0" w:space="0" w:color="auto"/>
                        <w:right w:val="none" w:sz="0" w:space="0" w:color="auto"/>
                      </w:divBdr>
                    </w:div>
                  </w:divsChild>
                </w:div>
                <w:div w:id="892960000">
                  <w:marLeft w:val="0"/>
                  <w:marRight w:val="0"/>
                  <w:marTop w:val="0"/>
                  <w:marBottom w:val="0"/>
                  <w:divBdr>
                    <w:top w:val="none" w:sz="0" w:space="0" w:color="auto"/>
                    <w:left w:val="none" w:sz="0" w:space="0" w:color="auto"/>
                    <w:bottom w:val="none" w:sz="0" w:space="0" w:color="auto"/>
                    <w:right w:val="none" w:sz="0" w:space="0" w:color="auto"/>
                  </w:divBdr>
                  <w:divsChild>
                    <w:div w:id="1356224206">
                      <w:marLeft w:val="0"/>
                      <w:marRight w:val="0"/>
                      <w:marTop w:val="0"/>
                      <w:marBottom w:val="0"/>
                      <w:divBdr>
                        <w:top w:val="none" w:sz="0" w:space="0" w:color="auto"/>
                        <w:left w:val="none" w:sz="0" w:space="0" w:color="auto"/>
                        <w:bottom w:val="none" w:sz="0" w:space="0" w:color="auto"/>
                        <w:right w:val="none" w:sz="0" w:space="0" w:color="auto"/>
                      </w:divBdr>
                    </w:div>
                    <w:div w:id="1528327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7088052">
          <w:marLeft w:val="0"/>
          <w:marRight w:val="0"/>
          <w:marTop w:val="0"/>
          <w:marBottom w:val="0"/>
          <w:divBdr>
            <w:top w:val="none" w:sz="0" w:space="0" w:color="auto"/>
            <w:left w:val="none" w:sz="0" w:space="0" w:color="auto"/>
            <w:bottom w:val="none" w:sz="0" w:space="0" w:color="auto"/>
            <w:right w:val="none" w:sz="0" w:space="0" w:color="auto"/>
          </w:divBdr>
          <w:divsChild>
            <w:div w:id="908539535">
              <w:marLeft w:val="0"/>
              <w:marRight w:val="0"/>
              <w:marTop w:val="0"/>
              <w:marBottom w:val="0"/>
              <w:divBdr>
                <w:top w:val="none" w:sz="0" w:space="0" w:color="auto"/>
                <w:left w:val="none" w:sz="0" w:space="0" w:color="auto"/>
                <w:bottom w:val="none" w:sz="0" w:space="0" w:color="auto"/>
                <w:right w:val="none" w:sz="0" w:space="0" w:color="auto"/>
              </w:divBdr>
              <w:divsChild>
                <w:div w:id="93668522">
                  <w:marLeft w:val="0"/>
                  <w:marRight w:val="0"/>
                  <w:marTop w:val="0"/>
                  <w:marBottom w:val="0"/>
                  <w:divBdr>
                    <w:top w:val="none" w:sz="0" w:space="0" w:color="auto"/>
                    <w:left w:val="none" w:sz="0" w:space="0" w:color="auto"/>
                    <w:bottom w:val="none" w:sz="0" w:space="0" w:color="auto"/>
                    <w:right w:val="none" w:sz="0" w:space="0" w:color="auto"/>
                  </w:divBdr>
                  <w:divsChild>
                    <w:div w:id="321197151">
                      <w:marLeft w:val="0"/>
                      <w:marRight w:val="0"/>
                      <w:marTop w:val="120"/>
                      <w:marBottom w:val="0"/>
                      <w:divBdr>
                        <w:top w:val="none" w:sz="0" w:space="0" w:color="auto"/>
                        <w:left w:val="none" w:sz="0" w:space="0" w:color="auto"/>
                        <w:bottom w:val="none" w:sz="0" w:space="0" w:color="auto"/>
                        <w:right w:val="none" w:sz="0" w:space="0" w:color="auto"/>
                      </w:divBdr>
                    </w:div>
                    <w:div w:id="476066433">
                      <w:marLeft w:val="0"/>
                      <w:marRight w:val="0"/>
                      <w:marTop w:val="0"/>
                      <w:marBottom w:val="0"/>
                      <w:divBdr>
                        <w:top w:val="none" w:sz="0" w:space="0" w:color="auto"/>
                        <w:left w:val="none" w:sz="0" w:space="0" w:color="auto"/>
                        <w:bottom w:val="none" w:sz="0" w:space="0" w:color="auto"/>
                        <w:right w:val="none" w:sz="0" w:space="0" w:color="auto"/>
                      </w:divBdr>
                    </w:div>
                  </w:divsChild>
                </w:div>
                <w:div w:id="13488223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120"/>
                      <w:marBottom w:val="0"/>
                      <w:divBdr>
                        <w:top w:val="none" w:sz="0" w:space="0" w:color="auto"/>
                        <w:left w:val="none" w:sz="0" w:space="0" w:color="auto"/>
                        <w:bottom w:val="none" w:sz="0" w:space="0" w:color="auto"/>
                        <w:right w:val="none" w:sz="0" w:space="0" w:color="auto"/>
                      </w:divBdr>
                    </w:div>
                    <w:div w:id="526676867">
                      <w:marLeft w:val="0"/>
                      <w:marRight w:val="0"/>
                      <w:marTop w:val="0"/>
                      <w:marBottom w:val="0"/>
                      <w:divBdr>
                        <w:top w:val="none" w:sz="0" w:space="0" w:color="auto"/>
                        <w:left w:val="none" w:sz="0" w:space="0" w:color="auto"/>
                        <w:bottom w:val="none" w:sz="0" w:space="0" w:color="auto"/>
                        <w:right w:val="none" w:sz="0" w:space="0" w:color="auto"/>
                      </w:divBdr>
                    </w:div>
                  </w:divsChild>
                </w:div>
                <w:div w:id="256058567">
                  <w:marLeft w:val="0"/>
                  <w:marRight w:val="0"/>
                  <w:marTop w:val="0"/>
                  <w:marBottom w:val="0"/>
                  <w:divBdr>
                    <w:top w:val="none" w:sz="0" w:space="0" w:color="auto"/>
                    <w:left w:val="none" w:sz="0" w:space="0" w:color="auto"/>
                    <w:bottom w:val="none" w:sz="0" w:space="0" w:color="auto"/>
                    <w:right w:val="none" w:sz="0" w:space="0" w:color="auto"/>
                  </w:divBdr>
                  <w:divsChild>
                    <w:div w:id="1091699428">
                      <w:marLeft w:val="0"/>
                      <w:marRight w:val="0"/>
                      <w:marTop w:val="120"/>
                      <w:marBottom w:val="0"/>
                      <w:divBdr>
                        <w:top w:val="none" w:sz="0" w:space="0" w:color="auto"/>
                        <w:left w:val="none" w:sz="0" w:space="0" w:color="auto"/>
                        <w:bottom w:val="none" w:sz="0" w:space="0" w:color="auto"/>
                        <w:right w:val="none" w:sz="0" w:space="0" w:color="auto"/>
                      </w:divBdr>
                    </w:div>
                    <w:div w:id="1991249187">
                      <w:marLeft w:val="0"/>
                      <w:marRight w:val="0"/>
                      <w:marTop w:val="0"/>
                      <w:marBottom w:val="0"/>
                      <w:divBdr>
                        <w:top w:val="none" w:sz="0" w:space="0" w:color="auto"/>
                        <w:left w:val="none" w:sz="0" w:space="0" w:color="auto"/>
                        <w:bottom w:val="none" w:sz="0" w:space="0" w:color="auto"/>
                        <w:right w:val="none" w:sz="0" w:space="0" w:color="auto"/>
                      </w:divBdr>
                    </w:div>
                  </w:divsChild>
                </w:div>
                <w:div w:id="374545979">
                  <w:marLeft w:val="0"/>
                  <w:marRight w:val="0"/>
                  <w:marTop w:val="0"/>
                  <w:marBottom w:val="0"/>
                  <w:divBdr>
                    <w:top w:val="none" w:sz="0" w:space="0" w:color="auto"/>
                    <w:left w:val="none" w:sz="0" w:space="0" w:color="auto"/>
                    <w:bottom w:val="none" w:sz="0" w:space="0" w:color="auto"/>
                    <w:right w:val="none" w:sz="0" w:space="0" w:color="auto"/>
                  </w:divBdr>
                  <w:divsChild>
                    <w:div w:id="83304265">
                      <w:marLeft w:val="0"/>
                      <w:marRight w:val="0"/>
                      <w:marTop w:val="120"/>
                      <w:marBottom w:val="0"/>
                      <w:divBdr>
                        <w:top w:val="none" w:sz="0" w:space="0" w:color="auto"/>
                        <w:left w:val="none" w:sz="0" w:space="0" w:color="auto"/>
                        <w:bottom w:val="none" w:sz="0" w:space="0" w:color="auto"/>
                        <w:right w:val="none" w:sz="0" w:space="0" w:color="auto"/>
                      </w:divBdr>
                    </w:div>
                    <w:div w:id="981468654">
                      <w:marLeft w:val="0"/>
                      <w:marRight w:val="0"/>
                      <w:marTop w:val="0"/>
                      <w:marBottom w:val="0"/>
                      <w:divBdr>
                        <w:top w:val="none" w:sz="0" w:space="0" w:color="auto"/>
                        <w:left w:val="none" w:sz="0" w:space="0" w:color="auto"/>
                        <w:bottom w:val="none" w:sz="0" w:space="0" w:color="auto"/>
                        <w:right w:val="none" w:sz="0" w:space="0" w:color="auto"/>
                      </w:divBdr>
                    </w:div>
                  </w:divsChild>
                </w:div>
                <w:div w:id="550076128">
                  <w:marLeft w:val="0"/>
                  <w:marRight w:val="0"/>
                  <w:marTop w:val="0"/>
                  <w:marBottom w:val="0"/>
                  <w:divBdr>
                    <w:top w:val="none" w:sz="0" w:space="0" w:color="auto"/>
                    <w:left w:val="none" w:sz="0" w:space="0" w:color="auto"/>
                    <w:bottom w:val="none" w:sz="0" w:space="0" w:color="auto"/>
                    <w:right w:val="none" w:sz="0" w:space="0" w:color="auto"/>
                  </w:divBdr>
                  <w:divsChild>
                    <w:div w:id="1360936313">
                      <w:marLeft w:val="0"/>
                      <w:marRight w:val="0"/>
                      <w:marTop w:val="120"/>
                      <w:marBottom w:val="0"/>
                      <w:divBdr>
                        <w:top w:val="none" w:sz="0" w:space="0" w:color="auto"/>
                        <w:left w:val="none" w:sz="0" w:space="0" w:color="auto"/>
                        <w:bottom w:val="none" w:sz="0" w:space="0" w:color="auto"/>
                        <w:right w:val="none" w:sz="0" w:space="0" w:color="auto"/>
                      </w:divBdr>
                    </w:div>
                    <w:div w:id="1529755229">
                      <w:marLeft w:val="0"/>
                      <w:marRight w:val="0"/>
                      <w:marTop w:val="0"/>
                      <w:marBottom w:val="0"/>
                      <w:divBdr>
                        <w:top w:val="none" w:sz="0" w:space="0" w:color="auto"/>
                        <w:left w:val="none" w:sz="0" w:space="0" w:color="auto"/>
                        <w:bottom w:val="none" w:sz="0" w:space="0" w:color="auto"/>
                        <w:right w:val="none" w:sz="0" w:space="0" w:color="auto"/>
                      </w:divBdr>
                    </w:div>
                  </w:divsChild>
                </w:div>
                <w:div w:id="1491798771">
                  <w:marLeft w:val="0"/>
                  <w:marRight w:val="0"/>
                  <w:marTop w:val="0"/>
                  <w:marBottom w:val="0"/>
                  <w:divBdr>
                    <w:top w:val="none" w:sz="0" w:space="0" w:color="auto"/>
                    <w:left w:val="none" w:sz="0" w:space="0" w:color="auto"/>
                    <w:bottom w:val="none" w:sz="0" w:space="0" w:color="auto"/>
                    <w:right w:val="none" w:sz="0" w:space="0" w:color="auto"/>
                  </w:divBdr>
                  <w:divsChild>
                    <w:div w:id="1073161578">
                      <w:marLeft w:val="0"/>
                      <w:marRight w:val="0"/>
                      <w:marTop w:val="0"/>
                      <w:marBottom w:val="0"/>
                      <w:divBdr>
                        <w:top w:val="none" w:sz="0" w:space="0" w:color="auto"/>
                        <w:left w:val="none" w:sz="0" w:space="0" w:color="auto"/>
                        <w:bottom w:val="none" w:sz="0" w:space="0" w:color="auto"/>
                        <w:right w:val="none" w:sz="0" w:space="0" w:color="auto"/>
                      </w:divBdr>
                    </w:div>
                    <w:div w:id="20594263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3121579">
          <w:marLeft w:val="0"/>
          <w:marRight w:val="0"/>
          <w:marTop w:val="0"/>
          <w:marBottom w:val="0"/>
          <w:divBdr>
            <w:top w:val="none" w:sz="0" w:space="0" w:color="auto"/>
            <w:left w:val="none" w:sz="0" w:space="0" w:color="auto"/>
            <w:bottom w:val="none" w:sz="0" w:space="0" w:color="auto"/>
            <w:right w:val="none" w:sz="0" w:space="0" w:color="auto"/>
          </w:divBdr>
          <w:divsChild>
            <w:div w:id="874997898">
              <w:marLeft w:val="0"/>
              <w:marRight w:val="0"/>
              <w:marTop w:val="0"/>
              <w:marBottom w:val="0"/>
              <w:divBdr>
                <w:top w:val="none" w:sz="0" w:space="0" w:color="auto"/>
                <w:left w:val="none" w:sz="0" w:space="0" w:color="auto"/>
                <w:bottom w:val="none" w:sz="0" w:space="0" w:color="auto"/>
                <w:right w:val="none" w:sz="0" w:space="0" w:color="auto"/>
              </w:divBdr>
            </w:div>
          </w:divsChild>
        </w:div>
        <w:div w:id="1262373016">
          <w:marLeft w:val="0"/>
          <w:marRight w:val="0"/>
          <w:marTop w:val="0"/>
          <w:marBottom w:val="0"/>
          <w:divBdr>
            <w:top w:val="none" w:sz="0" w:space="0" w:color="auto"/>
            <w:left w:val="none" w:sz="0" w:space="0" w:color="auto"/>
            <w:bottom w:val="none" w:sz="0" w:space="0" w:color="auto"/>
            <w:right w:val="none" w:sz="0" w:space="0" w:color="auto"/>
          </w:divBdr>
          <w:divsChild>
            <w:div w:id="2002350387">
              <w:marLeft w:val="0"/>
              <w:marRight w:val="0"/>
              <w:marTop w:val="0"/>
              <w:marBottom w:val="0"/>
              <w:divBdr>
                <w:top w:val="none" w:sz="0" w:space="0" w:color="auto"/>
                <w:left w:val="none" w:sz="0" w:space="0" w:color="auto"/>
                <w:bottom w:val="none" w:sz="0" w:space="0" w:color="auto"/>
                <w:right w:val="none" w:sz="0" w:space="0" w:color="auto"/>
              </w:divBdr>
              <w:divsChild>
                <w:div w:id="610741869">
                  <w:marLeft w:val="0"/>
                  <w:marRight w:val="0"/>
                  <w:marTop w:val="0"/>
                  <w:marBottom w:val="0"/>
                  <w:divBdr>
                    <w:top w:val="none" w:sz="0" w:space="0" w:color="auto"/>
                    <w:left w:val="none" w:sz="0" w:space="0" w:color="auto"/>
                    <w:bottom w:val="none" w:sz="0" w:space="0" w:color="auto"/>
                    <w:right w:val="none" w:sz="0" w:space="0" w:color="auto"/>
                  </w:divBdr>
                  <w:divsChild>
                    <w:div w:id="318265846">
                      <w:marLeft w:val="0"/>
                      <w:marRight w:val="0"/>
                      <w:marTop w:val="120"/>
                      <w:marBottom w:val="0"/>
                      <w:divBdr>
                        <w:top w:val="none" w:sz="0" w:space="0" w:color="auto"/>
                        <w:left w:val="none" w:sz="0" w:space="0" w:color="auto"/>
                        <w:bottom w:val="none" w:sz="0" w:space="0" w:color="auto"/>
                        <w:right w:val="none" w:sz="0" w:space="0" w:color="auto"/>
                      </w:divBdr>
                    </w:div>
                    <w:div w:id="1612126270">
                      <w:marLeft w:val="0"/>
                      <w:marRight w:val="0"/>
                      <w:marTop w:val="0"/>
                      <w:marBottom w:val="0"/>
                      <w:divBdr>
                        <w:top w:val="none" w:sz="0" w:space="0" w:color="auto"/>
                        <w:left w:val="none" w:sz="0" w:space="0" w:color="auto"/>
                        <w:bottom w:val="none" w:sz="0" w:space="0" w:color="auto"/>
                        <w:right w:val="none" w:sz="0" w:space="0" w:color="auto"/>
                      </w:divBdr>
                    </w:div>
                  </w:divsChild>
                </w:div>
                <w:div w:id="1671565776">
                  <w:marLeft w:val="0"/>
                  <w:marRight w:val="0"/>
                  <w:marTop w:val="0"/>
                  <w:marBottom w:val="0"/>
                  <w:divBdr>
                    <w:top w:val="none" w:sz="0" w:space="0" w:color="auto"/>
                    <w:left w:val="none" w:sz="0" w:space="0" w:color="auto"/>
                    <w:bottom w:val="none" w:sz="0" w:space="0" w:color="auto"/>
                    <w:right w:val="none" w:sz="0" w:space="0" w:color="auto"/>
                  </w:divBdr>
                  <w:divsChild>
                    <w:div w:id="876963525">
                      <w:marLeft w:val="0"/>
                      <w:marRight w:val="0"/>
                      <w:marTop w:val="120"/>
                      <w:marBottom w:val="0"/>
                      <w:divBdr>
                        <w:top w:val="none" w:sz="0" w:space="0" w:color="auto"/>
                        <w:left w:val="none" w:sz="0" w:space="0" w:color="auto"/>
                        <w:bottom w:val="none" w:sz="0" w:space="0" w:color="auto"/>
                        <w:right w:val="none" w:sz="0" w:space="0" w:color="auto"/>
                      </w:divBdr>
                    </w:div>
                    <w:div w:id="11476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0070">
          <w:marLeft w:val="0"/>
          <w:marRight w:val="0"/>
          <w:marTop w:val="0"/>
          <w:marBottom w:val="0"/>
          <w:divBdr>
            <w:top w:val="none" w:sz="0" w:space="0" w:color="auto"/>
            <w:left w:val="none" w:sz="0" w:space="0" w:color="auto"/>
            <w:bottom w:val="none" w:sz="0" w:space="0" w:color="auto"/>
            <w:right w:val="none" w:sz="0" w:space="0" w:color="auto"/>
          </w:divBdr>
          <w:divsChild>
            <w:div w:id="21465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1511">
      <w:bodyDiv w:val="1"/>
      <w:marLeft w:val="0"/>
      <w:marRight w:val="0"/>
      <w:marTop w:val="0"/>
      <w:marBottom w:val="0"/>
      <w:divBdr>
        <w:top w:val="none" w:sz="0" w:space="0" w:color="auto"/>
        <w:left w:val="none" w:sz="0" w:space="0" w:color="auto"/>
        <w:bottom w:val="none" w:sz="0" w:space="0" w:color="auto"/>
        <w:right w:val="none" w:sz="0" w:space="0" w:color="auto"/>
      </w:divBdr>
      <w:divsChild>
        <w:div w:id="1018847326">
          <w:marLeft w:val="0"/>
          <w:marRight w:val="0"/>
          <w:marTop w:val="0"/>
          <w:marBottom w:val="0"/>
          <w:divBdr>
            <w:top w:val="none" w:sz="0" w:space="0" w:color="auto"/>
            <w:left w:val="none" w:sz="0" w:space="0" w:color="auto"/>
            <w:bottom w:val="none" w:sz="0" w:space="0" w:color="auto"/>
            <w:right w:val="none" w:sz="0" w:space="0" w:color="auto"/>
          </w:divBdr>
        </w:div>
      </w:divsChild>
    </w:div>
    <w:div w:id="367144832">
      <w:bodyDiv w:val="1"/>
      <w:marLeft w:val="0"/>
      <w:marRight w:val="0"/>
      <w:marTop w:val="0"/>
      <w:marBottom w:val="0"/>
      <w:divBdr>
        <w:top w:val="none" w:sz="0" w:space="0" w:color="auto"/>
        <w:left w:val="none" w:sz="0" w:space="0" w:color="auto"/>
        <w:bottom w:val="none" w:sz="0" w:space="0" w:color="auto"/>
        <w:right w:val="none" w:sz="0" w:space="0" w:color="auto"/>
      </w:divBdr>
      <w:divsChild>
        <w:div w:id="604848009">
          <w:marLeft w:val="0"/>
          <w:marRight w:val="0"/>
          <w:marTop w:val="0"/>
          <w:marBottom w:val="0"/>
          <w:divBdr>
            <w:top w:val="none" w:sz="0" w:space="0" w:color="auto"/>
            <w:left w:val="none" w:sz="0" w:space="0" w:color="auto"/>
            <w:bottom w:val="none" w:sz="0" w:space="0" w:color="auto"/>
            <w:right w:val="none" w:sz="0" w:space="0" w:color="auto"/>
          </w:divBdr>
          <w:divsChild>
            <w:div w:id="487554497">
              <w:marLeft w:val="0"/>
              <w:marRight w:val="0"/>
              <w:marTop w:val="120"/>
              <w:marBottom w:val="0"/>
              <w:divBdr>
                <w:top w:val="none" w:sz="0" w:space="0" w:color="auto"/>
                <w:left w:val="none" w:sz="0" w:space="0" w:color="auto"/>
                <w:bottom w:val="none" w:sz="0" w:space="0" w:color="auto"/>
                <w:right w:val="none" w:sz="0" w:space="0" w:color="auto"/>
              </w:divBdr>
            </w:div>
            <w:div w:id="1958876246">
              <w:marLeft w:val="0"/>
              <w:marRight w:val="0"/>
              <w:marTop w:val="0"/>
              <w:marBottom w:val="0"/>
              <w:divBdr>
                <w:top w:val="none" w:sz="0" w:space="0" w:color="auto"/>
                <w:left w:val="none" w:sz="0" w:space="0" w:color="auto"/>
                <w:bottom w:val="none" w:sz="0" w:space="0" w:color="auto"/>
                <w:right w:val="none" w:sz="0" w:space="0" w:color="auto"/>
              </w:divBdr>
            </w:div>
          </w:divsChild>
        </w:div>
        <w:div w:id="1486356821">
          <w:marLeft w:val="0"/>
          <w:marRight w:val="0"/>
          <w:marTop w:val="0"/>
          <w:marBottom w:val="0"/>
          <w:divBdr>
            <w:top w:val="none" w:sz="0" w:space="0" w:color="auto"/>
            <w:left w:val="none" w:sz="0" w:space="0" w:color="auto"/>
            <w:bottom w:val="none" w:sz="0" w:space="0" w:color="auto"/>
            <w:right w:val="none" w:sz="0" w:space="0" w:color="auto"/>
          </w:divBdr>
          <w:divsChild>
            <w:div w:id="52320090">
              <w:marLeft w:val="0"/>
              <w:marRight w:val="0"/>
              <w:marTop w:val="120"/>
              <w:marBottom w:val="0"/>
              <w:divBdr>
                <w:top w:val="none" w:sz="0" w:space="0" w:color="auto"/>
                <w:left w:val="none" w:sz="0" w:space="0" w:color="auto"/>
                <w:bottom w:val="none" w:sz="0" w:space="0" w:color="auto"/>
                <w:right w:val="none" w:sz="0" w:space="0" w:color="auto"/>
              </w:divBdr>
            </w:div>
            <w:div w:id="866717643">
              <w:marLeft w:val="0"/>
              <w:marRight w:val="0"/>
              <w:marTop w:val="0"/>
              <w:marBottom w:val="0"/>
              <w:divBdr>
                <w:top w:val="none" w:sz="0" w:space="0" w:color="auto"/>
                <w:left w:val="none" w:sz="0" w:space="0" w:color="auto"/>
                <w:bottom w:val="none" w:sz="0" w:space="0" w:color="auto"/>
                <w:right w:val="none" w:sz="0" w:space="0" w:color="auto"/>
              </w:divBdr>
            </w:div>
          </w:divsChild>
        </w:div>
        <w:div w:id="1770202312">
          <w:marLeft w:val="0"/>
          <w:marRight w:val="0"/>
          <w:marTop w:val="0"/>
          <w:marBottom w:val="0"/>
          <w:divBdr>
            <w:top w:val="none" w:sz="0" w:space="0" w:color="auto"/>
            <w:left w:val="none" w:sz="0" w:space="0" w:color="auto"/>
            <w:bottom w:val="none" w:sz="0" w:space="0" w:color="auto"/>
            <w:right w:val="none" w:sz="0" w:space="0" w:color="auto"/>
          </w:divBdr>
          <w:divsChild>
            <w:div w:id="58213301">
              <w:marLeft w:val="0"/>
              <w:marRight w:val="0"/>
              <w:marTop w:val="120"/>
              <w:marBottom w:val="0"/>
              <w:divBdr>
                <w:top w:val="none" w:sz="0" w:space="0" w:color="auto"/>
                <w:left w:val="none" w:sz="0" w:space="0" w:color="auto"/>
                <w:bottom w:val="none" w:sz="0" w:space="0" w:color="auto"/>
                <w:right w:val="none" w:sz="0" w:space="0" w:color="auto"/>
              </w:divBdr>
            </w:div>
            <w:div w:id="6226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248">
      <w:bodyDiv w:val="1"/>
      <w:marLeft w:val="0"/>
      <w:marRight w:val="0"/>
      <w:marTop w:val="0"/>
      <w:marBottom w:val="0"/>
      <w:divBdr>
        <w:top w:val="none" w:sz="0" w:space="0" w:color="auto"/>
        <w:left w:val="none" w:sz="0" w:space="0" w:color="auto"/>
        <w:bottom w:val="none" w:sz="0" w:space="0" w:color="auto"/>
        <w:right w:val="none" w:sz="0" w:space="0" w:color="auto"/>
      </w:divBdr>
    </w:div>
    <w:div w:id="376247699">
      <w:bodyDiv w:val="1"/>
      <w:marLeft w:val="0"/>
      <w:marRight w:val="0"/>
      <w:marTop w:val="0"/>
      <w:marBottom w:val="0"/>
      <w:divBdr>
        <w:top w:val="none" w:sz="0" w:space="0" w:color="auto"/>
        <w:left w:val="none" w:sz="0" w:space="0" w:color="auto"/>
        <w:bottom w:val="none" w:sz="0" w:space="0" w:color="auto"/>
        <w:right w:val="none" w:sz="0" w:space="0" w:color="auto"/>
      </w:divBdr>
      <w:divsChild>
        <w:div w:id="152912297">
          <w:marLeft w:val="0"/>
          <w:marRight w:val="0"/>
          <w:marTop w:val="0"/>
          <w:marBottom w:val="0"/>
          <w:divBdr>
            <w:top w:val="none" w:sz="0" w:space="0" w:color="auto"/>
            <w:left w:val="none" w:sz="0" w:space="0" w:color="auto"/>
            <w:bottom w:val="none" w:sz="0" w:space="0" w:color="auto"/>
            <w:right w:val="none" w:sz="0" w:space="0" w:color="auto"/>
          </w:divBdr>
          <w:divsChild>
            <w:div w:id="1206336024">
              <w:marLeft w:val="0"/>
              <w:marRight w:val="0"/>
              <w:marTop w:val="120"/>
              <w:marBottom w:val="0"/>
              <w:divBdr>
                <w:top w:val="none" w:sz="0" w:space="0" w:color="auto"/>
                <w:left w:val="none" w:sz="0" w:space="0" w:color="auto"/>
                <w:bottom w:val="none" w:sz="0" w:space="0" w:color="auto"/>
                <w:right w:val="none" w:sz="0" w:space="0" w:color="auto"/>
              </w:divBdr>
            </w:div>
            <w:div w:id="1358316936">
              <w:marLeft w:val="0"/>
              <w:marRight w:val="0"/>
              <w:marTop w:val="0"/>
              <w:marBottom w:val="0"/>
              <w:divBdr>
                <w:top w:val="none" w:sz="0" w:space="0" w:color="auto"/>
                <w:left w:val="none" w:sz="0" w:space="0" w:color="auto"/>
                <w:bottom w:val="none" w:sz="0" w:space="0" w:color="auto"/>
                <w:right w:val="none" w:sz="0" w:space="0" w:color="auto"/>
              </w:divBdr>
            </w:div>
          </w:divsChild>
        </w:div>
        <w:div w:id="1912151896">
          <w:marLeft w:val="0"/>
          <w:marRight w:val="0"/>
          <w:marTop w:val="0"/>
          <w:marBottom w:val="0"/>
          <w:divBdr>
            <w:top w:val="none" w:sz="0" w:space="0" w:color="auto"/>
            <w:left w:val="none" w:sz="0" w:space="0" w:color="auto"/>
            <w:bottom w:val="none" w:sz="0" w:space="0" w:color="auto"/>
            <w:right w:val="none" w:sz="0" w:space="0" w:color="auto"/>
          </w:divBdr>
          <w:divsChild>
            <w:div w:id="360210409">
              <w:marLeft w:val="0"/>
              <w:marRight w:val="0"/>
              <w:marTop w:val="120"/>
              <w:marBottom w:val="0"/>
              <w:divBdr>
                <w:top w:val="none" w:sz="0" w:space="0" w:color="auto"/>
                <w:left w:val="none" w:sz="0" w:space="0" w:color="auto"/>
                <w:bottom w:val="none" w:sz="0" w:space="0" w:color="auto"/>
                <w:right w:val="none" w:sz="0" w:space="0" w:color="auto"/>
              </w:divBdr>
            </w:div>
            <w:div w:id="4015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5752">
      <w:bodyDiv w:val="1"/>
      <w:marLeft w:val="0"/>
      <w:marRight w:val="0"/>
      <w:marTop w:val="0"/>
      <w:marBottom w:val="0"/>
      <w:divBdr>
        <w:top w:val="none" w:sz="0" w:space="0" w:color="auto"/>
        <w:left w:val="none" w:sz="0" w:space="0" w:color="auto"/>
        <w:bottom w:val="none" w:sz="0" w:space="0" w:color="auto"/>
        <w:right w:val="none" w:sz="0" w:space="0" w:color="auto"/>
      </w:divBdr>
      <w:divsChild>
        <w:div w:id="197816718">
          <w:marLeft w:val="0"/>
          <w:marRight w:val="0"/>
          <w:marTop w:val="0"/>
          <w:marBottom w:val="0"/>
          <w:divBdr>
            <w:top w:val="none" w:sz="0" w:space="0" w:color="auto"/>
            <w:left w:val="none" w:sz="0" w:space="0" w:color="auto"/>
            <w:bottom w:val="none" w:sz="0" w:space="0" w:color="auto"/>
            <w:right w:val="none" w:sz="0" w:space="0" w:color="auto"/>
          </w:divBdr>
          <w:divsChild>
            <w:div w:id="139619803">
              <w:marLeft w:val="0"/>
              <w:marRight w:val="0"/>
              <w:marTop w:val="0"/>
              <w:marBottom w:val="0"/>
              <w:divBdr>
                <w:top w:val="none" w:sz="0" w:space="0" w:color="auto"/>
                <w:left w:val="none" w:sz="0" w:space="0" w:color="auto"/>
                <w:bottom w:val="none" w:sz="0" w:space="0" w:color="auto"/>
                <w:right w:val="none" w:sz="0" w:space="0" w:color="auto"/>
              </w:divBdr>
            </w:div>
          </w:divsChild>
        </w:div>
        <w:div w:id="538400531">
          <w:marLeft w:val="0"/>
          <w:marRight w:val="0"/>
          <w:marTop w:val="0"/>
          <w:marBottom w:val="0"/>
          <w:divBdr>
            <w:top w:val="none" w:sz="0" w:space="0" w:color="auto"/>
            <w:left w:val="none" w:sz="0" w:space="0" w:color="auto"/>
            <w:bottom w:val="none" w:sz="0" w:space="0" w:color="auto"/>
            <w:right w:val="none" w:sz="0" w:space="0" w:color="auto"/>
          </w:divBdr>
          <w:divsChild>
            <w:div w:id="1275749537">
              <w:marLeft w:val="0"/>
              <w:marRight w:val="0"/>
              <w:marTop w:val="0"/>
              <w:marBottom w:val="0"/>
              <w:divBdr>
                <w:top w:val="none" w:sz="0" w:space="0" w:color="auto"/>
                <w:left w:val="none" w:sz="0" w:space="0" w:color="auto"/>
                <w:bottom w:val="none" w:sz="0" w:space="0" w:color="auto"/>
                <w:right w:val="none" w:sz="0" w:space="0" w:color="auto"/>
              </w:divBdr>
            </w:div>
          </w:divsChild>
        </w:div>
        <w:div w:id="699668440">
          <w:marLeft w:val="0"/>
          <w:marRight w:val="0"/>
          <w:marTop w:val="0"/>
          <w:marBottom w:val="0"/>
          <w:divBdr>
            <w:top w:val="none" w:sz="0" w:space="0" w:color="auto"/>
            <w:left w:val="none" w:sz="0" w:space="0" w:color="auto"/>
            <w:bottom w:val="none" w:sz="0" w:space="0" w:color="auto"/>
            <w:right w:val="none" w:sz="0" w:space="0" w:color="auto"/>
          </w:divBdr>
          <w:divsChild>
            <w:div w:id="1968122614">
              <w:marLeft w:val="0"/>
              <w:marRight w:val="0"/>
              <w:marTop w:val="0"/>
              <w:marBottom w:val="0"/>
              <w:divBdr>
                <w:top w:val="none" w:sz="0" w:space="0" w:color="auto"/>
                <w:left w:val="none" w:sz="0" w:space="0" w:color="auto"/>
                <w:bottom w:val="none" w:sz="0" w:space="0" w:color="auto"/>
                <w:right w:val="none" w:sz="0" w:space="0" w:color="auto"/>
              </w:divBdr>
            </w:div>
          </w:divsChild>
        </w:div>
        <w:div w:id="1472792099">
          <w:marLeft w:val="0"/>
          <w:marRight w:val="0"/>
          <w:marTop w:val="0"/>
          <w:marBottom w:val="0"/>
          <w:divBdr>
            <w:top w:val="none" w:sz="0" w:space="0" w:color="auto"/>
            <w:left w:val="none" w:sz="0" w:space="0" w:color="auto"/>
            <w:bottom w:val="none" w:sz="0" w:space="0" w:color="auto"/>
            <w:right w:val="none" w:sz="0" w:space="0" w:color="auto"/>
          </w:divBdr>
          <w:divsChild>
            <w:div w:id="3848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7064">
      <w:bodyDiv w:val="1"/>
      <w:marLeft w:val="0"/>
      <w:marRight w:val="0"/>
      <w:marTop w:val="0"/>
      <w:marBottom w:val="0"/>
      <w:divBdr>
        <w:top w:val="none" w:sz="0" w:space="0" w:color="auto"/>
        <w:left w:val="none" w:sz="0" w:space="0" w:color="auto"/>
        <w:bottom w:val="none" w:sz="0" w:space="0" w:color="auto"/>
        <w:right w:val="none" w:sz="0" w:space="0" w:color="auto"/>
      </w:divBdr>
      <w:divsChild>
        <w:div w:id="140081270">
          <w:marLeft w:val="0"/>
          <w:marRight w:val="0"/>
          <w:marTop w:val="0"/>
          <w:marBottom w:val="0"/>
          <w:divBdr>
            <w:top w:val="none" w:sz="0" w:space="0" w:color="auto"/>
            <w:left w:val="none" w:sz="0" w:space="0" w:color="auto"/>
            <w:bottom w:val="none" w:sz="0" w:space="0" w:color="auto"/>
            <w:right w:val="none" w:sz="0" w:space="0" w:color="auto"/>
          </w:divBdr>
          <w:divsChild>
            <w:div w:id="266086346">
              <w:marLeft w:val="0"/>
              <w:marRight w:val="0"/>
              <w:marTop w:val="0"/>
              <w:marBottom w:val="0"/>
              <w:divBdr>
                <w:top w:val="none" w:sz="0" w:space="0" w:color="auto"/>
                <w:left w:val="none" w:sz="0" w:space="0" w:color="auto"/>
                <w:bottom w:val="none" w:sz="0" w:space="0" w:color="auto"/>
                <w:right w:val="none" w:sz="0" w:space="0" w:color="auto"/>
              </w:divBdr>
              <w:divsChild>
                <w:div w:id="44062616">
                  <w:marLeft w:val="0"/>
                  <w:marRight w:val="0"/>
                  <w:marTop w:val="0"/>
                  <w:marBottom w:val="0"/>
                  <w:divBdr>
                    <w:top w:val="none" w:sz="0" w:space="0" w:color="auto"/>
                    <w:left w:val="none" w:sz="0" w:space="0" w:color="auto"/>
                    <w:bottom w:val="none" w:sz="0" w:space="0" w:color="auto"/>
                    <w:right w:val="none" w:sz="0" w:space="0" w:color="auto"/>
                  </w:divBdr>
                  <w:divsChild>
                    <w:div w:id="1364135884">
                      <w:marLeft w:val="0"/>
                      <w:marRight w:val="0"/>
                      <w:marTop w:val="0"/>
                      <w:marBottom w:val="0"/>
                      <w:divBdr>
                        <w:top w:val="none" w:sz="0" w:space="0" w:color="auto"/>
                        <w:left w:val="none" w:sz="0" w:space="0" w:color="auto"/>
                        <w:bottom w:val="none" w:sz="0" w:space="0" w:color="auto"/>
                        <w:right w:val="none" w:sz="0" w:space="0" w:color="auto"/>
                      </w:divBdr>
                      <w:divsChild>
                        <w:div w:id="42028550">
                          <w:marLeft w:val="0"/>
                          <w:marRight w:val="0"/>
                          <w:marTop w:val="0"/>
                          <w:marBottom w:val="0"/>
                          <w:divBdr>
                            <w:top w:val="none" w:sz="0" w:space="0" w:color="auto"/>
                            <w:left w:val="none" w:sz="0" w:space="0" w:color="auto"/>
                            <w:bottom w:val="none" w:sz="0" w:space="0" w:color="auto"/>
                            <w:right w:val="none" w:sz="0" w:space="0" w:color="auto"/>
                          </w:divBdr>
                          <w:divsChild>
                            <w:div w:id="995493787">
                              <w:marLeft w:val="0"/>
                              <w:marRight w:val="0"/>
                              <w:marTop w:val="120"/>
                              <w:marBottom w:val="0"/>
                              <w:divBdr>
                                <w:top w:val="none" w:sz="0" w:space="0" w:color="auto"/>
                                <w:left w:val="none" w:sz="0" w:space="0" w:color="auto"/>
                                <w:bottom w:val="none" w:sz="0" w:space="0" w:color="auto"/>
                                <w:right w:val="none" w:sz="0" w:space="0" w:color="auto"/>
                              </w:divBdr>
                            </w:div>
                            <w:div w:id="1384252419">
                              <w:marLeft w:val="0"/>
                              <w:marRight w:val="0"/>
                              <w:marTop w:val="0"/>
                              <w:marBottom w:val="0"/>
                              <w:divBdr>
                                <w:top w:val="none" w:sz="0" w:space="0" w:color="auto"/>
                                <w:left w:val="none" w:sz="0" w:space="0" w:color="auto"/>
                                <w:bottom w:val="none" w:sz="0" w:space="0" w:color="auto"/>
                                <w:right w:val="none" w:sz="0" w:space="0" w:color="auto"/>
                              </w:divBdr>
                            </w:div>
                          </w:divsChild>
                        </w:div>
                        <w:div w:id="801845835">
                          <w:marLeft w:val="0"/>
                          <w:marRight w:val="0"/>
                          <w:marTop w:val="0"/>
                          <w:marBottom w:val="0"/>
                          <w:divBdr>
                            <w:top w:val="none" w:sz="0" w:space="0" w:color="auto"/>
                            <w:left w:val="none" w:sz="0" w:space="0" w:color="auto"/>
                            <w:bottom w:val="none" w:sz="0" w:space="0" w:color="auto"/>
                            <w:right w:val="none" w:sz="0" w:space="0" w:color="auto"/>
                          </w:divBdr>
                          <w:divsChild>
                            <w:div w:id="451751383">
                              <w:marLeft w:val="0"/>
                              <w:marRight w:val="0"/>
                              <w:marTop w:val="0"/>
                              <w:marBottom w:val="0"/>
                              <w:divBdr>
                                <w:top w:val="none" w:sz="0" w:space="0" w:color="auto"/>
                                <w:left w:val="none" w:sz="0" w:space="0" w:color="auto"/>
                                <w:bottom w:val="none" w:sz="0" w:space="0" w:color="auto"/>
                                <w:right w:val="none" w:sz="0" w:space="0" w:color="auto"/>
                              </w:divBdr>
                            </w:div>
                            <w:div w:id="1900288396">
                              <w:marLeft w:val="0"/>
                              <w:marRight w:val="0"/>
                              <w:marTop w:val="120"/>
                              <w:marBottom w:val="0"/>
                              <w:divBdr>
                                <w:top w:val="none" w:sz="0" w:space="0" w:color="auto"/>
                                <w:left w:val="none" w:sz="0" w:space="0" w:color="auto"/>
                                <w:bottom w:val="none" w:sz="0" w:space="0" w:color="auto"/>
                                <w:right w:val="none" w:sz="0" w:space="0" w:color="auto"/>
                              </w:divBdr>
                            </w:div>
                          </w:divsChild>
                        </w:div>
                        <w:div w:id="1010570733">
                          <w:marLeft w:val="0"/>
                          <w:marRight w:val="0"/>
                          <w:marTop w:val="0"/>
                          <w:marBottom w:val="0"/>
                          <w:divBdr>
                            <w:top w:val="none" w:sz="0" w:space="0" w:color="auto"/>
                            <w:left w:val="none" w:sz="0" w:space="0" w:color="auto"/>
                            <w:bottom w:val="none" w:sz="0" w:space="0" w:color="auto"/>
                            <w:right w:val="none" w:sz="0" w:space="0" w:color="auto"/>
                          </w:divBdr>
                          <w:divsChild>
                            <w:div w:id="269629077">
                              <w:marLeft w:val="0"/>
                              <w:marRight w:val="0"/>
                              <w:marTop w:val="120"/>
                              <w:marBottom w:val="0"/>
                              <w:divBdr>
                                <w:top w:val="none" w:sz="0" w:space="0" w:color="auto"/>
                                <w:left w:val="none" w:sz="0" w:space="0" w:color="auto"/>
                                <w:bottom w:val="none" w:sz="0" w:space="0" w:color="auto"/>
                                <w:right w:val="none" w:sz="0" w:space="0" w:color="auto"/>
                              </w:divBdr>
                            </w:div>
                            <w:div w:id="304088983">
                              <w:marLeft w:val="0"/>
                              <w:marRight w:val="0"/>
                              <w:marTop w:val="0"/>
                              <w:marBottom w:val="0"/>
                              <w:divBdr>
                                <w:top w:val="none" w:sz="0" w:space="0" w:color="auto"/>
                                <w:left w:val="none" w:sz="0" w:space="0" w:color="auto"/>
                                <w:bottom w:val="none" w:sz="0" w:space="0" w:color="auto"/>
                                <w:right w:val="none" w:sz="0" w:space="0" w:color="auto"/>
                              </w:divBdr>
                            </w:div>
                          </w:divsChild>
                        </w:div>
                        <w:div w:id="1491756169">
                          <w:marLeft w:val="0"/>
                          <w:marRight w:val="0"/>
                          <w:marTop w:val="0"/>
                          <w:marBottom w:val="0"/>
                          <w:divBdr>
                            <w:top w:val="none" w:sz="0" w:space="0" w:color="auto"/>
                            <w:left w:val="none" w:sz="0" w:space="0" w:color="auto"/>
                            <w:bottom w:val="none" w:sz="0" w:space="0" w:color="auto"/>
                            <w:right w:val="none" w:sz="0" w:space="0" w:color="auto"/>
                          </w:divBdr>
                          <w:divsChild>
                            <w:div w:id="423646726">
                              <w:marLeft w:val="0"/>
                              <w:marRight w:val="0"/>
                              <w:marTop w:val="0"/>
                              <w:marBottom w:val="0"/>
                              <w:divBdr>
                                <w:top w:val="none" w:sz="0" w:space="0" w:color="auto"/>
                                <w:left w:val="none" w:sz="0" w:space="0" w:color="auto"/>
                                <w:bottom w:val="none" w:sz="0" w:space="0" w:color="auto"/>
                                <w:right w:val="none" w:sz="0" w:space="0" w:color="auto"/>
                              </w:divBdr>
                            </w:div>
                            <w:div w:id="511802280">
                              <w:marLeft w:val="0"/>
                              <w:marRight w:val="0"/>
                              <w:marTop w:val="120"/>
                              <w:marBottom w:val="0"/>
                              <w:divBdr>
                                <w:top w:val="none" w:sz="0" w:space="0" w:color="auto"/>
                                <w:left w:val="none" w:sz="0" w:space="0" w:color="auto"/>
                                <w:bottom w:val="none" w:sz="0" w:space="0" w:color="auto"/>
                                <w:right w:val="none" w:sz="0" w:space="0" w:color="auto"/>
                              </w:divBdr>
                            </w:div>
                          </w:divsChild>
                        </w:div>
                        <w:div w:id="1727100027">
                          <w:marLeft w:val="0"/>
                          <w:marRight w:val="0"/>
                          <w:marTop w:val="0"/>
                          <w:marBottom w:val="0"/>
                          <w:divBdr>
                            <w:top w:val="none" w:sz="0" w:space="0" w:color="auto"/>
                            <w:left w:val="none" w:sz="0" w:space="0" w:color="auto"/>
                            <w:bottom w:val="none" w:sz="0" w:space="0" w:color="auto"/>
                            <w:right w:val="none" w:sz="0" w:space="0" w:color="auto"/>
                          </w:divBdr>
                          <w:divsChild>
                            <w:div w:id="962928215">
                              <w:marLeft w:val="0"/>
                              <w:marRight w:val="0"/>
                              <w:marTop w:val="120"/>
                              <w:marBottom w:val="0"/>
                              <w:divBdr>
                                <w:top w:val="none" w:sz="0" w:space="0" w:color="auto"/>
                                <w:left w:val="none" w:sz="0" w:space="0" w:color="auto"/>
                                <w:bottom w:val="none" w:sz="0" w:space="0" w:color="auto"/>
                                <w:right w:val="none" w:sz="0" w:space="0" w:color="auto"/>
                              </w:divBdr>
                            </w:div>
                            <w:div w:id="2099211504">
                              <w:marLeft w:val="0"/>
                              <w:marRight w:val="0"/>
                              <w:marTop w:val="0"/>
                              <w:marBottom w:val="0"/>
                              <w:divBdr>
                                <w:top w:val="none" w:sz="0" w:space="0" w:color="auto"/>
                                <w:left w:val="none" w:sz="0" w:space="0" w:color="auto"/>
                                <w:bottom w:val="none" w:sz="0" w:space="0" w:color="auto"/>
                                <w:right w:val="none" w:sz="0" w:space="0" w:color="auto"/>
                              </w:divBdr>
                            </w:div>
                          </w:divsChild>
                        </w:div>
                        <w:div w:id="2003004867">
                          <w:marLeft w:val="0"/>
                          <w:marRight w:val="0"/>
                          <w:marTop w:val="0"/>
                          <w:marBottom w:val="0"/>
                          <w:divBdr>
                            <w:top w:val="none" w:sz="0" w:space="0" w:color="auto"/>
                            <w:left w:val="none" w:sz="0" w:space="0" w:color="auto"/>
                            <w:bottom w:val="none" w:sz="0" w:space="0" w:color="auto"/>
                            <w:right w:val="none" w:sz="0" w:space="0" w:color="auto"/>
                          </w:divBdr>
                          <w:divsChild>
                            <w:div w:id="114837666">
                              <w:marLeft w:val="0"/>
                              <w:marRight w:val="0"/>
                              <w:marTop w:val="120"/>
                              <w:marBottom w:val="0"/>
                              <w:divBdr>
                                <w:top w:val="none" w:sz="0" w:space="0" w:color="auto"/>
                                <w:left w:val="none" w:sz="0" w:space="0" w:color="auto"/>
                                <w:bottom w:val="none" w:sz="0" w:space="0" w:color="auto"/>
                                <w:right w:val="none" w:sz="0" w:space="0" w:color="auto"/>
                              </w:divBdr>
                            </w:div>
                            <w:div w:id="1438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4480">
                      <w:marLeft w:val="0"/>
                      <w:marRight w:val="0"/>
                      <w:marTop w:val="120"/>
                      <w:marBottom w:val="0"/>
                      <w:divBdr>
                        <w:top w:val="none" w:sz="0" w:space="0" w:color="auto"/>
                        <w:left w:val="none" w:sz="0" w:space="0" w:color="auto"/>
                        <w:bottom w:val="none" w:sz="0" w:space="0" w:color="auto"/>
                        <w:right w:val="none" w:sz="0" w:space="0" w:color="auto"/>
                      </w:divBdr>
                    </w:div>
                  </w:divsChild>
                </w:div>
                <w:div w:id="879899795">
                  <w:marLeft w:val="0"/>
                  <w:marRight w:val="0"/>
                  <w:marTop w:val="0"/>
                  <w:marBottom w:val="0"/>
                  <w:divBdr>
                    <w:top w:val="none" w:sz="0" w:space="0" w:color="auto"/>
                    <w:left w:val="none" w:sz="0" w:space="0" w:color="auto"/>
                    <w:bottom w:val="none" w:sz="0" w:space="0" w:color="auto"/>
                    <w:right w:val="none" w:sz="0" w:space="0" w:color="auto"/>
                  </w:divBdr>
                  <w:divsChild>
                    <w:div w:id="1499035504">
                      <w:marLeft w:val="0"/>
                      <w:marRight w:val="0"/>
                      <w:marTop w:val="0"/>
                      <w:marBottom w:val="0"/>
                      <w:divBdr>
                        <w:top w:val="none" w:sz="0" w:space="0" w:color="auto"/>
                        <w:left w:val="none" w:sz="0" w:space="0" w:color="auto"/>
                        <w:bottom w:val="none" w:sz="0" w:space="0" w:color="auto"/>
                        <w:right w:val="none" w:sz="0" w:space="0" w:color="auto"/>
                      </w:divBdr>
                      <w:divsChild>
                        <w:div w:id="172308854">
                          <w:marLeft w:val="0"/>
                          <w:marRight w:val="0"/>
                          <w:marTop w:val="0"/>
                          <w:marBottom w:val="0"/>
                          <w:divBdr>
                            <w:top w:val="none" w:sz="0" w:space="0" w:color="auto"/>
                            <w:left w:val="none" w:sz="0" w:space="0" w:color="auto"/>
                            <w:bottom w:val="none" w:sz="0" w:space="0" w:color="auto"/>
                            <w:right w:val="none" w:sz="0" w:space="0" w:color="auto"/>
                          </w:divBdr>
                          <w:divsChild>
                            <w:div w:id="360714191">
                              <w:marLeft w:val="0"/>
                              <w:marRight w:val="0"/>
                              <w:marTop w:val="0"/>
                              <w:marBottom w:val="0"/>
                              <w:divBdr>
                                <w:top w:val="none" w:sz="0" w:space="0" w:color="auto"/>
                                <w:left w:val="none" w:sz="0" w:space="0" w:color="auto"/>
                                <w:bottom w:val="none" w:sz="0" w:space="0" w:color="auto"/>
                                <w:right w:val="none" w:sz="0" w:space="0" w:color="auto"/>
                              </w:divBdr>
                            </w:div>
                            <w:div w:id="661393169">
                              <w:marLeft w:val="0"/>
                              <w:marRight w:val="0"/>
                              <w:marTop w:val="120"/>
                              <w:marBottom w:val="0"/>
                              <w:divBdr>
                                <w:top w:val="none" w:sz="0" w:space="0" w:color="auto"/>
                                <w:left w:val="none" w:sz="0" w:space="0" w:color="auto"/>
                                <w:bottom w:val="none" w:sz="0" w:space="0" w:color="auto"/>
                                <w:right w:val="none" w:sz="0" w:space="0" w:color="auto"/>
                              </w:divBdr>
                            </w:div>
                          </w:divsChild>
                        </w:div>
                        <w:div w:id="245843735">
                          <w:marLeft w:val="0"/>
                          <w:marRight w:val="0"/>
                          <w:marTop w:val="0"/>
                          <w:marBottom w:val="0"/>
                          <w:divBdr>
                            <w:top w:val="none" w:sz="0" w:space="0" w:color="auto"/>
                            <w:left w:val="none" w:sz="0" w:space="0" w:color="auto"/>
                            <w:bottom w:val="none" w:sz="0" w:space="0" w:color="auto"/>
                            <w:right w:val="none" w:sz="0" w:space="0" w:color="auto"/>
                          </w:divBdr>
                          <w:divsChild>
                            <w:div w:id="59712852">
                              <w:marLeft w:val="0"/>
                              <w:marRight w:val="0"/>
                              <w:marTop w:val="120"/>
                              <w:marBottom w:val="0"/>
                              <w:divBdr>
                                <w:top w:val="none" w:sz="0" w:space="0" w:color="auto"/>
                                <w:left w:val="none" w:sz="0" w:space="0" w:color="auto"/>
                                <w:bottom w:val="none" w:sz="0" w:space="0" w:color="auto"/>
                                <w:right w:val="none" w:sz="0" w:space="0" w:color="auto"/>
                              </w:divBdr>
                            </w:div>
                            <w:div w:id="4291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2085808">
          <w:marLeft w:val="0"/>
          <w:marRight w:val="0"/>
          <w:marTop w:val="0"/>
          <w:marBottom w:val="0"/>
          <w:divBdr>
            <w:top w:val="none" w:sz="0" w:space="0" w:color="auto"/>
            <w:left w:val="none" w:sz="0" w:space="0" w:color="auto"/>
            <w:bottom w:val="none" w:sz="0" w:space="0" w:color="auto"/>
            <w:right w:val="none" w:sz="0" w:space="0" w:color="auto"/>
          </w:divBdr>
          <w:divsChild>
            <w:div w:id="541866960">
              <w:marLeft w:val="0"/>
              <w:marRight w:val="0"/>
              <w:marTop w:val="0"/>
              <w:marBottom w:val="0"/>
              <w:divBdr>
                <w:top w:val="none" w:sz="0" w:space="0" w:color="auto"/>
                <w:left w:val="none" w:sz="0" w:space="0" w:color="auto"/>
                <w:bottom w:val="none" w:sz="0" w:space="0" w:color="auto"/>
                <w:right w:val="none" w:sz="0" w:space="0" w:color="auto"/>
              </w:divBdr>
            </w:div>
          </w:divsChild>
        </w:div>
        <w:div w:id="771316766">
          <w:marLeft w:val="0"/>
          <w:marRight w:val="0"/>
          <w:marTop w:val="0"/>
          <w:marBottom w:val="0"/>
          <w:divBdr>
            <w:top w:val="none" w:sz="0" w:space="0" w:color="auto"/>
            <w:left w:val="none" w:sz="0" w:space="0" w:color="auto"/>
            <w:bottom w:val="none" w:sz="0" w:space="0" w:color="auto"/>
            <w:right w:val="none" w:sz="0" w:space="0" w:color="auto"/>
          </w:divBdr>
          <w:divsChild>
            <w:div w:id="355011909">
              <w:marLeft w:val="0"/>
              <w:marRight w:val="0"/>
              <w:marTop w:val="0"/>
              <w:marBottom w:val="0"/>
              <w:divBdr>
                <w:top w:val="none" w:sz="0" w:space="0" w:color="auto"/>
                <w:left w:val="none" w:sz="0" w:space="0" w:color="auto"/>
                <w:bottom w:val="none" w:sz="0" w:space="0" w:color="auto"/>
                <w:right w:val="none" w:sz="0" w:space="0" w:color="auto"/>
              </w:divBdr>
            </w:div>
          </w:divsChild>
        </w:div>
        <w:div w:id="1363282386">
          <w:marLeft w:val="0"/>
          <w:marRight w:val="0"/>
          <w:marTop w:val="0"/>
          <w:marBottom w:val="0"/>
          <w:divBdr>
            <w:top w:val="none" w:sz="0" w:space="0" w:color="auto"/>
            <w:left w:val="none" w:sz="0" w:space="0" w:color="auto"/>
            <w:bottom w:val="none" w:sz="0" w:space="0" w:color="auto"/>
            <w:right w:val="none" w:sz="0" w:space="0" w:color="auto"/>
          </w:divBdr>
          <w:divsChild>
            <w:div w:id="74790104">
              <w:marLeft w:val="0"/>
              <w:marRight w:val="0"/>
              <w:marTop w:val="0"/>
              <w:marBottom w:val="0"/>
              <w:divBdr>
                <w:top w:val="none" w:sz="0" w:space="0" w:color="auto"/>
                <w:left w:val="none" w:sz="0" w:space="0" w:color="auto"/>
                <w:bottom w:val="none" w:sz="0" w:space="0" w:color="auto"/>
                <w:right w:val="none" w:sz="0" w:space="0" w:color="auto"/>
              </w:divBdr>
              <w:divsChild>
                <w:div w:id="1174998439">
                  <w:marLeft w:val="0"/>
                  <w:marRight w:val="0"/>
                  <w:marTop w:val="0"/>
                  <w:marBottom w:val="0"/>
                  <w:divBdr>
                    <w:top w:val="none" w:sz="0" w:space="0" w:color="auto"/>
                    <w:left w:val="none" w:sz="0" w:space="0" w:color="auto"/>
                    <w:bottom w:val="none" w:sz="0" w:space="0" w:color="auto"/>
                    <w:right w:val="none" w:sz="0" w:space="0" w:color="auto"/>
                  </w:divBdr>
                  <w:divsChild>
                    <w:div w:id="1884637432">
                      <w:marLeft w:val="0"/>
                      <w:marRight w:val="0"/>
                      <w:marTop w:val="120"/>
                      <w:marBottom w:val="0"/>
                      <w:divBdr>
                        <w:top w:val="none" w:sz="0" w:space="0" w:color="auto"/>
                        <w:left w:val="none" w:sz="0" w:space="0" w:color="auto"/>
                        <w:bottom w:val="none" w:sz="0" w:space="0" w:color="auto"/>
                        <w:right w:val="none" w:sz="0" w:space="0" w:color="auto"/>
                      </w:divBdr>
                    </w:div>
                    <w:div w:id="1920552790">
                      <w:marLeft w:val="0"/>
                      <w:marRight w:val="0"/>
                      <w:marTop w:val="0"/>
                      <w:marBottom w:val="0"/>
                      <w:divBdr>
                        <w:top w:val="none" w:sz="0" w:space="0" w:color="auto"/>
                        <w:left w:val="none" w:sz="0" w:space="0" w:color="auto"/>
                        <w:bottom w:val="none" w:sz="0" w:space="0" w:color="auto"/>
                        <w:right w:val="none" w:sz="0" w:space="0" w:color="auto"/>
                      </w:divBdr>
                    </w:div>
                  </w:divsChild>
                </w:div>
                <w:div w:id="1623615122">
                  <w:marLeft w:val="0"/>
                  <w:marRight w:val="0"/>
                  <w:marTop w:val="0"/>
                  <w:marBottom w:val="0"/>
                  <w:divBdr>
                    <w:top w:val="none" w:sz="0" w:space="0" w:color="auto"/>
                    <w:left w:val="none" w:sz="0" w:space="0" w:color="auto"/>
                    <w:bottom w:val="none" w:sz="0" w:space="0" w:color="auto"/>
                    <w:right w:val="none" w:sz="0" w:space="0" w:color="auto"/>
                  </w:divBdr>
                  <w:divsChild>
                    <w:div w:id="960958880">
                      <w:marLeft w:val="0"/>
                      <w:marRight w:val="0"/>
                      <w:marTop w:val="120"/>
                      <w:marBottom w:val="0"/>
                      <w:divBdr>
                        <w:top w:val="none" w:sz="0" w:space="0" w:color="auto"/>
                        <w:left w:val="none" w:sz="0" w:space="0" w:color="auto"/>
                        <w:bottom w:val="none" w:sz="0" w:space="0" w:color="auto"/>
                        <w:right w:val="none" w:sz="0" w:space="0" w:color="auto"/>
                      </w:divBdr>
                    </w:div>
                    <w:div w:id="9614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7946">
          <w:marLeft w:val="0"/>
          <w:marRight w:val="0"/>
          <w:marTop w:val="0"/>
          <w:marBottom w:val="0"/>
          <w:divBdr>
            <w:top w:val="none" w:sz="0" w:space="0" w:color="auto"/>
            <w:left w:val="none" w:sz="0" w:space="0" w:color="auto"/>
            <w:bottom w:val="none" w:sz="0" w:space="0" w:color="auto"/>
            <w:right w:val="none" w:sz="0" w:space="0" w:color="auto"/>
          </w:divBdr>
          <w:divsChild>
            <w:div w:id="286932868">
              <w:marLeft w:val="0"/>
              <w:marRight w:val="0"/>
              <w:marTop w:val="0"/>
              <w:marBottom w:val="0"/>
              <w:divBdr>
                <w:top w:val="none" w:sz="0" w:space="0" w:color="auto"/>
                <w:left w:val="none" w:sz="0" w:space="0" w:color="auto"/>
                <w:bottom w:val="none" w:sz="0" w:space="0" w:color="auto"/>
                <w:right w:val="none" w:sz="0" w:space="0" w:color="auto"/>
              </w:divBdr>
              <w:divsChild>
                <w:div w:id="429393015">
                  <w:marLeft w:val="0"/>
                  <w:marRight w:val="0"/>
                  <w:marTop w:val="0"/>
                  <w:marBottom w:val="0"/>
                  <w:divBdr>
                    <w:top w:val="none" w:sz="0" w:space="0" w:color="auto"/>
                    <w:left w:val="none" w:sz="0" w:space="0" w:color="auto"/>
                    <w:bottom w:val="none" w:sz="0" w:space="0" w:color="auto"/>
                    <w:right w:val="none" w:sz="0" w:space="0" w:color="auto"/>
                  </w:divBdr>
                  <w:divsChild>
                    <w:div w:id="446199140">
                      <w:marLeft w:val="0"/>
                      <w:marRight w:val="0"/>
                      <w:marTop w:val="0"/>
                      <w:marBottom w:val="0"/>
                      <w:divBdr>
                        <w:top w:val="none" w:sz="0" w:space="0" w:color="auto"/>
                        <w:left w:val="none" w:sz="0" w:space="0" w:color="auto"/>
                        <w:bottom w:val="none" w:sz="0" w:space="0" w:color="auto"/>
                        <w:right w:val="none" w:sz="0" w:space="0" w:color="auto"/>
                      </w:divBdr>
                    </w:div>
                    <w:div w:id="1210338290">
                      <w:marLeft w:val="0"/>
                      <w:marRight w:val="0"/>
                      <w:marTop w:val="120"/>
                      <w:marBottom w:val="0"/>
                      <w:divBdr>
                        <w:top w:val="none" w:sz="0" w:space="0" w:color="auto"/>
                        <w:left w:val="none" w:sz="0" w:space="0" w:color="auto"/>
                        <w:bottom w:val="none" w:sz="0" w:space="0" w:color="auto"/>
                        <w:right w:val="none" w:sz="0" w:space="0" w:color="auto"/>
                      </w:divBdr>
                    </w:div>
                  </w:divsChild>
                </w:div>
                <w:div w:id="897399068">
                  <w:marLeft w:val="0"/>
                  <w:marRight w:val="0"/>
                  <w:marTop w:val="0"/>
                  <w:marBottom w:val="0"/>
                  <w:divBdr>
                    <w:top w:val="none" w:sz="0" w:space="0" w:color="auto"/>
                    <w:left w:val="none" w:sz="0" w:space="0" w:color="auto"/>
                    <w:bottom w:val="none" w:sz="0" w:space="0" w:color="auto"/>
                    <w:right w:val="none" w:sz="0" w:space="0" w:color="auto"/>
                  </w:divBdr>
                  <w:divsChild>
                    <w:div w:id="164322765">
                      <w:marLeft w:val="0"/>
                      <w:marRight w:val="0"/>
                      <w:marTop w:val="0"/>
                      <w:marBottom w:val="0"/>
                      <w:divBdr>
                        <w:top w:val="none" w:sz="0" w:space="0" w:color="auto"/>
                        <w:left w:val="none" w:sz="0" w:space="0" w:color="auto"/>
                        <w:bottom w:val="none" w:sz="0" w:space="0" w:color="auto"/>
                        <w:right w:val="none" w:sz="0" w:space="0" w:color="auto"/>
                      </w:divBdr>
                    </w:div>
                    <w:div w:id="1270701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1022442">
          <w:marLeft w:val="0"/>
          <w:marRight w:val="0"/>
          <w:marTop w:val="0"/>
          <w:marBottom w:val="0"/>
          <w:divBdr>
            <w:top w:val="none" w:sz="0" w:space="0" w:color="auto"/>
            <w:left w:val="none" w:sz="0" w:space="0" w:color="auto"/>
            <w:bottom w:val="none" w:sz="0" w:space="0" w:color="auto"/>
            <w:right w:val="none" w:sz="0" w:space="0" w:color="auto"/>
          </w:divBdr>
          <w:divsChild>
            <w:div w:id="117771247">
              <w:marLeft w:val="0"/>
              <w:marRight w:val="0"/>
              <w:marTop w:val="0"/>
              <w:marBottom w:val="0"/>
              <w:divBdr>
                <w:top w:val="none" w:sz="0" w:space="0" w:color="auto"/>
                <w:left w:val="none" w:sz="0" w:space="0" w:color="auto"/>
                <w:bottom w:val="none" w:sz="0" w:space="0" w:color="auto"/>
                <w:right w:val="none" w:sz="0" w:space="0" w:color="auto"/>
              </w:divBdr>
              <w:divsChild>
                <w:div w:id="732045109">
                  <w:marLeft w:val="0"/>
                  <w:marRight w:val="0"/>
                  <w:marTop w:val="0"/>
                  <w:marBottom w:val="0"/>
                  <w:divBdr>
                    <w:top w:val="none" w:sz="0" w:space="0" w:color="auto"/>
                    <w:left w:val="none" w:sz="0" w:space="0" w:color="auto"/>
                    <w:bottom w:val="none" w:sz="0" w:space="0" w:color="auto"/>
                    <w:right w:val="none" w:sz="0" w:space="0" w:color="auto"/>
                  </w:divBdr>
                  <w:divsChild>
                    <w:div w:id="1361010824">
                      <w:marLeft w:val="0"/>
                      <w:marRight w:val="0"/>
                      <w:marTop w:val="120"/>
                      <w:marBottom w:val="0"/>
                      <w:divBdr>
                        <w:top w:val="none" w:sz="0" w:space="0" w:color="auto"/>
                        <w:left w:val="none" w:sz="0" w:space="0" w:color="auto"/>
                        <w:bottom w:val="none" w:sz="0" w:space="0" w:color="auto"/>
                        <w:right w:val="none" w:sz="0" w:space="0" w:color="auto"/>
                      </w:divBdr>
                    </w:div>
                    <w:div w:id="2002587336">
                      <w:marLeft w:val="0"/>
                      <w:marRight w:val="0"/>
                      <w:marTop w:val="0"/>
                      <w:marBottom w:val="0"/>
                      <w:divBdr>
                        <w:top w:val="none" w:sz="0" w:space="0" w:color="auto"/>
                        <w:left w:val="none" w:sz="0" w:space="0" w:color="auto"/>
                        <w:bottom w:val="none" w:sz="0" w:space="0" w:color="auto"/>
                        <w:right w:val="none" w:sz="0" w:space="0" w:color="auto"/>
                      </w:divBdr>
                    </w:div>
                  </w:divsChild>
                </w:div>
                <w:div w:id="790588252">
                  <w:marLeft w:val="0"/>
                  <w:marRight w:val="0"/>
                  <w:marTop w:val="0"/>
                  <w:marBottom w:val="0"/>
                  <w:divBdr>
                    <w:top w:val="none" w:sz="0" w:space="0" w:color="auto"/>
                    <w:left w:val="none" w:sz="0" w:space="0" w:color="auto"/>
                    <w:bottom w:val="none" w:sz="0" w:space="0" w:color="auto"/>
                    <w:right w:val="none" w:sz="0" w:space="0" w:color="auto"/>
                  </w:divBdr>
                  <w:divsChild>
                    <w:div w:id="555555019">
                      <w:marLeft w:val="0"/>
                      <w:marRight w:val="0"/>
                      <w:marTop w:val="120"/>
                      <w:marBottom w:val="0"/>
                      <w:divBdr>
                        <w:top w:val="none" w:sz="0" w:space="0" w:color="auto"/>
                        <w:left w:val="none" w:sz="0" w:space="0" w:color="auto"/>
                        <w:bottom w:val="none" w:sz="0" w:space="0" w:color="auto"/>
                        <w:right w:val="none" w:sz="0" w:space="0" w:color="auto"/>
                      </w:divBdr>
                    </w:div>
                    <w:div w:id="674570530">
                      <w:marLeft w:val="0"/>
                      <w:marRight w:val="0"/>
                      <w:marTop w:val="0"/>
                      <w:marBottom w:val="0"/>
                      <w:divBdr>
                        <w:top w:val="none" w:sz="0" w:space="0" w:color="auto"/>
                        <w:left w:val="none" w:sz="0" w:space="0" w:color="auto"/>
                        <w:bottom w:val="none" w:sz="0" w:space="0" w:color="auto"/>
                        <w:right w:val="none" w:sz="0" w:space="0" w:color="auto"/>
                      </w:divBdr>
                    </w:div>
                  </w:divsChild>
                </w:div>
                <w:div w:id="816412706">
                  <w:marLeft w:val="0"/>
                  <w:marRight w:val="0"/>
                  <w:marTop w:val="0"/>
                  <w:marBottom w:val="0"/>
                  <w:divBdr>
                    <w:top w:val="none" w:sz="0" w:space="0" w:color="auto"/>
                    <w:left w:val="none" w:sz="0" w:space="0" w:color="auto"/>
                    <w:bottom w:val="none" w:sz="0" w:space="0" w:color="auto"/>
                    <w:right w:val="none" w:sz="0" w:space="0" w:color="auto"/>
                  </w:divBdr>
                  <w:divsChild>
                    <w:div w:id="933829819">
                      <w:marLeft w:val="0"/>
                      <w:marRight w:val="0"/>
                      <w:marTop w:val="0"/>
                      <w:marBottom w:val="0"/>
                      <w:divBdr>
                        <w:top w:val="none" w:sz="0" w:space="0" w:color="auto"/>
                        <w:left w:val="none" w:sz="0" w:space="0" w:color="auto"/>
                        <w:bottom w:val="none" w:sz="0" w:space="0" w:color="auto"/>
                        <w:right w:val="none" w:sz="0" w:space="0" w:color="auto"/>
                      </w:divBdr>
                    </w:div>
                    <w:div w:id="1109935667">
                      <w:marLeft w:val="0"/>
                      <w:marRight w:val="0"/>
                      <w:marTop w:val="120"/>
                      <w:marBottom w:val="0"/>
                      <w:divBdr>
                        <w:top w:val="none" w:sz="0" w:space="0" w:color="auto"/>
                        <w:left w:val="none" w:sz="0" w:space="0" w:color="auto"/>
                        <w:bottom w:val="none" w:sz="0" w:space="0" w:color="auto"/>
                        <w:right w:val="none" w:sz="0" w:space="0" w:color="auto"/>
                      </w:divBdr>
                    </w:div>
                  </w:divsChild>
                </w:div>
                <w:div w:id="939798391">
                  <w:marLeft w:val="0"/>
                  <w:marRight w:val="0"/>
                  <w:marTop w:val="0"/>
                  <w:marBottom w:val="0"/>
                  <w:divBdr>
                    <w:top w:val="none" w:sz="0" w:space="0" w:color="auto"/>
                    <w:left w:val="none" w:sz="0" w:space="0" w:color="auto"/>
                    <w:bottom w:val="none" w:sz="0" w:space="0" w:color="auto"/>
                    <w:right w:val="none" w:sz="0" w:space="0" w:color="auto"/>
                  </w:divBdr>
                  <w:divsChild>
                    <w:div w:id="301006860">
                      <w:marLeft w:val="0"/>
                      <w:marRight w:val="0"/>
                      <w:marTop w:val="120"/>
                      <w:marBottom w:val="0"/>
                      <w:divBdr>
                        <w:top w:val="none" w:sz="0" w:space="0" w:color="auto"/>
                        <w:left w:val="none" w:sz="0" w:space="0" w:color="auto"/>
                        <w:bottom w:val="none" w:sz="0" w:space="0" w:color="auto"/>
                        <w:right w:val="none" w:sz="0" w:space="0" w:color="auto"/>
                      </w:divBdr>
                    </w:div>
                    <w:div w:id="1540127574">
                      <w:marLeft w:val="0"/>
                      <w:marRight w:val="0"/>
                      <w:marTop w:val="0"/>
                      <w:marBottom w:val="0"/>
                      <w:divBdr>
                        <w:top w:val="none" w:sz="0" w:space="0" w:color="auto"/>
                        <w:left w:val="none" w:sz="0" w:space="0" w:color="auto"/>
                        <w:bottom w:val="none" w:sz="0" w:space="0" w:color="auto"/>
                        <w:right w:val="none" w:sz="0" w:space="0" w:color="auto"/>
                      </w:divBdr>
                    </w:div>
                  </w:divsChild>
                </w:div>
                <w:div w:id="1011637642">
                  <w:marLeft w:val="0"/>
                  <w:marRight w:val="0"/>
                  <w:marTop w:val="0"/>
                  <w:marBottom w:val="0"/>
                  <w:divBdr>
                    <w:top w:val="none" w:sz="0" w:space="0" w:color="auto"/>
                    <w:left w:val="none" w:sz="0" w:space="0" w:color="auto"/>
                    <w:bottom w:val="none" w:sz="0" w:space="0" w:color="auto"/>
                    <w:right w:val="none" w:sz="0" w:space="0" w:color="auto"/>
                  </w:divBdr>
                  <w:divsChild>
                    <w:div w:id="253513839">
                      <w:marLeft w:val="0"/>
                      <w:marRight w:val="0"/>
                      <w:marTop w:val="120"/>
                      <w:marBottom w:val="0"/>
                      <w:divBdr>
                        <w:top w:val="none" w:sz="0" w:space="0" w:color="auto"/>
                        <w:left w:val="none" w:sz="0" w:space="0" w:color="auto"/>
                        <w:bottom w:val="none" w:sz="0" w:space="0" w:color="auto"/>
                        <w:right w:val="none" w:sz="0" w:space="0" w:color="auto"/>
                      </w:divBdr>
                    </w:div>
                    <w:div w:id="1423377186">
                      <w:marLeft w:val="0"/>
                      <w:marRight w:val="0"/>
                      <w:marTop w:val="0"/>
                      <w:marBottom w:val="0"/>
                      <w:divBdr>
                        <w:top w:val="none" w:sz="0" w:space="0" w:color="auto"/>
                        <w:left w:val="none" w:sz="0" w:space="0" w:color="auto"/>
                        <w:bottom w:val="none" w:sz="0" w:space="0" w:color="auto"/>
                        <w:right w:val="none" w:sz="0" w:space="0" w:color="auto"/>
                      </w:divBdr>
                    </w:div>
                  </w:divsChild>
                </w:div>
                <w:div w:id="1046877533">
                  <w:marLeft w:val="0"/>
                  <w:marRight w:val="0"/>
                  <w:marTop w:val="0"/>
                  <w:marBottom w:val="0"/>
                  <w:divBdr>
                    <w:top w:val="none" w:sz="0" w:space="0" w:color="auto"/>
                    <w:left w:val="none" w:sz="0" w:space="0" w:color="auto"/>
                    <w:bottom w:val="none" w:sz="0" w:space="0" w:color="auto"/>
                    <w:right w:val="none" w:sz="0" w:space="0" w:color="auto"/>
                  </w:divBdr>
                  <w:divsChild>
                    <w:div w:id="599527106">
                      <w:marLeft w:val="0"/>
                      <w:marRight w:val="0"/>
                      <w:marTop w:val="120"/>
                      <w:marBottom w:val="0"/>
                      <w:divBdr>
                        <w:top w:val="none" w:sz="0" w:space="0" w:color="auto"/>
                        <w:left w:val="none" w:sz="0" w:space="0" w:color="auto"/>
                        <w:bottom w:val="none" w:sz="0" w:space="0" w:color="auto"/>
                        <w:right w:val="none" w:sz="0" w:space="0" w:color="auto"/>
                      </w:divBdr>
                    </w:div>
                    <w:div w:id="796722581">
                      <w:marLeft w:val="0"/>
                      <w:marRight w:val="0"/>
                      <w:marTop w:val="0"/>
                      <w:marBottom w:val="0"/>
                      <w:divBdr>
                        <w:top w:val="none" w:sz="0" w:space="0" w:color="auto"/>
                        <w:left w:val="none" w:sz="0" w:space="0" w:color="auto"/>
                        <w:bottom w:val="none" w:sz="0" w:space="0" w:color="auto"/>
                        <w:right w:val="none" w:sz="0" w:space="0" w:color="auto"/>
                      </w:divBdr>
                    </w:div>
                  </w:divsChild>
                </w:div>
                <w:div w:id="1063603901">
                  <w:marLeft w:val="0"/>
                  <w:marRight w:val="0"/>
                  <w:marTop w:val="0"/>
                  <w:marBottom w:val="0"/>
                  <w:divBdr>
                    <w:top w:val="none" w:sz="0" w:space="0" w:color="auto"/>
                    <w:left w:val="none" w:sz="0" w:space="0" w:color="auto"/>
                    <w:bottom w:val="none" w:sz="0" w:space="0" w:color="auto"/>
                    <w:right w:val="none" w:sz="0" w:space="0" w:color="auto"/>
                  </w:divBdr>
                  <w:divsChild>
                    <w:div w:id="901719616">
                      <w:marLeft w:val="0"/>
                      <w:marRight w:val="0"/>
                      <w:marTop w:val="120"/>
                      <w:marBottom w:val="0"/>
                      <w:divBdr>
                        <w:top w:val="none" w:sz="0" w:space="0" w:color="auto"/>
                        <w:left w:val="none" w:sz="0" w:space="0" w:color="auto"/>
                        <w:bottom w:val="none" w:sz="0" w:space="0" w:color="auto"/>
                        <w:right w:val="none" w:sz="0" w:space="0" w:color="auto"/>
                      </w:divBdr>
                    </w:div>
                    <w:div w:id="1910537143">
                      <w:marLeft w:val="0"/>
                      <w:marRight w:val="0"/>
                      <w:marTop w:val="0"/>
                      <w:marBottom w:val="0"/>
                      <w:divBdr>
                        <w:top w:val="none" w:sz="0" w:space="0" w:color="auto"/>
                        <w:left w:val="none" w:sz="0" w:space="0" w:color="auto"/>
                        <w:bottom w:val="none" w:sz="0" w:space="0" w:color="auto"/>
                        <w:right w:val="none" w:sz="0" w:space="0" w:color="auto"/>
                      </w:divBdr>
                    </w:div>
                  </w:divsChild>
                </w:div>
                <w:div w:id="1313605726">
                  <w:marLeft w:val="0"/>
                  <w:marRight w:val="0"/>
                  <w:marTop w:val="0"/>
                  <w:marBottom w:val="0"/>
                  <w:divBdr>
                    <w:top w:val="none" w:sz="0" w:space="0" w:color="auto"/>
                    <w:left w:val="none" w:sz="0" w:space="0" w:color="auto"/>
                    <w:bottom w:val="none" w:sz="0" w:space="0" w:color="auto"/>
                    <w:right w:val="none" w:sz="0" w:space="0" w:color="auto"/>
                  </w:divBdr>
                  <w:divsChild>
                    <w:div w:id="263929505">
                      <w:marLeft w:val="0"/>
                      <w:marRight w:val="0"/>
                      <w:marTop w:val="0"/>
                      <w:marBottom w:val="0"/>
                      <w:divBdr>
                        <w:top w:val="none" w:sz="0" w:space="0" w:color="auto"/>
                        <w:left w:val="none" w:sz="0" w:space="0" w:color="auto"/>
                        <w:bottom w:val="none" w:sz="0" w:space="0" w:color="auto"/>
                        <w:right w:val="none" w:sz="0" w:space="0" w:color="auto"/>
                      </w:divBdr>
                    </w:div>
                    <w:div w:id="1303538102">
                      <w:marLeft w:val="0"/>
                      <w:marRight w:val="0"/>
                      <w:marTop w:val="120"/>
                      <w:marBottom w:val="0"/>
                      <w:divBdr>
                        <w:top w:val="none" w:sz="0" w:space="0" w:color="auto"/>
                        <w:left w:val="none" w:sz="0" w:space="0" w:color="auto"/>
                        <w:bottom w:val="none" w:sz="0" w:space="0" w:color="auto"/>
                        <w:right w:val="none" w:sz="0" w:space="0" w:color="auto"/>
                      </w:divBdr>
                    </w:div>
                  </w:divsChild>
                </w:div>
                <w:div w:id="1335301602">
                  <w:marLeft w:val="0"/>
                  <w:marRight w:val="0"/>
                  <w:marTop w:val="0"/>
                  <w:marBottom w:val="0"/>
                  <w:divBdr>
                    <w:top w:val="none" w:sz="0" w:space="0" w:color="auto"/>
                    <w:left w:val="none" w:sz="0" w:space="0" w:color="auto"/>
                    <w:bottom w:val="none" w:sz="0" w:space="0" w:color="auto"/>
                    <w:right w:val="none" w:sz="0" w:space="0" w:color="auto"/>
                  </w:divBdr>
                  <w:divsChild>
                    <w:div w:id="67926490">
                      <w:marLeft w:val="0"/>
                      <w:marRight w:val="0"/>
                      <w:marTop w:val="0"/>
                      <w:marBottom w:val="0"/>
                      <w:divBdr>
                        <w:top w:val="none" w:sz="0" w:space="0" w:color="auto"/>
                        <w:left w:val="none" w:sz="0" w:space="0" w:color="auto"/>
                        <w:bottom w:val="none" w:sz="0" w:space="0" w:color="auto"/>
                        <w:right w:val="none" w:sz="0" w:space="0" w:color="auto"/>
                      </w:divBdr>
                    </w:div>
                    <w:div w:id="10723931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06391295">
      <w:bodyDiv w:val="1"/>
      <w:marLeft w:val="0"/>
      <w:marRight w:val="0"/>
      <w:marTop w:val="0"/>
      <w:marBottom w:val="0"/>
      <w:divBdr>
        <w:top w:val="none" w:sz="0" w:space="0" w:color="auto"/>
        <w:left w:val="none" w:sz="0" w:space="0" w:color="auto"/>
        <w:bottom w:val="none" w:sz="0" w:space="0" w:color="auto"/>
        <w:right w:val="none" w:sz="0" w:space="0" w:color="auto"/>
      </w:divBdr>
      <w:divsChild>
        <w:div w:id="1338969487">
          <w:marLeft w:val="0"/>
          <w:marRight w:val="0"/>
          <w:marTop w:val="0"/>
          <w:marBottom w:val="0"/>
          <w:divBdr>
            <w:top w:val="none" w:sz="0" w:space="0" w:color="auto"/>
            <w:left w:val="none" w:sz="0" w:space="0" w:color="auto"/>
            <w:bottom w:val="none" w:sz="0" w:space="0" w:color="auto"/>
            <w:right w:val="none" w:sz="0" w:space="0" w:color="auto"/>
          </w:divBdr>
          <w:divsChild>
            <w:div w:id="1243492207">
              <w:marLeft w:val="0"/>
              <w:marRight w:val="0"/>
              <w:marTop w:val="0"/>
              <w:marBottom w:val="0"/>
              <w:divBdr>
                <w:top w:val="none" w:sz="0" w:space="0" w:color="auto"/>
                <w:left w:val="none" w:sz="0" w:space="0" w:color="auto"/>
                <w:bottom w:val="none" w:sz="0" w:space="0" w:color="auto"/>
                <w:right w:val="none" w:sz="0" w:space="0" w:color="auto"/>
              </w:divBdr>
              <w:divsChild>
                <w:div w:id="637954215">
                  <w:marLeft w:val="0"/>
                  <w:marRight w:val="0"/>
                  <w:marTop w:val="0"/>
                  <w:marBottom w:val="0"/>
                  <w:divBdr>
                    <w:top w:val="none" w:sz="0" w:space="0" w:color="auto"/>
                    <w:left w:val="none" w:sz="0" w:space="0" w:color="auto"/>
                    <w:bottom w:val="none" w:sz="0" w:space="0" w:color="auto"/>
                    <w:right w:val="none" w:sz="0" w:space="0" w:color="auto"/>
                  </w:divBdr>
                  <w:divsChild>
                    <w:div w:id="1055472532">
                      <w:marLeft w:val="0"/>
                      <w:marRight w:val="0"/>
                      <w:marTop w:val="0"/>
                      <w:marBottom w:val="0"/>
                      <w:divBdr>
                        <w:top w:val="none" w:sz="0" w:space="0" w:color="auto"/>
                        <w:left w:val="none" w:sz="0" w:space="0" w:color="auto"/>
                        <w:bottom w:val="none" w:sz="0" w:space="0" w:color="auto"/>
                        <w:right w:val="none" w:sz="0" w:space="0" w:color="auto"/>
                      </w:divBdr>
                    </w:div>
                    <w:div w:id="1211309670">
                      <w:marLeft w:val="0"/>
                      <w:marRight w:val="0"/>
                      <w:marTop w:val="120"/>
                      <w:marBottom w:val="0"/>
                      <w:divBdr>
                        <w:top w:val="none" w:sz="0" w:space="0" w:color="auto"/>
                        <w:left w:val="none" w:sz="0" w:space="0" w:color="auto"/>
                        <w:bottom w:val="none" w:sz="0" w:space="0" w:color="auto"/>
                        <w:right w:val="none" w:sz="0" w:space="0" w:color="auto"/>
                      </w:divBdr>
                    </w:div>
                  </w:divsChild>
                </w:div>
                <w:div w:id="829904514">
                  <w:marLeft w:val="0"/>
                  <w:marRight w:val="0"/>
                  <w:marTop w:val="0"/>
                  <w:marBottom w:val="0"/>
                  <w:divBdr>
                    <w:top w:val="none" w:sz="0" w:space="0" w:color="auto"/>
                    <w:left w:val="none" w:sz="0" w:space="0" w:color="auto"/>
                    <w:bottom w:val="none" w:sz="0" w:space="0" w:color="auto"/>
                    <w:right w:val="none" w:sz="0" w:space="0" w:color="auto"/>
                  </w:divBdr>
                  <w:divsChild>
                    <w:div w:id="526676854">
                      <w:marLeft w:val="0"/>
                      <w:marRight w:val="0"/>
                      <w:marTop w:val="0"/>
                      <w:marBottom w:val="0"/>
                      <w:divBdr>
                        <w:top w:val="none" w:sz="0" w:space="0" w:color="auto"/>
                        <w:left w:val="none" w:sz="0" w:space="0" w:color="auto"/>
                        <w:bottom w:val="none" w:sz="0" w:space="0" w:color="auto"/>
                        <w:right w:val="none" w:sz="0" w:space="0" w:color="auto"/>
                      </w:divBdr>
                    </w:div>
                    <w:div w:id="2097164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8257818">
          <w:marLeft w:val="0"/>
          <w:marRight w:val="0"/>
          <w:marTop w:val="0"/>
          <w:marBottom w:val="0"/>
          <w:divBdr>
            <w:top w:val="none" w:sz="0" w:space="0" w:color="auto"/>
            <w:left w:val="none" w:sz="0" w:space="0" w:color="auto"/>
            <w:bottom w:val="none" w:sz="0" w:space="0" w:color="auto"/>
            <w:right w:val="none" w:sz="0" w:space="0" w:color="auto"/>
          </w:divBdr>
          <w:divsChild>
            <w:div w:id="1989047803">
              <w:marLeft w:val="0"/>
              <w:marRight w:val="0"/>
              <w:marTop w:val="0"/>
              <w:marBottom w:val="0"/>
              <w:divBdr>
                <w:top w:val="none" w:sz="0" w:space="0" w:color="auto"/>
                <w:left w:val="none" w:sz="0" w:space="0" w:color="auto"/>
                <w:bottom w:val="none" w:sz="0" w:space="0" w:color="auto"/>
                <w:right w:val="none" w:sz="0" w:space="0" w:color="auto"/>
              </w:divBdr>
              <w:divsChild>
                <w:div w:id="1334380590">
                  <w:marLeft w:val="0"/>
                  <w:marRight w:val="0"/>
                  <w:marTop w:val="0"/>
                  <w:marBottom w:val="0"/>
                  <w:divBdr>
                    <w:top w:val="none" w:sz="0" w:space="0" w:color="auto"/>
                    <w:left w:val="none" w:sz="0" w:space="0" w:color="auto"/>
                    <w:bottom w:val="none" w:sz="0" w:space="0" w:color="auto"/>
                    <w:right w:val="none" w:sz="0" w:space="0" w:color="auto"/>
                  </w:divBdr>
                  <w:divsChild>
                    <w:div w:id="614219208">
                      <w:marLeft w:val="0"/>
                      <w:marRight w:val="0"/>
                      <w:marTop w:val="120"/>
                      <w:marBottom w:val="0"/>
                      <w:divBdr>
                        <w:top w:val="none" w:sz="0" w:space="0" w:color="auto"/>
                        <w:left w:val="none" w:sz="0" w:space="0" w:color="auto"/>
                        <w:bottom w:val="none" w:sz="0" w:space="0" w:color="auto"/>
                        <w:right w:val="none" w:sz="0" w:space="0" w:color="auto"/>
                      </w:divBdr>
                    </w:div>
                    <w:div w:id="984578442">
                      <w:marLeft w:val="0"/>
                      <w:marRight w:val="0"/>
                      <w:marTop w:val="0"/>
                      <w:marBottom w:val="0"/>
                      <w:divBdr>
                        <w:top w:val="none" w:sz="0" w:space="0" w:color="auto"/>
                        <w:left w:val="none" w:sz="0" w:space="0" w:color="auto"/>
                        <w:bottom w:val="none" w:sz="0" w:space="0" w:color="auto"/>
                        <w:right w:val="none" w:sz="0" w:space="0" w:color="auto"/>
                      </w:divBdr>
                    </w:div>
                  </w:divsChild>
                </w:div>
                <w:div w:id="1708873802">
                  <w:marLeft w:val="0"/>
                  <w:marRight w:val="0"/>
                  <w:marTop w:val="0"/>
                  <w:marBottom w:val="0"/>
                  <w:divBdr>
                    <w:top w:val="none" w:sz="0" w:space="0" w:color="auto"/>
                    <w:left w:val="none" w:sz="0" w:space="0" w:color="auto"/>
                    <w:bottom w:val="none" w:sz="0" w:space="0" w:color="auto"/>
                    <w:right w:val="none" w:sz="0" w:space="0" w:color="auto"/>
                  </w:divBdr>
                  <w:divsChild>
                    <w:div w:id="710767352">
                      <w:marLeft w:val="0"/>
                      <w:marRight w:val="0"/>
                      <w:marTop w:val="120"/>
                      <w:marBottom w:val="0"/>
                      <w:divBdr>
                        <w:top w:val="none" w:sz="0" w:space="0" w:color="auto"/>
                        <w:left w:val="none" w:sz="0" w:space="0" w:color="auto"/>
                        <w:bottom w:val="none" w:sz="0" w:space="0" w:color="auto"/>
                        <w:right w:val="none" w:sz="0" w:space="0" w:color="auto"/>
                      </w:divBdr>
                    </w:div>
                    <w:div w:id="1286350957">
                      <w:marLeft w:val="0"/>
                      <w:marRight w:val="0"/>
                      <w:marTop w:val="0"/>
                      <w:marBottom w:val="0"/>
                      <w:divBdr>
                        <w:top w:val="none" w:sz="0" w:space="0" w:color="auto"/>
                        <w:left w:val="none" w:sz="0" w:space="0" w:color="auto"/>
                        <w:bottom w:val="none" w:sz="0" w:space="0" w:color="auto"/>
                        <w:right w:val="none" w:sz="0" w:space="0" w:color="auto"/>
                      </w:divBdr>
                    </w:div>
                  </w:divsChild>
                </w:div>
                <w:div w:id="1766343528">
                  <w:marLeft w:val="0"/>
                  <w:marRight w:val="0"/>
                  <w:marTop w:val="0"/>
                  <w:marBottom w:val="0"/>
                  <w:divBdr>
                    <w:top w:val="none" w:sz="0" w:space="0" w:color="auto"/>
                    <w:left w:val="none" w:sz="0" w:space="0" w:color="auto"/>
                    <w:bottom w:val="none" w:sz="0" w:space="0" w:color="auto"/>
                    <w:right w:val="none" w:sz="0" w:space="0" w:color="auto"/>
                  </w:divBdr>
                  <w:divsChild>
                    <w:div w:id="1644919606">
                      <w:marLeft w:val="0"/>
                      <w:marRight w:val="0"/>
                      <w:marTop w:val="120"/>
                      <w:marBottom w:val="0"/>
                      <w:divBdr>
                        <w:top w:val="none" w:sz="0" w:space="0" w:color="auto"/>
                        <w:left w:val="none" w:sz="0" w:space="0" w:color="auto"/>
                        <w:bottom w:val="none" w:sz="0" w:space="0" w:color="auto"/>
                        <w:right w:val="none" w:sz="0" w:space="0" w:color="auto"/>
                      </w:divBdr>
                    </w:div>
                    <w:div w:id="1733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60054">
          <w:marLeft w:val="0"/>
          <w:marRight w:val="0"/>
          <w:marTop w:val="0"/>
          <w:marBottom w:val="0"/>
          <w:divBdr>
            <w:top w:val="none" w:sz="0" w:space="0" w:color="auto"/>
            <w:left w:val="none" w:sz="0" w:space="0" w:color="auto"/>
            <w:bottom w:val="none" w:sz="0" w:space="0" w:color="auto"/>
            <w:right w:val="none" w:sz="0" w:space="0" w:color="auto"/>
          </w:divBdr>
          <w:divsChild>
            <w:div w:id="13915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8331">
      <w:bodyDiv w:val="1"/>
      <w:marLeft w:val="0"/>
      <w:marRight w:val="0"/>
      <w:marTop w:val="0"/>
      <w:marBottom w:val="0"/>
      <w:divBdr>
        <w:top w:val="none" w:sz="0" w:space="0" w:color="auto"/>
        <w:left w:val="none" w:sz="0" w:space="0" w:color="auto"/>
        <w:bottom w:val="none" w:sz="0" w:space="0" w:color="auto"/>
        <w:right w:val="none" w:sz="0" w:space="0" w:color="auto"/>
      </w:divBdr>
    </w:div>
    <w:div w:id="433598289">
      <w:bodyDiv w:val="1"/>
      <w:marLeft w:val="0"/>
      <w:marRight w:val="0"/>
      <w:marTop w:val="0"/>
      <w:marBottom w:val="0"/>
      <w:divBdr>
        <w:top w:val="none" w:sz="0" w:space="0" w:color="auto"/>
        <w:left w:val="none" w:sz="0" w:space="0" w:color="auto"/>
        <w:bottom w:val="none" w:sz="0" w:space="0" w:color="auto"/>
        <w:right w:val="none" w:sz="0" w:space="0" w:color="auto"/>
      </w:divBdr>
    </w:div>
    <w:div w:id="434786915">
      <w:bodyDiv w:val="1"/>
      <w:marLeft w:val="0"/>
      <w:marRight w:val="0"/>
      <w:marTop w:val="0"/>
      <w:marBottom w:val="0"/>
      <w:divBdr>
        <w:top w:val="none" w:sz="0" w:space="0" w:color="auto"/>
        <w:left w:val="none" w:sz="0" w:space="0" w:color="auto"/>
        <w:bottom w:val="none" w:sz="0" w:space="0" w:color="auto"/>
        <w:right w:val="none" w:sz="0" w:space="0" w:color="auto"/>
      </w:divBdr>
    </w:div>
    <w:div w:id="444735449">
      <w:bodyDiv w:val="1"/>
      <w:marLeft w:val="0"/>
      <w:marRight w:val="0"/>
      <w:marTop w:val="0"/>
      <w:marBottom w:val="0"/>
      <w:divBdr>
        <w:top w:val="none" w:sz="0" w:space="0" w:color="auto"/>
        <w:left w:val="none" w:sz="0" w:space="0" w:color="auto"/>
        <w:bottom w:val="none" w:sz="0" w:space="0" w:color="auto"/>
        <w:right w:val="none" w:sz="0" w:space="0" w:color="auto"/>
      </w:divBdr>
      <w:divsChild>
        <w:div w:id="923799831">
          <w:marLeft w:val="0"/>
          <w:marRight w:val="0"/>
          <w:marTop w:val="0"/>
          <w:marBottom w:val="0"/>
          <w:divBdr>
            <w:top w:val="none" w:sz="0" w:space="0" w:color="auto"/>
            <w:left w:val="none" w:sz="0" w:space="0" w:color="auto"/>
            <w:bottom w:val="none" w:sz="0" w:space="0" w:color="auto"/>
            <w:right w:val="none" w:sz="0" w:space="0" w:color="auto"/>
          </w:divBdr>
          <w:divsChild>
            <w:div w:id="2083914827">
              <w:marLeft w:val="0"/>
              <w:marRight w:val="0"/>
              <w:marTop w:val="0"/>
              <w:marBottom w:val="0"/>
              <w:divBdr>
                <w:top w:val="none" w:sz="0" w:space="0" w:color="auto"/>
                <w:left w:val="none" w:sz="0" w:space="0" w:color="auto"/>
                <w:bottom w:val="none" w:sz="0" w:space="0" w:color="auto"/>
                <w:right w:val="none" w:sz="0" w:space="0" w:color="auto"/>
              </w:divBdr>
              <w:divsChild>
                <w:div w:id="1325671506">
                  <w:marLeft w:val="0"/>
                  <w:marRight w:val="0"/>
                  <w:marTop w:val="0"/>
                  <w:marBottom w:val="0"/>
                  <w:divBdr>
                    <w:top w:val="none" w:sz="0" w:space="0" w:color="auto"/>
                    <w:left w:val="none" w:sz="0" w:space="0" w:color="auto"/>
                    <w:bottom w:val="none" w:sz="0" w:space="0" w:color="auto"/>
                    <w:right w:val="none" w:sz="0" w:space="0" w:color="auto"/>
                  </w:divBdr>
                  <w:divsChild>
                    <w:div w:id="1233924806">
                      <w:marLeft w:val="0"/>
                      <w:marRight w:val="0"/>
                      <w:marTop w:val="120"/>
                      <w:marBottom w:val="0"/>
                      <w:divBdr>
                        <w:top w:val="none" w:sz="0" w:space="0" w:color="auto"/>
                        <w:left w:val="none" w:sz="0" w:space="0" w:color="auto"/>
                        <w:bottom w:val="none" w:sz="0" w:space="0" w:color="auto"/>
                        <w:right w:val="none" w:sz="0" w:space="0" w:color="auto"/>
                      </w:divBdr>
                    </w:div>
                    <w:div w:id="18161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4035">
      <w:bodyDiv w:val="1"/>
      <w:marLeft w:val="0"/>
      <w:marRight w:val="0"/>
      <w:marTop w:val="0"/>
      <w:marBottom w:val="0"/>
      <w:divBdr>
        <w:top w:val="none" w:sz="0" w:space="0" w:color="auto"/>
        <w:left w:val="none" w:sz="0" w:space="0" w:color="auto"/>
        <w:bottom w:val="none" w:sz="0" w:space="0" w:color="auto"/>
        <w:right w:val="none" w:sz="0" w:space="0" w:color="auto"/>
      </w:divBdr>
      <w:divsChild>
        <w:div w:id="754396170">
          <w:marLeft w:val="0"/>
          <w:marRight w:val="0"/>
          <w:marTop w:val="0"/>
          <w:marBottom w:val="0"/>
          <w:divBdr>
            <w:top w:val="none" w:sz="0" w:space="0" w:color="auto"/>
            <w:left w:val="none" w:sz="0" w:space="0" w:color="auto"/>
            <w:bottom w:val="none" w:sz="0" w:space="0" w:color="auto"/>
            <w:right w:val="none" w:sz="0" w:space="0" w:color="auto"/>
          </w:divBdr>
        </w:div>
        <w:div w:id="1060060362">
          <w:marLeft w:val="0"/>
          <w:marRight w:val="0"/>
          <w:marTop w:val="120"/>
          <w:marBottom w:val="0"/>
          <w:divBdr>
            <w:top w:val="none" w:sz="0" w:space="0" w:color="auto"/>
            <w:left w:val="none" w:sz="0" w:space="0" w:color="auto"/>
            <w:bottom w:val="none" w:sz="0" w:space="0" w:color="auto"/>
            <w:right w:val="none" w:sz="0" w:space="0" w:color="auto"/>
          </w:divBdr>
        </w:div>
      </w:divsChild>
    </w:div>
    <w:div w:id="448670657">
      <w:bodyDiv w:val="1"/>
      <w:marLeft w:val="0"/>
      <w:marRight w:val="0"/>
      <w:marTop w:val="0"/>
      <w:marBottom w:val="0"/>
      <w:divBdr>
        <w:top w:val="none" w:sz="0" w:space="0" w:color="auto"/>
        <w:left w:val="none" w:sz="0" w:space="0" w:color="auto"/>
        <w:bottom w:val="none" w:sz="0" w:space="0" w:color="auto"/>
        <w:right w:val="none" w:sz="0" w:space="0" w:color="auto"/>
      </w:divBdr>
    </w:div>
    <w:div w:id="455178362">
      <w:bodyDiv w:val="1"/>
      <w:marLeft w:val="0"/>
      <w:marRight w:val="0"/>
      <w:marTop w:val="0"/>
      <w:marBottom w:val="0"/>
      <w:divBdr>
        <w:top w:val="none" w:sz="0" w:space="0" w:color="auto"/>
        <w:left w:val="none" w:sz="0" w:space="0" w:color="auto"/>
        <w:bottom w:val="none" w:sz="0" w:space="0" w:color="auto"/>
        <w:right w:val="none" w:sz="0" w:space="0" w:color="auto"/>
      </w:divBdr>
      <w:divsChild>
        <w:div w:id="1042317215">
          <w:marLeft w:val="0"/>
          <w:marRight w:val="0"/>
          <w:marTop w:val="0"/>
          <w:marBottom w:val="0"/>
          <w:divBdr>
            <w:top w:val="none" w:sz="0" w:space="0" w:color="auto"/>
            <w:left w:val="none" w:sz="0" w:space="0" w:color="auto"/>
            <w:bottom w:val="none" w:sz="0" w:space="0" w:color="auto"/>
            <w:right w:val="none" w:sz="0" w:space="0" w:color="auto"/>
          </w:divBdr>
          <w:divsChild>
            <w:div w:id="614215707">
              <w:marLeft w:val="0"/>
              <w:marRight w:val="0"/>
              <w:marTop w:val="0"/>
              <w:marBottom w:val="0"/>
              <w:divBdr>
                <w:top w:val="none" w:sz="0" w:space="0" w:color="auto"/>
                <w:left w:val="none" w:sz="0" w:space="0" w:color="auto"/>
                <w:bottom w:val="none" w:sz="0" w:space="0" w:color="auto"/>
                <w:right w:val="none" w:sz="0" w:space="0" w:color="auto"/>
              </w:divBdr>
              <w:divsChild>
                <w:div w:id="1004629369">
                  <w:marLeft w:val="0"/>
                  <w:marRight w:val="0"/>
                  <w:marTop w:val="120"/>
                  <w:marBottom w:val="0"/>
                  <w:divBdr>
                    <w:top w:val="none" w:sz="0" w:space="0" w:color="auto"/>
                    <w:left w:val="none" w:sz="0" w:space="0" w:color="auto"/>
                    <w:bottom w:val="none" w:sz="0" w:space="0" w:color="auto"/>
                    <w:right w:val="none" w:sz="0" w:space="0" w:color="auto"/>
                  </w:divBdr>
                </w:div>
                <w:div w:id="1778214086">
                  <w:marLeft w:val="0"/>
                  <w:marRight w:val="0"/>
                  <w:marTop w:val="0"/>
                  <w:marBottom w:val="0"/>
                  <w:divBdr>
                    <w:top w:val="none" w:sz="0" w:space="0" w:color="auto"/>
                    <w:left w:val="none" w:sz="0" w:space="0" w:color="auto"/>
                    <w:bottom w:val="none" w:sz="0" w:space="0" w:color="auto"/>
                    <w:right w:val="none" w:sz="0" w:space="0" w:color="auto"/>
                  </w:divBdr>
                </w:div>
              </w:divsChild>
            </w:div>
            <w:div w:id="1903176105">
              <w:marLeft w:val="0"/>
              <w:marRight w:val="0"/>
              <w:marTop w:val="0"/>
              <w:marBottom w:val="0"/>
              <w:divBdr>
                <w:top w:val="none" w:sz="0" w:space="0" w:color="auto"/>
                <w:left w:val="none" w:sz="0" w:space="0" w:color="auto"/>
                <w:bottom w:val="none" w:sz="0" w:space="0" w:color="auto"/>
                <w:right w:val="none" w:sz="0" w:space="0" w:color="auto"/>
              </w:divBdr>
              <w:divsChild>
                <w:div w:id="31224356">
                  <w:marLeft w:val="0"/>
                  <w:marRight w:val="0"/>
                  <w:marTop w:val="120"/>
                  <w:marBottom w:val="0"/>
                  <w:divBdr>
                    <w:top w:val="none" w:sz="0" w:space="0" w:color="auto"/>
                    <w:left w:val="none" w:sz="0" w:space="0" w:color="auto"/>
                    <w:bottom w:val="none" w:sz="0" w:space="0" w:color="auto"/>
                    <w:right w:val="none" w:sz="0" w:space="0" w:color="auto"/>
                  </w:divBdr>
                </w:div>
                <w:div w:id="18391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8194">
      <w:bodyDiv w:val="1"/>
      <w:marLeft w:val="0"/>
      <w:marRight w:val="0"/>
      <w:marTop w:val="0"/>
      <w:marBottom w:val="0"/>
      <w:divBdr>
        <w:top w:val="none" w:sz="0" w:space="0" w:color="auto"/>
        <w:left w:val="none" w:sz="0" w:space="0" w:color="auto"/>
        <w:bottom w:val="none" w:sz="0" w:space="0" w:color="auto"/>
        <w:right w:val="none" w:sz="0" w:space="0" w:color="auto"/>
      </w:divBdr>
      <w:divsChild>
        <w:div w:id="60520957">
          <w:marLeft w:val="0"/>
          <w:marRight w:val="0"/>
          <w:marTop w:val="0"/>
          <w:marBottom w:val="0"/>
          <w:divBdr>
            <w:top w:val="none" w:sz="0" w:space="0" w:color="auto"/>
            <w:left w:val="none" w:sz="0" w:space="0" w:color="auto"/>
            <w:bottom w:val="none" w:sz="0" w:space="0" w:color="auto"/>
            <w:right w:val="none" w:sz="0" w:space="0" w:color="auto"/>
          </w:divBdr>
          <w:divsChild>
            <w:div w:id="758713663">
              <w:marLeft w:val="0"/>
              <w:marRight w:val="0"/>
              <w:marTop w:val="120"/>
              <w:marBottom w:val="0"/>
              <w:divBdr>
                <w:top w:val="none" w:sz="0" w:space="0" w:color="auto"/>
                <w:left w:val="none" w:sz="0" w:space="0" w:color="auto"/>
                <w:bottom w:val="none" w:sz="0" w:space="0" w:color="auto"/>
                <w:right w:val="none" w:sz="0" w:space="0" w:color="auto"/>
              </w:divBdr>
            </w:div>
            <w:div w:id="900361264">
              <w:marLeft w:val="0"/>
              <w:marRight w:val="0"/>
              <w:marTop w:val="0"/>
              <w:marBottom w:val="0"/>
              <w:divBdr>
                <w:top w:val="none" w:sz="0" w:space="0" w:color="auto"/>
                <w:left w:val="none" w:sz="0" w:space="0" w:color="auto"/>
                <w:bottom w:val="none" w:sz="0" w:space="0" w:color="auto"/>
                <w:right w:val="none" w:sz="0" w:space="0" w:color="auto"/>
              </w:divBdr>
            </w:div>
          </w:divsChild>
        </w:div>
        <w:div w:id="1655447152">
          <w:marLeft w:val="0"/>
          <w:marRight w:val="0"/>
          <w:marTop w:val="0"/>
          <w:marBottom w:val="0"/>
          <w:divBdr>
            <w:top w:val="none" w:sz="0" w:space="0" w:color="auto"/>
            <w:left w:val="none" w:sz="0" w:space="0" w:color="auto"/>
            <w:bottom w:val="none" w:sz="0" w:space="0" w:color="auto"/>
            <w:right w:val="none" w:sz="0" w:space="0" w:color="auto"/>
          </w:divBdr>
          <w:divsChild>
            <w:div w:id="1050374751">
              <w:marLeft w:val="0"/>
              <w:marRight w:val="0"/>
              <w:marTop w:val="0"/>
              <w:marBottom w:val="0"/>
              <w:divBdr>
                <w:top w:val="none" w:sz="0" w:space="0" w:color="auto"/>
                <w:left w:val="none" w:sz="0" w:space="0" w:color="auto"/>
                <w:bottom w:val="none" w:sz="0" w:space="0" w:color="auto"/>
                <w:right w:val="none" w:sz="0" w:space="0" w:color="auto"/>
              </w:divBdr>
            </w:div>
            <w:div w:id="1449395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389401">
      <w:bodyDiv w:val="1"/>
      <w:marLeft w:val="0"/>
      <w:marRight w:val="0"/>
      <w:marTop w:val="0"/>
      <w:marBottom w:val="0"/>
      <w:divBdr>
        <w:top w:val="none" w:sz="0" w:space="0" w:color="auto"/>
        <w:left w:val="none" w:sz="0" w:space="0" w:color="auto"/>
        <w:bottom w:val="none" w:sz="0" w:space="0" w:color="auto"/>
        <w:right w:val="none" w:sz="0" w:space="0" w:color="auto"/>
      </w:divBdr>
      <w:divsChild>
        <w:div w:id="1675257647">
          <w:marLeft w:val="0"/>
          <w:marRight w:val="0"/>
          <w:marTop w:val="0"/>
          <w:marBottom w:val="0"/>
          <w:divBdr>
            <w:top w:val="none" w:sz="0" w:space="0" w:color="auto"/>
            <w:left w:val="none" w:sz="0" w:space="0" w:color="auto"/>
            <w:bottom w:val="none" w:sz="0" w:space="0" w:color="auto"/>
            <w:right w:val="none" w:sz="0" w:space="0" w:color="auto"/>
          </w:divBdr>
          <w:divsChild>
            <w:div w:id="1343969640">
              <w:marLeft w:val="0"/>
              <w:marRight w:val="0"/>
              <w:marTop w:val="0"/>
              <w:marBottom w:val="0"/>
              <w:divBdr>
                <w:top w:val="none" w:sz="0" w:space="0" w:color="auto"/>
                <w:left w:val="none" w:sz="0" w:space="0" w:color="auto"/>
                <w:bottom w:val="none" w:sz="0" w:space="0" w:color="auto"/>
                <w:right w:val="none" w:sz="0" w:space="0" w:color="auto"/>
              </w:divBdr>
              <w:divsChild>
                <w:div w:id="494607901">
                  <w:marLeft w:val="0"/>
                  <w:marRight w:val="0"/>
                  <w:marTop w:val="120"/>
                  <w:marBottom w:val="0"/>
                  <w:divBdr>
                    <w:top w:val="none" w:sz="0" w:space="0" w:color="auto"/>
                    <w:left w:val="none" w:sz="0" w:space="0" w:color="auto"/>
                    <w:bottom w:val="none" w:sz="0" w:space="0" w:color="auto"/>
                    <w:right w:val="none" w:sz="0" w:space="0" w:color="auto"/>
                  </w:divBdr>
                </w:div>
                <w:div w:id="1516109849">
                  <w:marLeft w:val="0"/>
                  <w:marRight w:val="0"/>
                  <w:marTop w:val="0"/>
                  <w:marBottom w:val="0"/>
                  <w:divBdr>
                    <w:top w:val="none" w:sz="0" w:space="0" w:color="auto"/>
                    <w:left w:val="none" w:sz="0" w:space="0" w:color="auto"/>
                    <w:bottom w:val="none" w:sz="0" w:space="0" w:color="auto"/>
                    <w:right w:val="none" w:sz="0" w:space="0" w:color="auto"/>
                  </w:divBdr>
                </w:div>
              </w:divsChild>
            </w:div>
            <w:div w:id="1930771903">
              <w:marLeft w:val="0"/>
              <w:marRight w:val="0"/>
              <w:marTop w:val="0"/>
              <w:marBottom w:val="0"/>
              <w:divBdr>
                <w:top w:val="none" w:sz="0" w:space="0" w:color="auto"/>
                <w:left w:val="none" w:sz="0" w:space="0" w:color="auto"/>
                <w:bottom w:val="none" w:sz="0" w:space="0" w:color="auto"/>
                <w:right w:val="none" w:sz="0" w:space="0" w:color="auto"/>
              </w:divBdr>
              <w:divsChild>
                <w:div w:id="138766257">
                  <w:marLeft w:val="0"/>
                  <w:marRight w:val="0"/>
                  <w:marTop w:val="120"/>
                  <w:marBottom w:val="0"/>
                  <w:divBdr>
                    <w:top w:val="none" w:sz="0" w:space="0" w:color="auto"/>
                    <w:left w:val="none" w:sz="0" w:space="0" w:color="auto"/>
                    <w:bottom w:val="none" w:sz="0" w:space="0" w:color="auto"/>
                    <w:right w:val="none" w:sz="0" w:space="0" w:color="auto"/>
                  </w:divBdr>
                </w:div>
                <w:div w:id="4363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41375">
      <w:bodyDiv w:val="1"/>
      <w:marLeft w:val="0"/>
      <w:marRight w:val="0"/>
      <w:marTop w:val="0"/>
      <w:marBottom w:val="0"/>
      <w:divBdr>
        <w:top w:val="none" w:sz="0" w:space="0" w:color="auto"/>
        <w:left w:val="none" w:sz="0" w:space="0" w:color="auto"/>
        <w:bottom w:val="none" w:sz="0" w:space="0" w:color="auto"/>
        <w:right w:val="none" w:sz="0" w:space="0" w:color="auto"/>
      </w:divBdr>
      <w:divsChild>
        <w:div w:id="220792033">
          <w:marLeft w:val="0"/>
          <w:marRight w:val="0"/>
          <w:marTop w:val="0"/>
          <w:marBottom w:val="0"/>
          <w:divBdr>
            <w:top w:val="none" w:sz="0" w:space="0" w:color="auto"/>
            <w:left w:val="none" w:sz="0" w:space="0" w:color="auto"/>
            <w:bottom w:val="none" w:sz="0" w:space="0" w:color="auto"/>
            <w:right w:val="none" w:sz="0" w:space="0" w:color="auto"/>
          </w:divBdr>
          <w:divsChild>
            <w:div w:id="985547601">
              <w:marLeft w:val="0"/>
              <w:marRight w:val="0"/>
              <w:marTop w:val="0"/>
              <w:marBottom w:val="0"/>
              <w:divBdr>
                <w:top w:val="none" w:sz="0" w:space="0" w:color="auto"/>
                <w:left w:val="none" w:sz="0" w:space="0" w:color="auto"/>
                <w:bottom w:val="none" w:sz="0" w:space="0" w:color="auto"/>
                <w:right w:val="none" w:sz="0" w:space="0" w:color="auto"/>
              </w:divBdr>
              <w:divsChild>
                <w:div w:id="30738479">
                  <w:marLeft w:val="0"/>
                  <w:marRight w:val="0"/>
                  <w:marTop w:val="0"/>
                  <w:marBottom w:val="0"/>
                  <w:divBdr>
                    <w:top w:val="none" w:sz="0" w:space="0" w:color="auto"/>
                    <w:left w:val="none" w:sz="0" w:space="0" w:color="auto"/>
                    <w:bottom w:val="none" w:sz="0" w:space="0" w:color="auto"/>
                    <w:right w:val="none" w:sz="0" w:space="0" w:color="auto"/>
                  </w:divBdr>
                  <w:divsChild>
                    <w:div w:id="872840376">
                      <w:marLeft w:val="0"/>
                      <w:marRight w:val="0"/>
                      <w:marTop w:val="120"/>
                      <w:marBottom w:val="0"/>
                      <w:divBdr>
                        <w:top w:val="none" w:sz="0" w:space="0" w:color="auto"/>
                        <w:left w:val="none" w:sz="0" w:space="0" w:color="auto"/>
                        <w:bottom w:val="none" w:sz="0" w:space="0" w:color="auto"/>
                        <w:right w:val="none" w:sz="0" w:space="0" w:color="auto"/>
                      </w:divBdr>
                    </w:div>
                    <w:div w:id="1049765931">
                      <w:marLeft w:val="0"/>
                      <w:marRight w:val="0"/>
                      <w:marTop w:val="0"/>
                      <w:marBottom w:val="0"/>
                      <w:divBdr>
                        <w:top w:val="none" w:sz="0" w:space="0" w:color="auto"/>
                        <w:left w:val="none" w:sz="0" w:space="0" w:color="auto"/>
                        <w:bottom w:val="none" w:sz="0" w:space="0" w:color="auto"/>
                        <w:right w:val="none" w:sz="0" w:space="0" w:color="auto"/>
                      </w:divBdr>
                    </w:div>
                  </w:divsChild>
                </w:div>
                <w:div w:id="132412345">
                  <w:marLeft w:val="0"/>
                  <w:marRight w:val="0"/>
                  <w:marTop w:val="0"/>
                  <w:marBottom w:val="0"/>
                  <w:divBdr>
                    <w:top w:val="none" w:sz="0" w:space="0" w:color="auto"/>
                    <w:left w:val="none" w:sz="0" w:space="0" w:color="auto"/>
                    <w:bottom w:val="none" w:sz="0" w:space="0" w:color="auto"/>
                    <w:right w:val="none" w:sz="0" w:space="0" w:color="auto"/>
                  </w:divBdr>
                  <w:divsChild>
                    <w:div w:id="577836065">
                      <w:marLeft w:val="0"/>
                      <w:marRight w:val="0"/>
                      <w:marTop w:val="120"/>
                      <w:marBottom w:val="0"/>
                      <w:divBdr>
                        <w:top w:val="none" w:sz="0" w:space="0" w:color="auto"/>
                        <w:left w:val="none" w:sz="0" w:space="0" w:color="auto"/>
                        <w:bottom w:val="none" w:sz="0" w:space="0" w:color="auto"/>
                        <w:right w:val="none" w:sz="0" w:space="0" w:color="auto"/>
                      </w:divBdr>
                    </w:div>
                    <w:div w:id="1447775124">
                      <w:marLeft w:val="0"/>
                      <w:marRight w:val="0"/>
                      <w:marTop w:val="0"/>
                      <w:marBottom w:val="0"/>
                      <w:divBdr>
                        <w:top w:val="none" w:sz="0" w:space="0" w:color="auto"/>
                        <w:left w:val="none" w:sz="0" w:space="0" w:color="auto"/>
                        <w:bottom w:val="none" w:sz="0" w:space="0" w:color="auto"/>
                        <w:right w:val="none" w:sz="0" w:space="0" w:color="auto"/>
                      </w:divBdr>
                    </w:div>
                  </w:divsChild>
                </w:div>
                <w:div w:id="299726862">
                  <w:marLeft w:val="0"/>
                  <w:marRight w:val="0"/>
                  <w:marTop w:val="0"/>
                  <w:marBottom w:val="0"/>
                  <w:divBdr>
                    <w:top w:val="none" w:sz="0" w:space="0" w:color="auto"/>
                    <w:left w:val="none" w:sz="0" w:space="0" w:color="auto"/>
                    <w:bottom w:val="none" w:sz="0" w:space="0" w:color="auto"/>
                    <w:right w:val="none" w:sz="0" w:space="0" w:color="auto"/>
                  </w:divBdr>
                  <w:divsChild>
                    <w:div w:id="1860124220">
                      <w:marLeft w:val="0"/>
                      <w:marRight w:val="0"/>
                      <w:marTop w:val="0"/>
                      <w:marBottom w:val="0"/>
                      <w:divBdr>
                        <w:top w:val="none" w:sz="0" w:space="0" w:color="auto"/>
                        <w:left w:val="none" w:sz="0" w:space="0" w:color="auto"/>
                        <w:bottom w:val="none" w:sz="0" w:space="0" w:color="auto"/>
                        <w:right w:val="none" w:sz="0" w:space="0" w:color="auto"/>
                      </w:divBdr>
                    </w:div>
                    <w:div w:id="2101026294">
                      <w:marLeft w:val="0"/>
                      <w:marRight w:val="0"/>
                      <w:marTop w:val="120"/>
                      <w:marBottom w:val="0"/>
                      <w:divBdr>
                        <w:top w:val="none" w:sz="0" w:space="0" w:color="auto"/>
                        <w:left w:val="none" w:sz="0" w:space="0" w:color="auto"/>
                        <w:bottom w:val="none" w:sz="0" w:space="0" w:color="auto"/>
                        <w:right w:val="none" w:sz="0" w:space="0" w:color="auto"/>
                      </w:divBdr>
                    </w:div>
                  </w:divsChild>
                </w:div>
                <w:div w:id="895746692">
                  <w:marLeft w:val="0"/>
                  <w:marRight w:val="0"/>
                  <w:marTop w:val="0"/>
                  <w:marBottom w:val="0"/>
                  <w:divBdr>
                    <w:top w:val="none" w:sz="0" w:space="0" w:color="auto"/>
                    <w:left w:val="none" w:sz="0" w:space="0" w:color="auto"/>
                    <w:bottom w:val="none" w:sz="0" w:space="0" w:color="auto"/>
                    <w:right w:val="none" w:sz="0" w:space="0" w:color="auto"/>
                  </w:divBdr>
                  <w:divsChild>
                    <w:div w:id="862672607">
                      <w:marLeft w:val="0"/>
                      <w:marRight w:val="0"/>
                      <w:marTop w:val="120"/>
                      <w:marBottom w:val="0"/>
                      <w:divBdr>
                        <w:top w:val="none" w:sz="0" w:space="0" w:color="auto"/>
                        <w:left w:val="none" w:sz="0" w:space="0" w:color="auto"/>
                        <w:bottom w:val="none" w:sz="0" w:space="0" w:color="auto"/>
                        <w:right w:val="none" w:sz="0" w:space="0" w:color="auto"/>
                      </w:divBdr>
                    </w:div>
                    <w:div w:id="1057700039">
                      <w:marLeft w:val="0"/>
                      <w:marRight w:val="0"/>
                      <w:marTop w:val="0"/>
                      <w:marBottom w:val="0"/>
                      <w:divBdr>
                        <w:top w:val="none" w:sz="0" w:space="0" w:color="auto"/>
                        <w:left w:val="none" w:sz="0" w:space="0" w:color="auto"/>
                        <w:bottom w:val="none" w:sz="0" w:space="0" w:color="auto"/>
                        <w:right w:val="none" w:sz="0" w:space="0" w:color="auto"/>
                      </w:divBdr>
                    </w:div>
                  </w:divsChild>
                </w:div>
                <w:div w:id="1363551589">
                  <w:marLeft w:val="0"/>
                  <w:marRight w:val="0"/>
                  <w:marTop w:val="0"/>
                  <w:marBottom w:val="0"/>
                  <w:divBdr>
                    <w:top w:val="none" w:sz="0" w:space="0" w:color="auto"/>
                    <w:left w:val="none" w:sz="0" w:space="0" w:color="auto"/>
                    <w:bottom w:val="none" w:sz="0" w:space="0" w:color="auto"/>
                    <w:right w:val="none" w:sz="0" w:space="0" w:color="auto"/>
                  </w:divBdr>
                  <w:divsChild>
                    <w:div w:id="320933657">
                      <w:marLeft w:val="0"/>
                      <w:marRight w:val="0"/>
                      <w:marTop w:val="0"/>
                      <w:marBottom w:val="0"/>
                      <w:divBdr>
                        <w:top w:val="none" w:sz="0" w:space="0" w:color="auto"/>
                        <w:left w:val="none" w:sz="0" w:space="0" w:color="auto"/>
                        <w:bottom w:val="none" w:sz="0" w:space="0" w:color="auto"/>
                        <w:right w:val="none" w:sz="0" w:space="0" w:color="auto"/>
                      </w:divBdr>
                      <w:divsChild>
                        <w:div w:id="100614253">
                          <w:marLeft w:val="0"/>
                          <w:marRight w:val="0"/>
                          <w:marTop w:val="0"/>
                          <w:marBottom w:val="0"/>
                          <w:divBdr>
                            <w:top w:val="none" w:sz="0" w:space="0" w:color="auto"/>
                            <w:left w:val="none" w:sz="0" w:space="0" w:color="auto"/>
                            <w:bottom w:val="none" w:sz="0" w:space="0" w:color="auto"/>
                            <w:right w:val="none" w:sz="0" w:space="0" w:color="auto"/>
                          </w:divBdr>
                          <w:divsChild>
                            <w:div w:id="961809485">
                              <w:marLeft w:val="0"/>
                              <w:marRight w:val="0"/>
                              <w:marTop w:val="120"/>
                              <w:marBottom w:val="0"/>
                              <w:divBdr>
                                <w:top w:val="none" w:sz="0" w:space="0" w:color="auto"/>
                                <w:left w:val="none" w:sz="0" w:space="0" w:color="auto"/>
                                <w:bottom w:val="none" w:sz="0" w:space="0" w:color="auto"/>
                                <w:right w:val="none" w:sz="0" w:space="0" w:color="auto"/>
                              </w:divBdr>
                            </w:div>
                            <w:div w:id="2129809110">
                              <w:marLeft w:val="0"/>
                              <w:marRight w:val="0"/>
                              <w:marTop w:val="0"/>
                              <w:marBottom w:val="0"/>
                              <w:divBdr>
                                <w:top w:val="none" w:sz="0" w:space="0" w:color="auto"/>
                                <w:left w:val="none" w:sz="0" w:space="0" w:color="auto"/>
                                <w:bottom w:val="none" w:sz="0" w:space="0" w:color="auto"/>
                                <w:right w:val="none" w:sz="0" w:space="0" w:color="auto"/>
                              </w:divBdr>
                            </w:div>
                          </w:divsChild>
                        </w:div>
                        <w:div w:id="322855511">
                          <w:marLeft w:val="0"/>
                          <w:marRight w:val="0"/>
                          <w:marTop w:val="0"/>
                          <w:marBottom w:val="0"/>
                          <w:divBdr>
                            <w:top w:val="none" w:sz="0" w:space="0" w:color="auto"/>
                            <w:left w:val="none" w:sz="0" w:space="0" w:color="auto"/>
                            <w:bottom w:val="none" w:sz="0" w:space="0" w:color="auto"/>
                            <w:right w:val="none" w:sz="0" w:space="0" w:color="auto"/>
                          </w:divBdr>
                          <w:divsChild>
                            <w:div w:id="90593647">
                              <w:marLeft w:val="0"/>
                              <w:marRight w:val="0"/>
                              <w:marTop w:val="0"/>
                              <w:marBottom w:val="0"/>
                              <w:divBdr>
                                <w:top w:val="none" w:sz="0" w:space="0" w:color="auto"/>
                                <w:left w:val="none" w:sz="0" w:space="0" w:color="auto"/>
                                <w:bottom w:val="none" w:sz="0" w:space="0" w:color="auto"/>
                                <w:right w:val="none" w:sz="0" w:space="0" w:color="auto"/>
                              </w:divBdr>
                            </w:div>
                            <w:div w:id="730155320">
                              <w:marLeft w:val="0"/>
                              <w:marRight w:val="0"/>
                              <w:marTop w:val="120"/>
                              <w:marBottom w:val="0"/>
                              <w:divBdr>
                                <w:top w:val="none" w:sz="0" w:space="0" w:color="auto"/>
                                <w:left w:val="none" w:sz="0" w:space="0" w:color="auto"/>
                                <w:bottom w:val="none" w:sz="0" w:space="0" w:color="auto"/>
                                <w:right w:val="none" w:sz="0" w:space="0" w:color="auto"/>
                              </w:divBdr>
                            </w:div>
                          </w:divsChild>
                        </w:div>
                        <w:div w:id="733043956">
                          <w:marLeft w:val="0"/>
                          <w:marRight w:val="0"/>
                          <w:marTop w:val="0"/>
                          <w:marBottom w:val="0"/>
                          <w:divBdr>
                            <w:top w:val="none" w:sz="0" w:space="0" w:color="auto"/>
                            <w:left w:val="none" w:sz="0" w:space="0" w:color="auto"/>
                            <w:bottom w:val="none" w:sz="0" w:space="0" w:color="auto"/>
                            <w:right w:val="none" w:sz="0" w:space="0" w:color="auto"/>
                          </w:divBdr>
                          <w:divsChild>
                            <w:div w:id="628778776">
                              <w:marLeft w:val="0"/>
                              <w:marRight w:val="0"/>
                              <w:marTop w:val="120"/>
                              <w:marBottom w:val="0"/>
                              <w:divBdr>
                                <w:top w:val="none" w:sz="0" w:space="0" w:color="auto"/>
                                <w:left w:val="none" w:sz="0" w:space="0" w:color="auto"/>
                                <w:bottom w:val="none" w:sz="0" w:space="0" w:color="auto"/>
                                <w:right w:val="none" w:sz="0" w:space="0" w:color="auto"/>
                              </w:divBdr>
                            </w:div>
                            <w:div w:id="913319740">
                              <w:marLeft w:val="0"/>
                              <w:marRight w:val="0"/>
                              <w:marTop w:val="0"/>
                              <w:marBottom w:val="0"/>
                              <w:divBdr>
                                <w:top w:val="none" w:sz="0" w:space="0" w:color="auto"/>
                                <w:left w:val="none" w:sz="0" w:space="0" w:color="auto"/>
                                <w:bottom w:val="none" w:sz="0" w:space="0" w:color="auto"/>
                                <w:right w:val="none" w:sz="0" w:space="0" w:color="auto"/>
                              </w:divBdr>
                            </w:div>
                          </w:divsChild>
                        </w:div>
                        <w:div w:id="1088772590">
                          <w:marLeft w:val="0"/>
                          <w:marRight w:val="0"/>
                          <w:marTop w:val="0"/>
                          <w:marBottom w:val="0"/>
                          <w:divBdr>
                            <w:top w:val="none" w:sz="0" w:space="0" w:color="auto"/>
                            <w:left w:val="none" w:sz="0" w:space="0" w:color="auto"/>
                            <w:bottom w:val="none" w:sz="0" w:space="0" w:color="auto"/>
                            <w:right w:val="none" w:sz="0" w:space="0" w:color="auto"/>
                          </w:divBdr>
                          <w:divsChild>
                            <w:div w:id="655457581">
                              <w:marLeft w:val="0"/>
                              <w:marRight w:val="0"/>
                              <w:marTop w:val="120"/>
                              <w:marBottom w:val="0"/>
                              <w:divBdr>
                                <w:top w:val="none" w:sz="0" w:space="0" w:color="auto"/>
                                <w:left w:val="none" w:sz="0" w:space="0" w:color="auto"/>
                                <w:bottom w:val="none" w:sz="0" w:space="0" w:color="auto"/>
                                <w:right w:val="none" w:sz="0" w:space="0" w:color="auto"/>
                              </w:divBdr>
                            </w:div>
                            <w:div w:id="1726105230">
                              <w:marLeft w:val="0"/>
                              <w:marRight w:val="0"/>
                              <w:marTop w:val="0"/>
                              <w:marBottom w:val="0"/>
                              <w:divBdr>
                                <w:top w:val="none" w:sz="0" w:space="0" w:color="auto"/>
                                <w:left w:val="none" w:sz="0" w:space="0" w:color="auto"/>
                                <w:bottom w:val="none" w:sz="0" w:space="0" w:color="auto"/>
                                <w:right w:val="none" w:sz="0" w:space="0" w:color="auto"/>
                              </w:divBdr>
                            </w:div>
                          </w:divsChild>
                        </w:div>
                        <w:div w:id="1323000637">
                          <w:marLeft w:val="0"/>
                          <w:marRight w:val="0"/>
                          <w:marTop w:val="0"/>
                          <w:marBottom w:val="0"/>
                          <w:divBdr>
                            <w:top w:val="none" w:sz="0" w:space="0" w:color="auto"/>
                            <w:left w:val="none" w:sz="0" w:space="0" w:color="auto"/>
                            <w:bottom w:val="none" w:sz="0" w:space="0" w:color="auto"/>
                            <w:right w:val="none" w:sz="0" w:space="0" w:color="auto"/>
                          </w:divBdr>
                          <w:divsChild>
                            <w:div w:id="946697383">
                              <w:marLeft w:val="0"/>
                              <w:marRight w:val="0"/>
                              <w:marTop w:val="120"/>
                              <w:marBottom w:val="0"/>
                              <w:divBdr>
                                <w:top w:val="none" w:sz="0" w:space="0" w:color="auto"/>
                                <w:left w:val="none" w:sz="0" w:space="0" w:color="auto"/>
                                <w:bottom w:val="none" w:sz="0" w:space="0" w:color="auto"/>
                                <w:right w:val="none" w:sz="0" w:space="0" w:color="auto"/>
                              </w:divBdr>
                            </w:div>
                            <w:div w:id="16333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6676">
                      <w:marLeft w:val="0"/>
                      <w:marRight w:val="0"/>
                      <w:marTop w:val="120"/>
                      <w:marBottom w:val="0"/>
                      <w:divBdr>
                        <w:top w:val="none" w:sz="0" w:space="0" w:color="auto"/>
                        <w:left w:val="none" w:sz="0" w:space="0" w:color="auto"/>
                        <w:bottom w:val="none" w:sz="0" w:space="0" w:color="auto"/>
                        <w:right w:val="none" w:sz="0" w:space="0" w:color="auto"/>
                      </w:divBdr>
                    </w:div>
                  </w:divsChild>
                </w:div>
                <w:div w:id="1446118392">
                  <w:marLeft w:val="0"/>
                  <w:marRight w:val="0"/>
                  <w:marTop w:val="0"/>
                  <w:marBottom w:val="0"/>
                  <w:divBdr>
                    <w:top w:val="none" w:sz="0" w:space="0" w:color="auto"/>
                    <w:left w:val="none" w:sz="0" w:space="0" w:color="auto"/>
                    <w:bottom w:val="none" w:sz="0" w:space="0" w:color="auto"/>
                    <w:right w:val="none" w:sz="0" w:space="0" w:color="auto"/>
                  </w:divBdr>
                  <w:divsChild>
                    <w:div w:id="121077048">
                      <w:marLeft w:val="0"/>
                      <w:marRight w:val="0"/>
                      <w:marTop w:val="120"/>
                      <w:marBottom w:val="0"/>
                      <w:divBdr>
                        <w:top w:val="none" w:sz="0" w:space="0" w:color="auto"/>
                        <w:left w:val="none" w:sz="0" w:space="0" w:color="auto"/>
                        <w:bottom w:val="none" w:sz="0" w:space="0" w:color="auto"/>
                        <w:right w:val="none" w:sz="0" w:space="0" w:color="auto"/>
                      </w:divBdr>
                    </w:div>
                    <w:div w:id="2125613911">
                      <w:marLeft w:val="0"/>
                      <w:marRight w:val="0"/>
                      <w:marTop w:val="0"/>
                      <w:marBottom w:val="0"/>
                      <w:divBdr>
                        <w:top w:val="none" w:sz="0" w:space="0" w:color="auto"/>
                        <w:left w:val="none" w:sz="0" w:space="0" w:color="auto"/>
                        <w:bottom w:val="none" w:sz="0" w:space="0" w:color="auto"/>
                        <w:right w:val="none" w:sz="0" w:space="0" w:color="auto"/>
                      </w:divBdr>
                    </w:div>
                  </w:divsChild>
                </w:div>
                <w:div w:id="2117556131">
                  <w:marLeft w:val="0"/>
                  <w:marRight w:val="0"/>
                  <w:marTop w:val="0"/>
                  <w:marBottom w:val="0"/>
                  <w:divBdr>
                    <w:top w:val="none" w:sz="0" w:space="0" w:color="auto"/>
                    <w:left w:val="none" w:sz="0" w:space="0" w:color="auto"/>
                    <w:bottom w:val="none" w:sz="0" w:space="0" w:color="auto"/>
                    <w:right w:val="none" w:sz="0" w:space="0" w:color="auto"/>
                  </w:divBdr>
                  <w:divsChild>
                    <w:div w:id="407925317">
                      <w:marLeft w:val="0"/>
                      <w:marRight w:val="0"/>
                      <w:marTop w:val="0"/>
                      <w:marBottom w:val="0"/>
                      <w:divBdr>
                        <w:top w:val="none" w:sz="0" w:space="0" w:color="auto"/>
                        <w:left w:val="none" w:sz="0" w:space="0" w:color="auto"/>
                        <w:bottom w:val="none" w:sz="0" w:space="0" w:color="auto"/>
                        <w:right w:val="none" w:sz="0" w:space="0" w:color="auto"/>
                      </w:divBdr>
                    </w:div>
                    <w:div w:id="161455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4477929">
          <w:marLeft w:val="0"/>
          <w:marRight w:val="0"/>
          <w:marTop w:val="0"/>
          <w:marBottom w:val="0"/>
          <w:divBdr>
            <w:top w:val="none" w:sz="0" w:space="0" w:color="auto"/>
            <w:left w:val="none" w:sz="0" w:space="0" w:color="auto"/>
            <w:bottom w:val="none" w:sz="0" w:space="0" w:color="auto"/>
            <w:right w:val="none" w:sz="0" w:space="0" w:color="auto"/>
          </w:divBdr>
          <w:divsChild>
            <w:div w:id="11683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4390">
      <w:bodyDiv w:val="1"/>
      <w:marLeft w:val="0"/>
      <w:marRight w:val="0"/>
      <w:marTop w:val="0"/>
      <w:marBottom w:val="0"/>
      <w:divBdr>
        <w:top w:val="none" w:sz="0" w:space="0" w:color="auto"/>
        <w:left w:val="none" w:sz="0" w:space="0" w:color="auto"/>
        <w:bottom w:val="none" w:sz="0" w:space="0" w:color="auto"/>
        <w:right w:val="none" w:sz="0" w:space="0" w:color="auto"/>
      </w:divBdr>
    </w:div>
    <w:div w:id="468548958">
      <w:bodyDiv w:val="1"/>
      <w:marLeft w:val="0"/>
      <w:marRight w:val="0"/>
      <w:marTop w:val="0"/>
      <w:marBottom w:val="0"/>
      <w:divBdr>
        <w:top w:val="none" w:sz="0" w:space="0" w:color="auto"/>
        <w:left w:val="none" w:sz="0" w:space="0" w:color="auto"/>
        <w:bottom w:val="none" w:sz="0" w:space="0" w:color="auto"/>
        <w:right w:val="none" w:sz="0" w:space="0" w:color="auto"/>
      </w:divBdr>
      <w:divsChild>
        <w:div w:id="869301965">
          <w:marLeft w:val="0"/>
          <w:marRight w:val="0"/>
          <w:marTop w:val="0"/>
          <w:marBottom w:val="0"/>
          <w:divBdr>
            <w:top w:val="none" w:sz="0" w:space="0" w:color="auto"/>
            <w:left w:val="none" w:sz="0" w:space="0" w:color="auto"/>
            <w:bottom w:val="none" w:sz="0" w:space="0" w:color="auto"/>
            <w:right w:val="none" w:sz="0" w:space="0" w:color="auto"/>
          </w:divBdr>
          <w:divsChild>
            <w:div w:id="751121061">
              <w:marLeft w:val="0"/>
              <w:marRight w:val="0"/>
              <w:marTop w:val="0"/>
              <w:marBottom w:val="0"/>
              <w:divBdr>
                <w:top w:val="none" w:sz="0" w:space="0" w:color="auto"/>
                <w:left w:val="none" w:sz="0" w:space="0" w:color="auto"/>
                <w:bottom w:val="none" w:sz="0" w:space="0" w:color="auto"/>
                <w:right w:val="none" w:sz="0" w:space="0" w:color="auto"/>
              </w:divBdr>
              <w:divsChild>
                <w:div w:id="19280026">
                  <w:marLeft w:val="0"/>
                  <w:marRight w:val="0"/>
                  <w:marTop w:val="0"/>
                  <w:marBottom w:val="0"/>
                  <w:divBdr>
                    <w:top w:val="none" w:sz="0" w:space="0" w:color="auto"/>
                    <w:left w:val="none" w:sz="0" w:space="0" w:color="auto"/>
                    <w:bottom w:val="none" w:sz="0" w:space="0" w:color="auto"/>
                    <w:right w:val="none" w:sz="0" w:space="0" w:color="auto"/>
                  </w:divBdr>
                </w:div>
                <w:div w:id="1587416709">
                  <w:marLeft w:val="0"/>
                  <w:marRight w:val="0"/>
                  <w:marTop w:val="120"/>
                  <w:marBottom w:val="0"/>
                  <w:divBdr>
                    <w:top w:val="none" w:sz="0" w:space="0" w:color="auto"/>
                    <w:left w:val="none" w:sz="0" w:space="0" w:color="auto"/>
                    <w:bottom w:val="none" w:sz="0" w:space="0" w:color="auto"/>
                    <w:right w:val="none" w:sz="0" w:space="0" w:color="auto"/>
                  </w:divBdr>
                </w:div>
              </w:divsChild>
            </w:div>
            <w:div w:id="1117675813">
              <w:marLeft w:val="0"/>
              <w:marRight w:val="0"/>
              <w:marTop w:val="0"/>
              <w:marBottom w:val="0"/>
              <w:divBdr>
                <w:top w:val="none" w:sz="0" w:space="0" w:color="auto"/>
                <w:left w:val="none" w:sz="0" w:space="0" w:color="auto"/>
                <w:bottom w:val="none" w:sz="0" w:space="0" w:color="auto"/>
                <w:right w:val="none" w:sz="0" w:space="0" w:color="auto"/>
              </w:divBdr>
              <w:divsChild>
                <w:div w:id="1673795784">
                  <w:marLeft w:val="0"/>
                  <w:marRight w:val="0"/>
                  <w:marTop w:val="0"/>
                  <w:marBottom w:val="0"/>
                  <w:divBdr>
                    <w:top w:val="none" w:sz="0" w:space="0" w:color="auto"/>
                    <w:left w:val="none" w:sz="0" w:space="0" w:color="auto"/>
                    <w:bottom w:val="none" w:sz="0" w:space="0" w:color="auto"/>
                    <w:right w:val="none" w:sz="0" w:space="0" w:color="auto"/>
                  </w:divBdr>
                </w:div>
                <w:div w:id="1742866585">
                  <w:marLeft w:val="0"/>
                  <w:marRight w:val="0"/>
                  <w:marTop w:val="120"/>
                  <w:marBottom w:val="0"/>
                  <w:divBdr>
                    <w:top w:val="none" w:sz="0" w:space="0" w:color="auto"/>
                    <w:left w:val="none" w:sz="0" w:space="0" w:color="auto"/>
                    <w:bottom w:val="none" w:sz="0" w:space="0" w:color="auto"/>
                    <w:right w:val="none" w:sz="0" w:space="0" w:color="auto"/>
                  </w:divBdr>
                </w:div>
              </w:divsChild>
            </w:div>
            <w:div w:id="1925913293">
              <w:marLeft w:val="0"/>
              <w:marRight w:val="0"/>
              <w:marTop w:val="0"/>
              <w:marBottom w:val="0"/>
              <w:divBdr>
                <w:top w:val="none" w:sz="0" w:space="0" w:color="auto"/>
                <w:left w:val="none" w:sz="0" w:space="0" w:color="auto"/>
                <w:bottom w:val="none" w:sz="0" w:space="0" w:color="auto"/>
                <w:right w:val="none" w:sz="0" w:space="0" w:color="auto"/>
              </w:divBdr>
              <w:divsChild>
                <w:div w:id="180823964">
                  <w:marLeft w:val="0"/>
                  <w:marRight w:val="0"/>
                  <w:marTop w:val="120"/>
                  <w:marBottom w:val="0"/>
                  <w:divBdr>
                    <w:top w:val="none" w:sz="0" w:space="0" w:color="auto"/>
                    <w:left w:val="none" w:sz="0" w:space="0" w:color="auto"/>
                    <w:bottom w:val="none" w:sz="0" w:space="0" w:color="auto"/>
                    <w:right w:val="none" w:sz="0" w:space="0" w:color="auto"/>
                  </w:divBdr>
                </w:div>
                <w:div w:id="3316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40315">
      <w:bodyDiv w:val="1"/>
      <w:marLeft w:val="0"/>
      <w:marRight w:val="0"/>
      <w:marTop w:val="0"/>
      <w:marBottom w:val="0"/>
      <w:divBdr>
        <w:top w:val="none" w:sz="0" w:space="0" w:color="auto"/>
        <w:left w:val="none" w:sz="0" w:space="0" w:color="auto"/>
        <w:bottom w:val="none" w:sz="0" w:space="0" w:color="auto"/>
        <w:right w:val="none" w:sz="0" w:space="0" w:color="auto"/>
      </w:divBdr>
      <w:divsChild>
        <w:div w:id="1945461247">
          <w:marLeft w:val="0"/>
          <w:marRight w:val="0"/>
          <w:marTop w:val="0"/>
          <w:marBottom w:val="0"/>
          <w:divBdr>
            <w:top w:val="none" w:sz="0" w:space="0" w:color="auto"/>
            <w:left w:val="none" w:sz="0" w:space="0" w:color="auto"/>
            <w:bottom w:val="none" w:sz="0" w:space="0" w:color="auto"/>
            <w:right w:val="none" w:sz="0" w:space="0" w:color="auto"/>
          </w:divBdr>
        </w:div>
      </w:divsChild>
    </w:div>
    <w:div w:id="472986546">
      <w:bodyDiv w:val="1"/>
      <w:marLeft w:val="0"/>
      <w:marRight w:val="0"/>
      <w:marTop w:val="0"/>
      <w:marBottom w:val="0"/>
      <w:divBdr>
        <w:top w:val="none" w:sz="0" w:space="0" w:color="auto"/>
        <w:left w:val="none" w:sz="0" w:space="0" w:color="auto"/>
        <w:bottom w:val="none" w:sz="0" w:space="0" w:color="auto"/>
        <w:right w:val="none" w:sz="0" w:space="0" w:color="auto"/>
      </w:divBdr>
    </w:div>
    <w:div w:id="474831879">
      <w:bodyDiv w:val="1"/>
      <w:marLeft w:val="0"/>
      <w:marRight w:val="0"/>
      <w:marTop w:val="0"/>
      <w:marBottom w:val="0"/>
      <w:divBdr>
        <w:top w:val="none" w:sz="0" w:space="0" w:color="auto"/>
        <w:left w:val="none" w:sz="0" w:space="0" w:color="auto"/>
        <w:bottom w:val="none" w:sz="0" w:space="0" w:color="auto"/>
        <w:right w:val="none" w:sz="0" w:space="0" w:color="auto"/>
      </w:divBdr>
      <w:divsChild>
        <w:div w:id="775640484">
          <w:marLeft w:val="0"/>
          <w:marRight w:val="0"/>
          <w:marTop w:val="0"/>
          <w:marBottom w:val="0"/>
          <w:divBdr>
            <w:top w:val="none" w:sz="0" w:space="0" w:color="auto"/>
            <w:left w:val="none" w:sz="0" w:space="0" w:color="auto"/>
            <w:bottom w:val="none" w:sz="0" w:space="0" w:color="auto"/>
            <w:right w:val="none" w:sz="0" w:space="0" w:color="auto"/>
          </w:divBdr>
          <w:divsChild>
            <w:div w:id="259870333">
              <w:marLeft w:val="0"/>
              <w:marRight w:val="0"/>
              <w:marTop w:val="0"/>
              <w:marBottom w:val="0"/>
              <w:divBdr>
                <w:top w:val="none" w:sz="0" w:space="0" w:color="auto"/>
                <w:left w:val="none" w:sz="0" w:space="0" w:color="auto"/>
                <w:bottom w:val="none" w:sz="0" w:space="0" w:color="auto"/>
                <w:right w:val="none" w:sz="0" w:space="0" w:color="auto"/>
              </w:divBdr>
              <w:divsChild>
                <w:div w:id="692003439">
                  <w:marLeft w:val="0"/>
                  <w:marRight w:val="0"/>
                  <w:marTop w:val="0"/>
                  <w:marBottom w:val="0"/>
                  <w:divBdr>
                    <w:top w:val="none" w:sz="0" w:space="0" w:color="auto"/>
                    <w:left w:val="none" w:sz="0" w:space="0" w:color="auto"/>
                    <w:bottom w:val="none" w:sz="0" w:space="0" w:color="auto"/>
                    <w:right w:val="none" w:sz="0" w:space="0" w:color="auto"/>
                  </w:divBdr>
                  <w:divsChild>
                    <w:div w:id="957644036">
                      <w:marLeft w:val="0"/>
                      <w:marRight w:val="0"/>
                      <w:marTop w:val="0"/>
                      <w:marBottom w:val="0"/>
                      <w:divBdr>
                        <w:top w:val="none" w:sz="0" w:space="0" w:color="auto"/>
                        <w:left w:val="none" w:sz="0" w:space="0" w:color="auto"/>
                        <w:bottom w:val="none" w:sz="0" w:space="0" w:color="auto"/>
                        <w:right w:val="none" w:sz="0" w:space="0" w:color="auto"/>
                      </w:divBdr>
                    </w:div>
                    <w:div w:id="15553904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7987717">
      <w:bodyDiv w:val="1"/>
      <w:marLeft w:val="0"/>
      <w:marRight w:val="0"/>
      <w:marTop w:val="0"/>
      <w:marBottom w:val="0"/>
      <w:divBdr>
        <w:top w:val="none" w:sz="0" w:space="0" w:color="auto"/>
        <w:left w:val="none" w:sz="0" w:space="0" w:color="auto"/>
        <w:bottom w:val="none" w:sz="0" w:space="0" w:color="auto"/>
        <w:right w:val="none" w:sz="0" w:space="0" w:color="auto"/>
      </w:divBdr>
      <w:divsChild>
        <w:div w:id="405497670">
          <w:marLeft w:val="0"/>
          <w:marRight w:val="0"/>
          <w:marTop w:val="0"/>
          <w:marBottom w:val="0"/>
          <w:divBdr>
            <w:top w:val="none" w:sz="0" w:space="0" w:color="auto"/>
            <w:left w:val="none" w:sz="0" w:space="0" w:color="auto"/>
            <w:bottom w:val="none" w:sz="0" w:space="0" w:color="auto"/>
            <w:right w:val="none" w:sz="0" w:space="0" w:color="auto"/>
          </w:divBdr>
          <w:divsChild>
            <w:div w:id="8951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3682">
      <w:bodyDiv w:val="1"/>
      <w:marLeft w:val="0"/>
      <w:marRight w:val="0"/>
      <w:marTop w:val="0"/>
      <w:marBottom w:val="0"/>
      <w:divBdr>
        <w:top w:val="none" w:sz="0" w:space="0" w:color="auto"/>
        <w:left w:val="none" w:sz="0" w:space="0" w:color="auto"/>
        <w:bottom w:val="none" w:sz="0" w:space="0" w:color="auto"/>
        <w:right w:val="none" w:sz="0" w:space="0" w:color="auto"/>
      </w:divBdr>
    </w:div>
    <w:div w:id="507526383">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sChild>
        <w:div w:id="322126299">
          <w:marLeft w:val="0"/>
          <w:marRight w:val="0"/>
          <w:marTop w:val="0"/>
          <w:marBottom w:val="0"/>
          <w:divBdr>
            <w:top w:val="none" w:sz="0" w:space="0" w:color="auto"/>
            <w:left w:val="none" w:sz="0" w:space="0" w:color="auto"/>
            <w:bottom w:val="none" w:sz="0" w:space="0" w:color="auto"/>
            <w:right w:val="none" w:sz="0" w:space="0" w:color="auto"/>
          </w:divBdr>
          <w:divsChild>
            <w:div w:id="540017858">
              <w:marLeft w:val="0"/>
              <w:marRight w:val="0"/>
              <w:marTop w:val="0"/>
              <w:marBottom w:val="0"/>
              <w:divBdr>
                <w:top w:val="none" w:sz="0" w:space="0" w:color="auto"/>
                <w:left w:val="none" w:sz="0" w:space="0" w:color="auto"/>
                <w:bottom w:val="none" w:sz="0" w:space="0" w:color="auto"/>
                <w:right w:val="none" w:sz="0" w:space="0" w:color="auto"/>
              </w:divBdr>
              <w:divsChild>
                <w:div w:id="12071373">
                  <w:marLeft w:val="0"/>
                  <w:marRight w:val="0"/>
                  <w:marTop w:val="0"/>
                  <w:marBottom w:val="0"/>
                  <w:divBdr>
                    <w:top w:val="none" w:sz="0" w:space="0" w:color="auto"/>
                    <w:left w:val="none" w:sz="0" w:space="0" w:color="auto"/>
                    <w:bottom w:val="none" w:sz="0" w:space="0" w:color="auto"/>
                    <w:right w:val="none" w:sz="0" w:space="0" w:color="auto"/>
                  </w:divBdr>
                  <w:divsChild>
                    <w:div w:id="1106581439">
                      <w:marLeft w:val="0"/>
                      <w:marRight w:val="0"/>
                      <w:marTop w:val="0"/>
                      <w:marBottom w:val="0"/>
                      <w:divBdr>
                        <w:top w:val="none" w:sz="0" w:space="0" w:color="auto"/>
                        <w:left w:val="none" w:sz="0" w:space="0" w:color="auto"/>
                        <w:bottom w:val="none" w:sz="0" w:space="0" w:color="auto"/>
                        <w:right w:val="none" w:sz="0" w:space="0" w:color="auto"/>
                      </w:divBdr>
                    </w:div>
                    <w:div w:id="1281952624">
                      <w:marLeft w:val="0"/>
                      <w:marRight w:val="0"/>
                      <w:marTop w:val="120"/>
                      <w:marBottom w:val="0"/>
                      <w:divBdr>
                        <w:top w:val="none" w:sz="0" w:space="0" w:color="auto"/>
                        <w:left w:val="none" w:sz="0" w:space="0" w:color="auto"/>
                        <w:bottom w:val="none" w:sz="0" w:space="0" w:color="auto"/>
                        <w:right w:val="none" w:sz="0" w:space="0" w:color="auto"/>
                      </w:divBdr>
                    </w:div>
                  </w:divsChild>
                </w:div>
                <w:div w:id="198737157">
                  <w:marLeft w:val="0"/>
                  <w:marRight w:val="0"/>
                  <w:marTop w:val="0"/>
                  <w:marBottom w:val="0"/>
                  <w:divBdr>
                    <w:top w:val="none" w:sz="0" w:space="0" w:color="auto"/>
                    <w:left w:val="none" w:sz="0" w:space="0" w:color="auto"/>
                    <w:bottom w:val="none" w:sz="0" w:space="0" w:color="auto"/>
                    <w:right w:val="none" w:sz="0" w:space="0" w:color="auto"/>
                  </w:divBdr>
                  <w:divsChild>
                    <w:div w:id="1218055936">
                      <w:marLeft w:val="0"/>
                      <w:marRight w:val="0"/>
                      <w:marTop w:val="0"/>
                      <w:marBottom w:val="0"/>
                      <w:divBdr>
                        <w:top w:val="none" w:sz="0" w:space="0" w:color="auto"/>
                        <w:left w:val="none" w:sz="0" w:space="0" w:color="auto"/>
                        <w:bottom w:val="none" w:sz="0" w:space="0" w:color="auto"/>
                        <w:right w:val="none" w:sz="0" w:space="0" w:color="auto"/>
                      </w:divBdr>
                    </w:div>
                    <w:div w:id="13886065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52602892">
          <w:marLeft w:val="0"/>
          <w:marRight w:val="0"/>
          <w:marTop w:val="0"/>
          <w:marBottom w:val="0"/>
          <w:divBdr>
            <w:top w:val="none" w:sz="0" w:space="0" w:color="auto"/>
            <w:left w:val="none" w:sz="0" w:space="0" w:color="auto"/>
            <w:bottom w:val="none" w:sz="0" w:space="0" w:color="auto"/>
            <w:right w:val="none" w:sz="0" w:space="0" w:color="auto"/>
          </w:divBdr>
          <w:divsChild>
            <w:div w:id="21519000">
              <w:marLeft w:val="0"/>
              <w:marRight w:val="0"/>
              <w:marTop w:val="0"/>
              <w:marBottom w:val="0"/>
              <w:divBdr>
                <w:top w:val="none" w:sz="0" w:space="0" w:color="auto"/>
                <w:left w:val="none" w:sz="0" w:space="0" w:color="auto"/>
                <w:bottom w:val="none" w:sz="0" w:space="0" w:color="auto"/>
                <w:right w:val="none" w:sz="0" w:space="0" w:color="auto"/>
              </w:divBdr>
            </w:div>
          </w:divsChild>
        </w:div>
        <w:div w:id="658461428">
          <w:marLeft w:val="0"/>
          <w:marRight w:val="0"/>
          <w:marTop w:val="0"/>
          <w:marBottom w:val="0"/>
          <w:divBdr>
            <w:top w:val="none" w:sz="0" w:space="0" w:color="auto"/>
            <w:left w:val="none" w:sz="0" w:space="0" w:color="auto"/>
            <w:bottom w:val="none" w:sz="0" w:space="0" w:color="auto"/>
            <w:right w:val="none" w:sz="0" w:space="0" w:color="auto"/>
          </w:divBdr>
          <w:divsChild>
            <w:div w:id="9110806">
              <w:marLeft w:val="0"/>
              <w:marRight w:val="0"/>
              <w:marTop w:val="0"/>
              <w:marBottom w:val="0"/>
              <w:divBdr>
                <w:top w:val="none" w:sz="0" w:space="0" w:color="auto"/>
                <w:left w:val="none" w:sz="0" w:space="0" w:color="auto"/>
                <w:bottom w:val="none" w:sz="0" w:space="0" w:color="auto"/>
                <w:right w:val="none" w:sz="0" w:space="0" w:color="auto"/>
              </w:divBdr>
              <w:divsChild>
                <w:div w:id="91972386">
                  <w:marLeft w:val="0"/>
                  <w:marRight w:val="0"/>
                  <w:marTop w:val="0"/>
                  <w:marBottom w:val="0"/>
                  <w:divBdr>
                    <w:top w:val="none" w:sz="0" w:space="0" w:color="auto"/>
                    <w:left w:val="none" w:sz="0" w:space="0" w:color="auto"/>
                    <w:bottom w:val="none" w:sz="0" w:space="0" w:color="auto"/>
                    <w:right w:val="none" w:sz="0" w:space="0" w:color="auto"/>
                  </w:divBdr>
                  <w:divsChild>
                    <w:div w:id="1110321385">
                      <w:marLeft w:val="0"/>
                      <w:marRight w:val="0"/>
                      <w:marTop w:val="0"/>
                      <w:marBottom w:val="0"/>
                      <w:divBdr>
                        <w:top w:val="none" w:sz="0" w:space="0" w:color="auto"/>
                        <w:left w:val="none" w:sz="0" w:space="0" w:color="auto"/>
                        <w:bottom w:val="none" w:sz="0" w:space="0" w:color="auto"/>
                        <w:right w:val="none" w:sz="0" w:space="0" w:color="auto"/>
                      </w:divBdr>
                      <w:divsChild>
                        <w:div w:id="1074744733">
                          <w:marLeft w:val="0"/>
                          <w:marRight w:val="0"/>
                          <w:marTop w:val="0"/>
                          <w:marBottom w:val="0"/>
                          <w:divBdr>
                            <w:top w:val="none" w:sz="0" w:space="0" w:color="auto"/>
                            <w:left w:val="none" w:sz="0" w:space="0" w:color="auto"/>
                            <w:bottom w:val="none" w:sz="0" w:space="0" w:color="auto"/>
                            <w:right w:val="none" w:sz="0" w:space="0" w:color="auto"/>
                          </w:divBdr>
                          <w:divsChild>
                            <w:div w:id="1291475973">
                              <w:marLeft w:val="0"/>
                              <w:marRight w:val="0"/>
                              <w:marTop w:val="120"/>
                              <w:marBottom w:val="0"/>
                              <w:divBdr>
                                <w:top w:val="none" w:sz="0" w:space="0" w:color="auto"/>
                                <w:left w:val="none" w:sz="0" w:space="0" w:color="auto"/>
                                <w:bottom w:val="none" w:sz="0" w:space="0" w:color="auto"/>
                                <w:right w:val="none" w:sz="0" w:space="0" w:color="auto"/>
                              </w:divBdr>
                            </w:div>
                            <w:div w:id="1444154834">
                              <w:marLeft w:val="0"/>
                              <w:marRight w:val="0"/>
                              <w:marTop w:val="0"/>
                              <w:marBottom w:val="0"/>
                              <w:divBdr>
                                <w:top w:val="none" w:sz="0" w:space="0" w:color="auto"/>
                                <w:left w:val="none" w:sz="0" w:space="0" w:color="auto"/>
                                <w:bottom w:val="none" w:sz="0" w:space="0" w:color="auto"/>
                                <w:right w:val="none" w:sz="0" w:space="0" w:color="auto"/>
                              </w:divBdr>
                            </w:div>
                          </w:divsChild>
                        </w:div>
                        <w:div w:id="1259828197">
                          <w:marLeft w:val="0"/>
                          <w:marRight w:val="0"/>
                          <w:marTop w:val="0"/>
                          <w:marBottom w:val="0"/>
                          <w:divBdr>
                            <w:top w:val="none" w:sz="0" w:space="0" w:color="auto"/>
                            <w:left w:val="none" w:sz="0" w:space="0" w:color="auto"/>
                            <w:bottom w:val="none" w:sz="0" w:space="0" w:color="auto"/>
                            <w:right w:val="none" w:sz="0" w:space="0" w:color="auto"/>
                          </w:divBdr>
                          <w:divsChild>
                            <w:div w:id="737019169">
                              <w:marLeft w:val="0"/>
                              <w:marRight w:val="0"/>
                              <w:marTop w:val="0"/>
                              <w:marBottom w:val="0"/>
                              <w:divBdr>
                                <w:top w:val="none" w:sz="0" w:space="0" w:color="auto"/>
                                <w:left w:val="none" w:sz="0" w:space="0" w:color="auto"/>
                                <w:bottom w:val="none" w:sz="0" w:space="0" w:color="auto"/>
                                <w:right w:val="none" w:sz="0" w:space="0" w:color="auto"/>
                              </w:divBdr>
                            </w:div>
                            <w:div w:id="758403139">
                              <w:marLeft w:val="0"/>
                              <w:marRight w:val="0"/>
                              <w:marTop w:val="120"/>
                              <w:marBottom w:val="0"/>
                              <w:divBdr>
                                <w:top w:val="none" w:sz="0" w:space="0" w:color="auto"/>
                                <w:left w:val="none" w:sz="0" w:space="0" w:color="auto"/>
                                <w:bottom w:val="none" w:sz="0" w:space="0" w:color="auto"/>
                                <w:right w:val="none" w:sz="0" w:space="0" w:color="auto"/>
                              </w:divBdr>
                            </w:div>
                          </w:divsChild>
                        </w:div>
                        <w:div w:id="1684360092">
                          <w:marLeft w:val="0"/>
                          <w:marRight w:val="0"/>
                          <w:marTop w:val="0"/>
                          <w:marBottom w:val="0"/>
                          <w:divBdr>
                            <w:top w:val="none" w:sz="0" w:space="0" w:color="auto"/>
                            <w:left w:val="none" w:sz="0" w:space="0" w:color="auto"/>
                            <w:bottom w:val="none" w:sz="0" w:space="0" w:color="auto"/>
                            <w:right w:val="none" w:sz="0" w:space="0" w:color="auto"/>
                          </w:divBdr>
                          <w:divsChild>
                            <w:div w:id="188103620">
                              <w:marLeft w:val="0"/>
                              <w:marRight w:val="0"/>
                              <w:marTop w:val="0"/>
                              <w:marBottom w:val="0"/>
                              <w:divBdr>
                                <w:top w:val="none" w:sz="0" w:space="0" w:color="auto"/>
                                <w:left w:val="none" w:sz="0" w:space="0" w:color="auto"/>
                                <w:bottom w:val="none" w:sz="0" w:space="0" w:color="auto"/>
                                <w:right w:val="none" w:sz="0" w:space="0" w:color="auto"/>
                              </w:divBdr>
                            </w:div>
                            <w:div w:id="513958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24422">
                      <w:marLeft w:val="0"/>
                      <w:marRight w:val="0"/>
                      <w:marTop w:val="120"/>
                      <w:marBottom w:val="0"/>
                      <w:divBdr>
                        <w:top w:val="none" w:sz="0" w:space="0" w:color="auto"/>
                        <w:left w:val="none" w:sz="0" w:space="0" w:color="auto"/>
                        <w:bottom w:val="none" w:sz="0" w:space="0" w:color="auto"/>
                        <w:right w:val="none" w:sz="0" w:space="0" w:color="auto"/>
                      </w:divBdr>
                    </w:div>
                  </w:divsChild>
                </w:div>
                <w:div w:id="117340946">
                  <w:marLeft w:val="0"/>
                  <w:marRight w:val="0"/>
                  <w:marTop w:val="0"/>
                  <w:marBottom w:val="0"/>
                  <w:divBdr>
                    <w:top w:val="none" w:sz="0" w:space="0" w:color="auto"/>
                    <w:left w:val="none" w:sz="0" w:space="0" w:color="auto"/>
                    <w:bottom w:val="none" w:sz="0" w:space="0" w:color="auto"/>
                    <w:right w:val="none" w:sz="0" w:space="0" w:color="auto"/>
                  </w:divBdr>
                  <w:divsChild>
                    <w:div w:id="827790237">
                      <w:marLeft w:val="0"/>
                      <w:marRight w:val="0"/>
                      <w:marTop w:val="0"/>
                      <w:marBottom w:val="0"/>
                      <w:divBdr>
                        <w:top w:val="none" w:sz="0" w:space="0" w:color="auto"/>
                        <w:left w:val="none" w:sz="0" w:space="0" w:color="auto"/>
                        <w:bottom w:val="none" w:sz="0" w:space="0" w:color="auto"/>
                        <w:right w:val="none" w:sz="0" w:space="0" w:color="auto"/>
                      </w:divBdr>
                    </w:div>
                    <w:div w:id="1115565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59232698">
          <w:marLeft w:val="0"/>
          <w:marRight w:val="0"/>
          <w:marTop w:val="0"/>
          <w:marBottom w:val="0"/>
          <w:divBdr>
            <w:top w:val="none" w:sz="0" w:space="0" w:color="auto"/>
            <w:left w:val="none" w:sz="0" w:space="0" w:color="auto"/>
            <w:bottom w:val="none" w:sz="0" w:space="0" w:color="auto"/>
            <w:right w:val="none" w:sz="0" w:space="0" w:color="auto"/>
          </w:divBdr>
          <w:divsChild>
            <w:div w:id="1766145480">
              <w:marLeft w:val="0"/>
              <w:marRight w:val="0"/>
              <w:marTop w:val="0"/>
              <w:marBottom w:val="0"/>
              <w:divBdr>
                <w:top w:val="none" w:sz="0" w:space="0" w:color="auto"/>
                <w:left w:val="none" w:sz="0" w:space="0" w:color="auto"/>
                <w:bottom w:val="none" w:sz="0" w:space="0" w:color="auto"/>
                <w:right w:val="none" w:sz="0" w:space="0" w:color="auto"/>
              </w:divBdr>
            </w:div>
          </w:divsChild>
        </w:div>
        <w:div w:id="2089957433">
          <w:marLeft w:val="0"/>
          <w:marRight w:val="0"/>
          <w:marTop w:val="0"/>
          <w:marBottom w:val="0"/>
          <w:divBdr>
            <w:top w:val="none" w:sz="0" w:space="0" w:color="auto"/>
            <w:left w:val="none" w:sz="0" w:space="0" w:color="auto"/>
            <w:bottom w:val="none" w:sz="0" w:space="0" w:color="auto"/>
            <w:right w:val="none" w:sz="0" w:space="0" w:color="auto"/>
          </w:divBdr>
          <w:divsChild>
            <w:div w:id="157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7096">
      <w:bodyDiv w:val="1"/>
      <w:marLeft w:val="0"/>
      <w:marRight w:val="0"/>
      <w:marTop w:val="0"/>
      <w:marBottom w:val="0"/>
      <w:divBdr>
        <w:top w:val="none" w:sz="0" w:space="0" w:color="auto"/>
        <w:left w:val="none" w:sz="0" w:space="0" w:color="auto"/>
        <w:bottom w:val="none" w:sz="0" w:space="0" w:color="auto"/>
        <w:right w:val="none" w:sz="0" w:space="0" w:color="auto"/>
      </w:divBdr>
      <w:divsChild>
        <w:div w:id="969238671">
          <w:marLeft w:val="0"/>
          <w:marRight w:val="0"/>
          <w:marTop w:val="0"/>
          <w:marBottom w:val="0"/>
          <w:divBdr>
            <w:top w:val="none" w:sz="0" w:space="0" w:color="auto"/>
            <w:left w:val="none" w:sz="0" w:space="0" w:color="auto"/>
            <w:bottom w:val="none" w:sz="0" w:space="0" w:color="auto"/>
            <w:right w:val="none" w:sz="0" w:space="0" w:color="auto"/>
          </w:divBdr>
          <w:divsChild>
            <w:div w:id="174465581">
              <w:marLeft w:val="0"/>
              <w:marRight w:val="0"/>
              <w:marTop w:val="0"/>
              <w:marBottom w:val="0"/>
              <w:divBdr>
                <w:top w:val="none" w:sz="0" w:space="0" w:color="auto"/>
                <w:left w:val="none" w:sz="0" w:space="0" w:color="auto"/>
                <w:bottom w:val="none" w:sz="0" w:space="0" w:color="auto"/>
                <w:right w:val="none" w:sz="0" w:space="0" w:color="auto"/>
              </w:divBdr>
            </w:div>
          </w:divsChild>
        </w:div>
        <w:div w:id="1503617772">
          <w:marLeft w:val="0"/>
          <w:marRight w:val="0"/>
          <w:marTop w:val="0"/>
          <w:marBottom w:val="0"/>
          <w:divBdr>
            <w:top w:val="none" w:sz="0" w:space="0" w:color="auto"/>
            <w:left w:val="none" w:sz="0" w:space="0" w:color="auto"/>
            <w:bottom w:val="none" w:sz="0" w:space="0" w:color="auto"/>
            <w:right w:val="none" w:sz="0" w:space="0" w:color="auto"/>
          </w:divBdr>
        </w:div>
      </w:divsChild>
    </w:div>
    <w:div w:id="530453796">
      <w:bodyDiv w:val="1"/>
      <w:marLeft w:val="0"/>
      <w:marRight w:val="0"/>
      <w:marTop w:val="0"/>
      <w:marBottom w:val="0"/>
      <w:divBdr>
        <w:top w:val="none" w:sz="0" w:space="0" w:color="auto"/>
        <w:left w:val="none" w:sz="0" w:space="0" w:color="auto"/>
        <w:bottom w:val="none" w:sz="0" w:space="0" w:color="auto"/>
        <w:right w:val="none" w:sz="0" w:space="0" w:color="auto"/>
      </w:divBdr>
      <w:divsChild>
        <w:div w:id="1888486746">
          <w:marLeft w:val="0"/>
          <w:marRight w:val="0"/>
          <w:marTop w:val="0"/>
          <w:marBottom w:val="0"/>
          <w:divBdr>
            <w:top w:val="none" w:sz="0" w:space="0" w:color="auto"/>
            <w:left w:val="none" w:sz="0" w:space="0" w:color="auto"/>
            <w:bottom w:val="none" w:sz="0" w:space="0" w:color="auto"/>
            <w:right w:val="none" w:sz="0" w:space="0" w:color="auto"/>
          </w:divBdr>
          <w:divsChild>
            <w:div w:id="2122727918">
              <w:marLeft w:val="0"/>
              <w:marRight w:val="0"/>
              <w:marTop w:val="0"/>
              <w:marBottom w:val="0"/>
              <w:divBdr>
                <w:top w:val="none" w:sz="0" w:space="0" w:color="auto"/>
                <w:left w:val="none" w:sz="0" w:space="0" w:color="auto"/>
                <w:bottom w:val="none" w:sz="0" w:space="0" w:color="auto"/>
                <w:right w:val="none" w:sz="0" w:space="0" w:color="auto"/>
              </w:divBdr>
              <w:divsChild>
                <w:div w:id="161747891">
                  <w:marLeft w:val="0"/>
                  <w:marRight w:val="0"/>
                  <w:marTop w:val="0"/>
                  <w:marBottom w:val="0"/>
                  <w:divBdr>
                    <w:top w:val="none" w:sz="0" w:space="0" w:color="auto"/>
                    <w:left w:val="none" w:sz="0" w:space="0" w:color="auto"/>
                    <w:bottom w:val="none" w:sz="0" w:space="0" w:color="auto"/>
                    <w:right w:val="none" w:sz="0" w:space="0" w:color="auto"/>
                  </w:divBdr>
                  <w:divsChild>
                    <w:div w:id="958805044">
                      <w:marLeft w:val="0"/>
                      <w:marRight w:val="0"/>
                      <w:marTop w:val="120"/>
                      <w:marBottom w:val="0"/>
                      <w:divBdr>
                        <w:top w:val="none" w:sz="0" w:space="0" w:color="auto"/>
                        <w:left w:val="none" w:sz="0" w:space="0" w:color="auto"/>
                        <w:bottom w:val="none" w:sz="0" w:space="0" w:color="auto"/>
                        <w:right w:val="none" w:sz="0" w:space="0" w:color="auto"/>
                      </w:divBdr>
                    </w:div>
                    <w:div w:id="1338994646">
                      <w:marLeft w:val="0"/>
                      <w:marRight w:val="0"/>
                      <w:marTop w:val="0"/>
                      <w:marBottom w:val="0"/>
                      <w:divBdr>
                        <w:top w:val="none" w:sz="0" w:space="0" w:color="auto"/>
                        <w:left w:val="none" w:sz="0" w:space="0" w:color="auto"/>
                        <w:bottom w:val="none" w:sz="0" w:space="0" w:color="auto"/>
                        <w:right w:val="none" w:sz="0" w:space="0" w:color="auto"/>
                      </w:divBdr>
                    </w:div>
                  </w:divsChild>
                </w:div>
                <w:div w:id="192424967">
                  <w:marLeft w:val="0"/>
                  <w:marRight w:val="0"/>
                  <w:marTop w:val="0"/>
                  <w:marBottom w:val="0"/>
                  <w:divBdr>
                    <w:top w:val="none" w:sz="0" w:space="0" w:color="auto"/>
                    <w:left w:val="none" w:sz="0" w:space="0" w:color="auto"/>
                    <w:bottom w:val="none" w:sz="0" w:space="0" w:color="auto"/>
                    <w:right w:val="none" w:sz="0" w:space="0" w:color="auto"/>
                  </w:divBdr>
                  <w:divsChild>
                    <w:div w:id="1466850214">
                      <w:marLeft w:val="0"/>
                      <w:marRight w:val="0"/>
                      <w:marTop w:val="120"/>
                      <w:marBottom w:val="0"/>
                      <w:divBdr>
                        <w:top w:val="none" w:sz="0" w:space="0" w:color="auto"/>
                        <w:left w:val="none" w:sz="0" w:space="0" w:color="auto"/>
                        <w:bottom w:val="none" w:sz="0" w:space="0" w:color="auto"/>
                        <w:right w:val="none" w:sz="0" w:space="0" w:color="auto"/>
                      </w:divBdr>
                    </w:div>
                    <w:div w:id="376703964">
                      <w:marLeft w:val="0"/>
                      <w:marRight w:val="0"/>
                      <w:marTop w:val="0"/>
                      <w:marBottom w:val="0"/>
                      <w:divBdr>
                        <w:top w:val="none" w:sz="0" w:space="0" w:color="auto"/>
                        <w:left w:val="none" w:sz="0" w:space="0" w:color="auto"/>
                        <w:bottom w:val="none" w:sz="0" w:space="0" w:color="auto"/>
                        <w:right w:val="none" w:sz="0" w:space="0" w:color="auto"/>
                      </w:divBdr>
                    </w:div>
                  </w:divsChild>
                </w:div>
                <w:div w:id="375158415">
                  <w:marLeft w:val="0"/>
                  <w:marRight w:val="0"/>
                  <w:marTop w:val="0"/>
                  <w:marBottom w:val="0"/>
                  <w:divBdr>
                    <w:top w:val="none" w:sz="0" w:space="0" w:color="auto"/>
                    <w:left w:val="none" w:sz="0" w:space="0" w:color="auto"/>
                    <w:bottom w:val="none" w:sz="0" w:space="0" w:color="auto"/>
                    <w:right w:val="none" w:sz="0" w:space="0" w:color="auto"/>
                  </w:divBdr>
                  <w:divsChild>
                    <w:div w:id="283777237">
                      <w:marLeft w:val="0"/>
                      <w:marRight w:val="0"/>
                      <w:marTop w:val="120"/>
                      <w:marBottom w:val="0"/>
                      <w:divBdr>
                        <w:top w:val="none" w:sz="0" w:space="0" w:color="auto"/>
                        <w:left w:val="none" w:sz="0" w:space="0" w:color="auto"/>
                        <w:bottom w:val="none" w:sz="0" w:space="0" w:color="auto"/>
                        <w:right w:val="none" w:sz="0" w:space="0" w:color="auto"/>
                      </w:divBdr>
                    </w:div>
                    <w:div w:id="9848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1907">
          <w:marLeft w:val="0"/>
          <w:marRight w:val="0"/>
          <w:marTop w:val="0"/>
          <w:marBottom w:val="0"/>
          <w:divBdr>
            <w:top w:val="none" w:sz="0" w:space="0" w:color="auto"/>
            <w:left w:val="none" w:sz="0" w:space="0" w:color="auto"/>
            <w:bottom w:val="none" w:sz="0" w:space="0" w:color="auto"/>
            <w:right w:val="none" w:sz="0" w:space="0" w:color="auto"/>
          </w:divBdr>
          <w:divsChild>
            <w:div w:id="1756396056">
              <w:marLeft w:val="0"/>
              <w:marRight w:val="0"/>
              <w:marTop w:val="120"/>
              <w:marBottom w:val="0"/>
              <w:divBdr>
                <w:top w:val="none" w:sz="0" w:space="0" w:color="auto"/>
                <w:left w:val="none" w:sz="0" w:space="0" w:color="auto"/>
                <w:bottom w:val="none" w:sz="0" w:space="0" w:color="auto"/>
                <w:right w:val="none" w:sz="0" w:space="0" w:color="auto"/>
              </w:divBdr>
            </w:div>
            <w:div w:id="111945174">
              <w:marLeft w:val="0"/>
              <w:marRight w:val="0"/>
              <w:marTop w:val="0"/>
              <w:marBottom w:val="0"/>
              <w:divBdr>
                <w:top w:val="none" w:sz="0" w:space="0" w:color="auto"/>
                <w:left w:val="none" w:sz="0" w:space="0" w:color="auto"/>
                <w:bottom w:val="none" w:sz="0" w:space="0" w:color="auto"/>
                <w:right w:val="none" w:sz="0" w:space="0" w:color="auto"/>
              </w:divBdr>
            </w:div>
          </w:divsChild>
        </w:div>
        <w:div w:id="781338096">
          <w:marLeft w:val="0"/>
          <w:marRight w:val="0"/>
          <w:marTop w:val="0"/>
          <w:marBottom w:val="0"/>
          <w:divBdr>
            <w:top w:val="none" w:sz="0" w:space="0" w:color="auto"/>
            <w:left w:val="none" w:sz="0" w:space="0" w:color="auto"/>
            <w:bottom w:val="none" w:sz="0" w:space="0" w:color="auto"/>
            <w:right w:val="none" w:sz="0" w:space="0" w:color="auto"/>
          </w:divBdr>
          <w:divsChild>
            <w:div w:id="544369035">
              <w:marLeft w:val="0"/>
              <w:marRight w:val="0"/>
              <w:marTop w:val="120"/>
              <w:marBottom w:val="0"/>
              <w:divBdr>
                <w:top w:val="none" w:sz="0" w:space="0" w:color="auto"/>
                <w:left w:val="none" w:sz="0" w:space="0" w:color="auto"/>
                <w:bottom w:val="none" w:sz="0" w:space="0" w:color="auto"/>
                <w:right w:val="none" w:sz="0" w:space="0" w:color="auto"/>
              </w:divBdr>
            </w:div>
            <w:div w:id="728722784">
              <w:marLeft w:val="0"/>
              <w:marRight w:val="0"/>
              <w:marTop w:val="0"/>
              <w:marBottom w:val="0"/>
              <w:divBdr>
                <w:top w:val="none" w:sz="0" w:space="0" w:color="auto"/>
                <w:left w:val="none" w:sz="0" w:space="0" w:color="auto"/>
                <w:bottom w:val="none" w:sz="0" w:space="0" w:color="auto"/>
                <w:right w:val="none" w:sz="0" w:space="0" w:color="auto"/>
              </w:divBdr>
            </w:div>
          </w:divsChild>
        </w:div>
        <w:div w:id="871918177">
          <w:marLeft w:val="0"/>
          <w:marRight w:val="0"/>
          <w:marTop w:val="0"/>
          <w:marBottom w:val="0"/>
          <w:divBdr>
            <w:top w:val="none" w:sz="0" w:space="0" w:color="auto"/>
            <w:left w:val="none" w:sz="0" w:space="0" w:color="auto"/>
            <w:bottom w:val="none" w:sz="0" w:space="0" w:color="auto"/>
            <w:right w:val="none" w:sz="0" w:space="0" w:color="auto"/>
          </w:divBdr>
          <w:divsChild>
            <w:div w:id="845904370">
              <w:marLeft w:val="0"/>
              <w:marRight w:val="0"/>
              <w:marTop w:val="120"/>
              <w:marBottom w:val="0"/>
              <w:divBdr>
                <w:top w:val="none" w:sz="0" w:space="0" w:color="auto"/>
                <w:left w:val="none" w:sz="0" w:space="0" w:color="auto"/>
                <w:bottom w:val="none" w:sz="0" w:space="0" w:color="auto"/>
                <w:right w:val="none" w:sz="0" w:space="0" w:color="auto"/>
              </w:divBdr>
            </w:div>
            <w:div w:id="1434013936">
              <w:marLeft w:val="0"/>
              <w:marRight w:val="0"/>
              <w:marTop w:val="0"/>
              <w:marBottom w:val="0"/>
              <w:divBdr>
                <w:top w:val="none" w:sz="0" w:space="0" w:color="auto"/>
                <w:left w:val="none" w:sz="0" w:space="0" w:color="auto"/>
                <w:bottom w:val="none" w:sz="0" w:space="0" w:color="auto"/>
                <w:right w:val="none" w:sz="0" w:space="0" w:color="auto"/>
              </w:divBdr>
            </w:div>
          </w:divsChild>
        </w:div>
        <w:div w:id="310601686">
          <w:marLeft w:val="0"/>
          <w:marRight w:val="0"/>
          <w:marTop w:val="0"/>
          <w:marBottom w:val="0"/>
          <w:divBdr>
            <w:top w:val="none" w:sz="0" w:space="0" w:color="auto"/>
            <w:left w:val="none" w:sz="0" w:space="0" w:color="auto"/>
            <w:bottom w:val="none" w:sz="0" w:space="0" w:color="auto"/>
            <w:right w:val="none" w:sz="0" w:space="0" w:color="auto"/>
          </w:divBdr>
          <w:divsChild>
            <w:div w:id="697002039">
              <w:marLeft w:val="0"/>
              <w:marRight w:val="0"/>
              <w:marTop w:val="120"/>
              <w:marBottom w:val="0"/>
              <w:divBdr>
                <w:top w:val="none" w:sz="0" w:space="0" w:color="auto"/>
                <w:left w:val="none" w:sz="0" w:space="0" w:color="auto"/>
                <w:bottom w:val="none" w:sz="0" w:space="0" w:color="auto"/>
                <w:right w:val="none" w:sz="0" w:space="0" w:color="auto"/>
              </w:divBdr>
            </w:div>
            <w:div w:id="456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2849">
      <w:bodyDiv w:val="1"/>
      <w:marLeft w:val="0"/>
      <w:marRight w:val="0"/>
      <w:marTop w:val="0"/>
      <w:marBottom w:val="0"/>
      <w:divBdr>
        <w:top w:val="none" w:sz="0" w:space="0" w:color="auto"/>
        <w:left w:val="none" w:sz="0" w:space="0" w:color="auto"/>
        <w:bottom w:val="none" w:sz="0" w:space="0" w:color="auto"/>
        <w:right w:val="none" w:sz="0" w:space="0" w:color="auto"/>
      </w:divBdr>
      <w:divsChild>
        <w:div w:id="1604191513">
          <w:marLeft w:val="0"/>
          <w:marRight w:val="0"/>
          <w:marTop w:val="0"/>
          <w:marBottom w:val="0"/>
          <w:divBdr>
            <w:top w:val="none" w:sz="0" w:space="0" w:color="auto"/>
            <w:left w:val="none" w:sz="0" w:space="0" w:color="auto"/>
            <w:bottom w:val="none" w:sz="0" w:space="0" w:color="auto"/>
            <w:right w:val="none" w:sz="0" w:space="0" w:color="auto"/>
          </w:divBdr>
          <w:divsChild>
            <w:div w:id="4554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70382">
      <w:bodyDiv w:val="1"/>
      <w:marLeft w:val="0"/>
      <w:marRight w:val="0"/>
      <w:marTop w:val="0"/>
      <w:marBottom w:val="0"/>
      <w:divBdr>
        <w:top w:val="none" w:sz="0" w:space="0" w:color="auto"/>
        <w:left w:val="none" w:sz="0" w:space="0" w:color="auto"/>
        <w:bottom w:val="none" w:sz="0" w:space="0" w:color="auto"/>
        <w:right w:val="none" w:sz="0" w:space="0" w:color="auto"/>
      </w:divBdr>
      <w:divsChild>
        <w:div w:id="955454469">
          <w:marLeft w:val="0"/>
          <w:marRight w:val="0"/>
          <w:marTop w:val="0"/>
          <w:marBottom w:val="0"/>
          <w:divBdr>
            <w:top w:val="none" w:sz="0" w:space="0" w:color="auto"/>
            <w:left w:val="none" w:sz="0" w:space="0" w:color="auto"/>
            <w:bottom w:val="none" w:sz="0" w:space="0" w:color="auto"/>
            <w:right w:val="none" w:sz="0" w:space="0" w:color="auto"/>
          </w:divBdr>
          <w:divsChild>
            <w:div w:id="241180878">
              <w:marLeft w:val="0"/>
              <w:marRight w:val="0"/>
              <w:marTop w:val="120"/>
              <w:marBottom w:val="0"/>
              <w:divBdr>
                <w:top w:val="none" w:sz="0" w:space="0" w:color="auto"/>
                <w:left w:val="none" w:sz="0" w:space="0" w:color="auto"/>
                <w:bottom w:val="none" w:sz="0" w:space="0" w:color="auto"/>
                <w:right w:val="none" w:sz="0" w:space="0" w:color="auto"/>
              </w:divBdr>
            </w:div>
            <w:div w:id="2672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242">
      <w:bodyDiv w:val="1"/>
      <w:marLeft w:val="0"/>
      <w:marRight w:val="0"/>
      <w:marTop w:val="0"/>
      <w:marBottom w:val="0"/>
      <w:divBdr>
        <w:top w:val="none" w:sz="0" w:space="0" w:color="auto"/>
        <w:left w:val="none" w:sz="0" w:space="0" w:color="auto"/>
        <w:bottom w:val="none" w:sz="0" w:space="0" w:color="auto"/>
        <w:right w:val="none" w:sz="0" w:space="0" w:color="auto"/>
      </w:divBdr>
      <w:divsChild>
        <w:div w:id="95904204">
          <w:marLeft w:val="0"/>
          <w:marRight w:val="0"/>
          <w:marTop w:val="0"/>
          <w:marBottom w:val="0"/>
          <w:divBdr>
            <w:top w:val="none" w:sz="0" w:space="0" w:color="auto"/>
            <w:left w:val="none" w:sz="0" w:space="0" w:color="auto"/>
            <w:bottom w:val="none" w:sz="0" w:space="0" w:color="auto"/>
            <w:right w:val="none" w:sz="0" w:space="0" w:color="auto"/>
          </w:divBdr>
          <w:divsChild>
            <w:div w:id="325744405">
              <w:marLeft w:val="0"/>
              <w:marRight w:val="0"/>
              <w:marTop w:val="0"/>
              <w:marBottom w:val="0"/>
              <w:divBdr>
                <w:top w:val="none" w:sz="0" w:space="0" w:color="auto"/>
                <w:left w:val="none" w:sz="0" w:space="0" w:color="auto"/>
                <w:bottom w:val="none" w:sz="0" w:space="0" w:color="auto"/>
                <w:right w:val="none" w:sz="0" w:space="0" w:color="auto"/>
              </w:divBdr>
              <w:divsChild>
                <w:div w:id="290091231">
                  <w:marLeft w:val="0"/>
                  <w:marRight w:val="0"/>
                  <w:marTop w:val="0"/>
                  <w:marBottom w:val="0"/>
                  <w:divBdr>
                    <w:top w:val="none" w:sz="0" w:space="0" w:color="auto"/>
                    <w:left w:val="none" w:sz="0" w:space="0" w:color="auto"/>
                    <w:bottom w:val="none" w:sz="0" w:space="0" w:color="auto"/>
                    <w:right w:val="none" w:sz="0" w:space="0" w:color="auto"/>
                  </w:divBdr>
                  <w:divsChild>
                    <w:div w:id="149637480">
                      <w:marLeft w:val="0"/>
                      <w:marRight w:val="0"/>
                      <w:marTop w:val="120"/>
                      <w:marBottom w:val="0"/>
                      <w:divBdr>
                        <w:top w:val="none" w:sz="0" w:space="0" w:color="auto"/>
                        <w:left w:val="none" w:sz="0" w:space="0" w:color="auto"/>
                        <w:bottom w:val="none" w:sz="0" w:space="0" w:color="auto"/>
                        <w:right w:val="none" w:sz="0" w:space="0" w:color="auto"/>
                      </w:divBdr>
                    </w:div>
                    <w:div w:id="1121413461">
                      <w:marLeft w:val="0"/>
                      <w:marRight w:val="0"/>
                      <w:marTop w:val="0"/>
                      <w:marBottom w:val="0"/>
                      <w:divBdr>
                        <w:top w:val="none" w:sz="0" w:space="0" w:color="auto"/>
                        <w:left w:val="none" w:sz="0" w:space="0" w:color="auto"/>
                        <w:bottom w:val="none" w:sz="0" w:space="0" w:color="auto"/>
                        <w:right w:val="none" w:sz="0" w:space="0" w:color="auto"/>
                      </w:divBdr>
                    </w:div>
                  </w:divsChild>
                </w:div>
                <w:div w:id="1000541666">
                  <w:marLeft w:val="0"/>
                  <w:marRight w:val="0"/>
                  <w:marTop w:val="0"/>
                  <w:marBottom w:val="0"/>
                  <w:divBdr>
                    <w:top w:val="none" w:sz="0" w:space="0" w:color="auto"/>
                    <w:left w:val="none" w:sz="0" w:space="0" w:color="auto"/>
                    <w:bottom w:val="none" w:sz="0" w:space="0" w:color="auto"/>
                    <w:right w:val="none" w:sz="0" w:space="0" w:color="auto"/>
                  </w:divBdr>
                  <w:divsChild>
                    <w:div w:id="1117942977">
                      <w:marLeft w:val="0"/>
                      <w:marRight w:val="0"/>
                      <w:marTop w:val="0"/>
                      <w:marBottom w:val="0"/>
                      <w:divBdr>
                        <w:top w:val="none" w:sz="0" w:space="0" w:color="auto"/>
                        <w:left w:val="none" w:sz="0" w:space="0" w:color="auto"/>
                        <w:bottom w:val="none" w:sz="0" w:space="0" w:color="auto"/>
                        <w:right w:val="none" w:sz="0" w:space="0" w:color="auto"/>
                      </w:divBdr>
                    </w:div>
                    <w:div w:id="11761168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06596979">
          <w:marLeft w:val="0"/>
          <w:marRight w:val="0"/>
          <w:marTop w:val="0"/>
          <w:marBottom w:val="0"/>
          <w:divBdr>
            <w:top w:val="none" w:sz="0" w:space="0" w:color="auto"/>
            <w:left w:val="none" w:sz="0" w:space="0" w:color="auto"/>
            <w:bottom w:val="none" w:sz="0" w:space="0" w:color="auto"/>
            <w:right w:val="none" w:sz="0" w:space="0" w:color="auto"/>
          </w:divBdr>
          <w:divsChild>
            <w:div w:id="2095736423">
              <w:marLeft w:val="0"/>
              <w:marRight w:val="0"/>
              <w:marTop w:val="0"/>
              <w:marBottom w:val="0"/>
              <w:divBdr>
                <w:top w:val="none" w:sz="0" w:space="0" w:color="auto"/>
                <w:left w:val="none" w:sz="0" w:space="0" w:color="auto"/>
                <w:bottom w:val="none" w:sz="0" w:space="0" w:color="auto"/>
                <w:right w:val="none" w:sz="0" w:space="0" w:color="auto"/>
              </w:divBdr>
            </w:div>
          </w:divsChild>
        </w:div>
        <w:div w:id="1503819401">
          <w:marLeft w:val="0"/>
          <w:marRight w:val="0"/>
          <w:marTop w:val="0"/>
          <w:marBottom w:val="0"/>
          <w:divBdr>
            <w:top w:val="none" w:sz="0" w:space="0" w:color="auto"/>
            <w:left w:val="none" w:sz="0" w:space="0" w:color="auto"/>
            <w:bottom w:val="none" w:sz="0" w:space="0" w:color="auto"/>
            <w:right w:val="none" w:sz="0" w:space="0" w:color="auto"/>
          </w:divBdr>
          <w:divsChild>
            <w:div w:id="14193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8609">
      <w:bodyDiv w:val="1"/>
      <w:marLeft w:val="0"/>
      <w:marRight w:val="0"/>
      <w:marTop w:val="0"/>
      <w:marBottom w:val="0"/>
      <w:divBdr>
        <w:top w:val="none" w:sz="0" w:space="0" w:color="auto"/>
        <w:left w:val="none" w:sz="0" w:space="0" w:color="auto"/>
        <w:bottom w:val="none" w:sz="0" w:space="0" w:color="auto"/>
        <w:right w:val="none" w:sz="0" w:space="0" w:color="auto"/>
      </w:divBdr>
      <w:divsChild>
        <w:div w:id="896207557">
          <w:marLeft w:val="0"/>
          <w:marRight w:val="0"/>
          <w:marTop w:val="0"/>
          <w:marBottom w:val="0"/>
          <w:divBdr>
            <w:top w:val="none" w:sz="0" w:space="0" w:color="auto"/>
            <w:left w:val="none" w:sz="0" w:space="0" w:color="auto"/>
            <w:bottom w:val="none" w:sz="0" w:space="0" w:color="auto"/>
            <w:right w:val="none" w:sz="0" w:space="0" w:color="auto"/>
          </w:divBdr>
        </w:div>
      </w:divsChild>
    </w:div>
    <w:div w:id="564417054">
      <w:bodyDiv w:val="1"/>
      <w:marLeft w:val="0"/>
      <w:marRight w:val="0"/>
      <w:marTop w:val="0"/>
      <w:marBottom w:val="0"/>
      <w:divBdr>
        <w:top w:val="none" w:sz="0" w:space="0" w:color="auto"/>
        <w:left w:val="none" w:sz="0" w:space="0" w:color="auto"/>
        <w:bottom w:val="none" w:sz="0" w:space="0" w:color="auto"/>
        <w:right w:val="none" w:sz="0" w:space="0" w:color="auto"/>
      </w:divBdr>
      <w:divsChild>
        <w:div w:id="893351281">
          <w:marLeft w:val="0"/>
          <w:marRight w:val="0"/>
          <w:marTop w:val="0"/>
          <w:marBottom w:val="0"/>
          <w:divBdr>
            <w:top w:val="none" w:sz="0" w:space="0" w:color="auto"/>
            <w:left w:val="none" w:sz="0" w:space="0" w:color="auto"/>
            <w:bottom w:val="none" w:sz="0" w:space="0" w:color="auto"/>
            <w:right w:val="none" w:sz="0" w:space="0" w:color="auto"/>
          </w:divBdr>
          <w:divsChild>
            <w:div w:id="10405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60146">
      <w:bodyDiv w:val="1"/>
      <w:marLeft w:val="0"/>
      <w:marRight w:val="0"/>
      <w:marTop w:val="0"/>
      <w:marBottom w:val="0"/>
      <w:divBdr>
        <w:top w:val="none" w:sz="0" w:space="0" w:color="auto"/>
        <w:left w:val="none" w:sz="0" w:space="0" w:color="auto"/>
        <w:bottom w:val="none" w:sz="0" w:space="0" w:color="auto"/>
        <w:right w:val="none" w:sz="0" w:space="0" w:color="auto"/>
      </w:divBdr>
    </w:div>
    <w:div w:id="604268907">
      <w:bodyDiv w:val="1"/>
      <w:marLeft w:val="0"/>
      <w:marRight w:val="0"/>
      <w:marTop w:val="0"/>
      <w:marBottom w:val="0"/>
      <w:divBdr>
        <w:top w:val="none" w:sz="0" w:space="0" w:color="auto"/>
        <w:left w:val="none" w:sz="0" w:space="0" w:color="auto"/>
        <w:bottom w:val="none" w:sz="0" w:space="0" w:color="auto"/>
        <w:right w:val="none" w:sz="0" w:space="0" w:color="auto"/>
      </w:divBdr>
      <w:divsChild>
        <w:div w:id="873156075">
          <w:marLeft w:val="0"/>
          <w:marRight w:val="0"/>
          <w:marTop w:val="0"/>
          <w:marBottom w:val="0"/>
          <w:divBdr>
            <w:top w:val="none" w:sz="0" w:space="0" w:color="auto"/>
            <w:left w:val="none" w:sz="0" w:space="0" w:color="auto"/>
            <w:bottom w:val="none" w:sz="0" w:space="0" w:color="auto"/>
            <w:right w:val="none" w:sz="0" w:space="0" w:color="auto"/>
          </w:divBdr>
          <w:divsChild>
            <w:div w:id="1158839086">
              <w:marLeft w:val="0"/>
              <w:marRight w:val="0"/>
              <w:marTop w:val="0"/>
              <w:marBottom w:val="0"/>
              <w:divBdr>
                <w:top w:val="none" w:sz="0" w:space="0" w:color="auto"/>
                <w:left w:val="none" w:sz="0" w:space="0" w:color="auto"/>
                <w:bottom w:val="none" w:sz="0" w:space="0" w:color="auto"/>
                <w:right w:val="none" w:sz="0" w:space="0" w:color="auto"/>
              </w:divBdr>
              <w:divsChild>
                <w:div w:id="587075786">
                  <w:marLeft w:val="0"/>
                  <w:marRight w:val="0"/>
                  <w:marTop w:val="0"/>
                  <w:marBottom w:val="0"/>
                  <w:divBdr>
                    <w:top w:val="none" w:sz="0" w:space="0" w:color="auto"/>
                    <w:left w:val="none" w:sz="0" w:space="0" w:color="auto"/>
                    <w:bottom w:val="none" w:sz="0" w:space="0" w:color="auto"/>
                    <w:right w:val="none" w:sz="0" w:space="0" w:color="auto"/>
                  </w:divBdr>
                  <w:divsChild>
                    <w:div w:id="244924966">
                      <w:marLeft w:val="0"/>
                      <w:marRight w:val="0"/>
                      <w:marTop w:val="120"/>
                      <w:marBottom w:val="0"/>
                      <w:divBdr>
                        <w:top w:val="none" w:sz="0" w:space="0" w:color="auto"/>
                        <w:left w:val="none" w:sz="0" w:space="0" w:color="auto"/>
                        <w:bottom w:val="none" w:sz="0" w:space="0" w:color="auto"/>
                        <w:right w:val="none" w:sz="0" w:space="0" w:color="auto"/>
                      </w:divBdr>
                    </w:div>
                    <w:div w:id="1120954550">
                      <w:marLeft w:val="0"/>
                      <w:marRight w:val="0"/>
                      <w:marTop w:val="0"/>
                      <w:marBottom w:val="0"/>
                      <w:divBdr>
                        <w:top w:val="none" w:sz="0" w:space="0" w:color="auto"/>
                        <w:left w:val="none" w:sz="0" w:space="0" w:color="auto"/>
                        <w:bottom w:val="none" w:sz="0" w:space="0" w:color="auto"/>
                        <w:right w:val="none" w:sz="0" w:space="0" w:color="auto"/>
                      </w:divBdr>
                    </w:div>
                  </w:divsChild>
                </w:div>
                <w:div w:id="743913334">
                  <w:marLeft w:val="0"/>
                  <w:marRight w:val="0"/>
                  <w:marTop w:val="0"/>
                  <w:marBottom w:val="0"/>
                  <w:divBdr>
                    <w:top w:val="none" w:sz="0" w:space="0" w:color="auto"/>
                    <w:left w:val="none" w:sz="0" w:space="0" w:color="auto"/>
                    <w:bottom w:val="none" w:sz="0" w:space="0" w:color="auto"/>
                    <w:right w:val="none" w:sz="0" w:space="0" w:color="auto"/>
                  </w:divBdr>
                  <w:divsChild>
                    <w:div w:id="343244191">
                      <w:marLeft w:val="0"/>
                      <w:marRight w:val="0"/>
                      <w:marTop w:val="120"/>
                      <w:marBottom w:val="0"/>
                      <w:divBdr>
                        <w:top w:val="none" w:sz="0" w:space="0" w:color="auto"/>
                        <w:left w:val="none" w:sz="0" w:space="0" w:color="auto"/>
                        <w:bottom w:val="none" w:sz="0" w:space="0" w:color="auto"/>
                        <w:right w:val="none" w:sz="0" w:space="0" w:color="auto"/>
                      </w:divBdr>
                    </w:div>
                    <w:div w:id="16814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2225">
          <w:marLeft w:val="0"/>
          <w:marRight w:val="0"/>
          <w:marTop w:val="0"/>
          <w:marBottom w:val="0"/>
          <w:divBdr>
            <w:top w:val="none" w:sz="0" w:space="0" w:color="auto"/>
            <w:left w:val="none" w:sz="0" w:space="0" w:color="auto"/>
            <w:bottom w:val="none" w:sz="0" w:space="0" w:color="auto"/>
            <w:right w:val="none" w:sz="0" w:space="0" w:color="auto"/>
          </w:divBdr>
          <w:divsChild>
            <w:div w:id="368576819">
              <w:marLeft w:val="0"/>
              <w:marRight w:val="0"/>
              <w:marTop w:val="0"/>
              <w:marBottom w:val="0"/>
              <w:divBdr>
                <w:top w:val="none" w:sz="0" w:space="0" w:color="auto"/>
                <w:left w:val="none" w:sz="0" w:space="0" w:color="auto"/>
                <w:bottom w:val="none" w:sz="0" w:space="0" w:color="auto"/>
                <w:right w:val="none" w:sz="0" w:space="0" w:color="auto"/>
              </w:divBdr>
              <w:divsChild>
                <w:div w:id="347487640">
                  <w:marLeft w:val="0"/>
                  <w:marRight w:val="0"/>
                  <w:marTop w:val="0"/>
                  <w:marBottom w:val="0"/>
                  <w:divBdr>
                    <w:top w:val="none" w:sz="0" w:space="0" w:color="auto"/>
                    <w:left w:val="none" w:sz="0" w:space="0" w:color="auto"/>
                    <w:bottom w:val="none" w:sz="0" w:space="0" w:color="auto"/>
                    <w:right w:val="none" w:sz="0" w:space="0" w:color="auto"/>
                  </w:divBdr>
                  <w:divsChild>
                    <w:div w:id="435946261">
                      <w:marLeft w:val="0"/>
                      <w:marRight w:val="0"/>
                      <w:marTop w:val="120"/>
                      <w:marBottom w:val="0"/>
                      <w:divBdr>
                        <w:top w:val="none" w:sz="0" w:space="0" w:color="auto"/>
                        <w:left w:val="none" w:sz="0" w:space="0" w:color="auto"/>
                        <w:bottom w:val="none" w:sz="0" w:space="0" w:color="auto"/>
                        <w:right w:val="none" w:sz="0" w:space="0" w:color="auto"/>
                      </w:divBdr>
                    </w:div>
                    <w:div w:id="1244685109">
                      <w:marLeft w:val="0"/>
                      <w:marRight w:val="0"/>
                      <w:marTop w:val="0"/>
                      <w:marBottom w:val="0"/>
                      <w:divBdr>
                        <w:top w:val="none" w:sz="0" w:space="0" w:color="auto"/>
                        <w:left w:val="none" w:sz="0" w:space="0" w:color="auto"/>
                        <w:bottom w:val="none" w:sz="0" w:space="0" w:color="auto"/>
                        <w:right w:val="none" w:sz="0" w:space="0" w:color="auto"/>
                      </w:divBdr>
                    </w:div>
                  </w:divsChild>
                </w:div>
                <w:div w:id="350113471">
                  <w:marLeft w:val="0"/>
                  <w:marRight w:val="0"/>
                  <w:marTop w:val="0"/>
                  <w:marBottom w:val="0"/>
                  <w:divBdr>
                    <w:top w:val="none" w:sz="0" w:space="0" w:color="auto"/>
                    <w:left w:val="none" w:sz="0" w:space="0" w:color="auto"/>
                    <w:bottom w:val="none" w:sz="0" w:space="0" w:color="auto"/>
                    <w:right w:val="none" w:sz="0" w:space="0" w:color="auto"/>
                  </w:divBdr>
                  <w:divsChild>
                    <w:div w:id="913202603">
                      <w:marLeft w:val="0"/>
                      <w:marRight w:val="0"/>
                      <w:marTop w:val="0"/>
                      <w:marBottom w:val="0"/>
                      <w:divBdr>
                        <w:top w:val="none" w:sz="0" w:space="0" w:color="auto"/>
                        <w:left w:val="none" w:sz="0" w:space="0" w:color="auto"/>
                        <w:bottom w:val="none" w:sz="0" w:space="0" w:color="auto"/>
                        <w:right w:val="none" w:sz="0" w:space="0" w:color="auto"/>
                      </w:divBdr>
                      <w:divsChild>
                        <w:div w:id="1425876355">
                          <w:marLeft w:val="0"/>
                          <w:marRight w:val="0"/>
                          <w:marTop w:val="0"/>
                          <w:marBottom w:val="0"/>
                          <w:divBdr>
                            <w:top w:val="none" w:sz="0" w:space="0" w:color="auto"/>
                            <w:left w:val="none" w:sz="0" w:space="0" w:color="auto"/>
                            <w:bottom w:val="none" w:sz="0" w:space="0" w:color="auto"/>
                            <w:right w:val="none" w:sz="0" w:space="0" w:color="auto"/>
                          </w:divBdr>
                          <w:divsChild>
                            <w:div w:id="711878081">
                              <w:marLeft w:val="0"/>
                              <w:marRight w:val="0"/>
                              <w:marTop w:val="0"/>
                              <w:marBottom w:val="0"/>
                              <w:divBdr>
                                <w:top w:val="none" w:sz="0" w:space="0" w:color="auto"/>
                                <w:left w:val="none" w:sz="0" w:space="0" w:color="auto"/>
                                <w:bottom w:val="none" w:sz="0" w:space="0" w:color="auto"/>
                                <w:right w:val="none" w:sz="0" w:space="0" w:color="auto"/>
                              </w:divBdr>
                            </w:div>
                            <w:div w:id="1051467546">
                              <w:marLeft w:val="0"/>
                              <w:marRight w:val="0"/>
                              <w:marTop w:val="120"/>
                              <w:marBottom w:val="0"/>
                              <w:divBdr>
                                <w:top w:val="none" w:sz="0" w:space="0" w:color="auto"/>
                                <w:left w:val="none" w:sz="0" w:space="0" w:color="auto"/>
                                <w:bottom w:val="none" w:sz="0" w:space="0" w:color="auto"/>
                                <w:right w:val="none" w:sz="0" w:space="0" w:color="auto"/>
                              </w:divBdr>
                            </w:div>
                          </w:divsChild>
                        </w:div>
                        <w:div w:id="1659309355">
                          <w:marLeft w:val="0"/>
                          <w:marRight w:val="0"/>
                          <w:marTop w:val="0"/>
                          <w:marBottom w:val="0"/>
                          <w:divBdr>
                            <w:top w:val="none" w:sz="0" w:space="0" w:color="auto"/>
                            <w:left w:val="none" w:sz="0" w:space="0" w:color="auto"/>
                            <w:bottom w:val="none" w:sz="0" w:space="0" w:color="auto"/>
                            <w:right w:val="none" w:sz="0" w:space="0" w:color="auto"/>
                          </w:divBdr>
                          <w:divsChild>
                            <w:div w:id="1398623470">
                              <w:marLeft w:val="0"/>
                              <w:marRight w:val="0"/>
                              <w:marTop w:val="120"/>
                              <w:marBottom w:val="0"/>
                              <w:divBdr>
                                <w:top w:val="none" w:sz="0" w:space="0" w:color="auto"/>
                                <w:left w:val="none" w:sz="0" w:space="0" w:color="auto"/>
                                <w:bottom w:val="none" w:sz="0" w:space="0" w:color="auto"/>
                                <w:right w:val="none" w:sz="0" w:space="0" w:color="auto"/>
                              </w:divBdr>
                            </w:div>
                            <w:div w:id="1887523368">
                              <w:marLeft w:val="0"/>
                              <w:marRight w:val="0"/>
                              <w:marTop w:val="0"/>
                              <w:marBottom w:val="0"/>
                              <w:divBdr>
                                <w:top w:val="none" w:sz="0" w:space="0" w:color="auto"/>
                                <w:left w:val="none" w:sz="0" w:space="0" w:color="auto"/>
                                <w:bottom w:val="none" w:sz="0" w:space="0" w:color="auto"/>
                                <w:right w:val="none" w:sz="0" w:space="0" w:color="auto"/>
                              </w:divBdr>
                            </w:div>
                          </w:divsChild>
                        </w:div>
                        <w:div w:id="1740636528">
                          <w:marLeft w:val="0"/>
                          <w:marRight w:val="0"/>
                          <w:marTop w:val="0"/>
                          <w:marBottom w:val="0"/>
                          <w:divBdr>
                            <w:top w:val="none" w:sz="0" w:space="0" w:color="auto"/>
                            <w:left w:val="none" w:sz="0" w:space="0" w:color="auto"/>
                            <w:bottom w:val="none" w:sz="0" w:space="0" w:color="auto"/>
                            <w:right w:val="none" w:sz="0" w:space="0" w:color="auto"/>
                          </w:divBdr>
                          <w:divsChild>
                            <w:div w:id="739252731">
                              <w:marLeft w:val="0"/>
                              <w:marRight w:val="0"/>
                              <w:marTop w:val="120"/>
                              <w:marBottom w:val="0"/>
                              <w:divBdr>
                                <w:top w:val="none" w:sz="0" w:space="0" w:color="auto"/>
                                <w:left w:val="none" w:sz="0" w:space="0" w:color="auto"/>
                                <w:bottom w:val="none" w:sz="0" w:space="0" w:color="auto"/>
                                <w:right w:val="none" w:sz="0" w:space="0" w:color="auto"/>
                              </w:divBdr>
                            </w:div>
                            <w:div w:id="13632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8862">
                      <w:marLeft w:val="0"/>
                      <w:marRight w:val="0"/>
                      <w:marTop w:val="120"/>
                      <w:marBottom w:val="0"/>
                      <w:divBdr>
                        <w:top w:val="none" w:sz="0" w:space="0" w:color="auto"/>
                        <w:left w:val="none" w:sz="0" w:space="0" w:color="auto"/>
                        <w:bottom w:val="none" w:sz="0" w:space="0" w:color="auto"/>
                        <w:right w:val="none" w:sz="0" w:space="0" w:color="auto"/>
                      </w:divBdr>
                    </w:div>
                  </w:divsChild>
                </w:div>
                <w:div w:id="608515187">
                  <w:marLeft w:val="0"/>
                  <w:marRight w:val="0"/>
                  <w:marTop w:val="0"/>
                  <w:marBottom w:val="0"/>
                  <w:divBdr>
                    <w:top w:val="none" w:sz="0" w:space="0" w:color="auto"/>
                    <w:left w:val="none" w:sz="0" w:space="0" w:color="auto"/>
                    <w:bottom w:val="none" w:sz="0" w:space="0" w:color="auto"/>
                    <w:right w:val="none" w:sz="0" w:space="0" w:color="auto"/>
                  </w:divBdr>
                  <w:divsChild>
                    <w:div w:id="497158188">
                      <w:marLeft w:val="0"/>
                      <w:marRight w:val="0"/>
                      <w:marTop w:val="120"/>
                      <w:marBottom w:val="0"/>
                      <w:divBdr>
                        <w:top w:val="none" w:sz="0" w:space="0" w:color="auto"/>
                        <w:left w:val="none" w:sz="0" w:space="0" w:color="auto"/>
                        <w:bottom w:val="none" w:sz="0" w:space="0" w:color="auto"/>
                        <w:right w:val="none" w:sz="0" w:space="0" w:color="auto"/>
                      </w:divBdr>
                    </w:div>
                    <w:div w:id="2048872227">
                      <w:marLeft w:val="0"/>
                      <w:marRight w:val="0"/>
                      <w:marTop w:val="0"/>
                      <w:marBottom w:val="0"/>
                      <w:divBdr>
                        <w:top w:val="none" w:sz="0" w:space="0" w:color="auto"/>
                        <w:left w:val="none" w:sz="0" w:space="0" w:color="auto"/>
                        <w:bottom w:val="none" w:sz="0" w:space="0" w:color="auto"/>
                        <w:right w:val="none" w:sz="0" w:space="0" w:color="auto"/>
                      </w:divBdr>
                    </w:div>
                  </w:divsChild>
                </w:div>
                <w:div w:id="765078217">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 w:id="999818295">
                      <w:marLeft w:val="0"/>
                      <w:marRight w:val="0"/>
                      <w:marTop w:val="120"/>
                      <w:marBottom w:val="0"/>
                      <w:divBdr>
                        <w:top w:val="none" w:sz="0" w:space="0" w:color="auto"/>
                        <w:left w:val="none" w:sz="0" w:space="0" w:color="auto"/>
                        <w:bottom w:val="none" w:sz="0" w:space="0" w:color="auto"/>
                        <w:right w:val="none" w:sz="0" w:space="0" w:color="auto"/>
                      </w:divBdr>
                    </w:div>
                  </w:divsChild>
                </w:div>
                <w:div w:id="1063605882">
                  <w:marLeft w:val="0"/>
                  <w:marRight w:val="0"/>
                  <w:marTop w:val="0"/>
                  <w:marBottom w:val="0"/>
                  <w:divBdr>
                    <w:top w:val="none" w:sz="0" w:space="0" w:color="auto"/>
                    <w:left w:val="none" w:sz="0" w:space="0" w:color="auto"/>
                    <w:bottom w:val="none" w:sz="0" w:space="0" w:color="auto"/>
                    <w:right w:val="none" w:sz="0" w:space="0" w:color="auto"/>
                  </w:divBdr>
                  <w:divsChild>
                    <w:div w:id="122624303">
                      <w:marLeft w:val="0"/>
                      <w:marRight w:val="0"/>
                      <w:marTop w:val="0"/>
                      <w:marBottom w:val="0"/>
                      <w:divBdr>
                        <w:top w:val="none" w:sz="0" w:space="0" w:color="auto"/>
                        <w:left w:val="none" w:sz="0" w:space="0" w:color="auto"/>
                        <w:bottom w:val="none" w:sz="0" w:space="0" w:color="auto"/>
                        <w:right w:val="none" w:sz="0" w:space="0" w:color="auto"/>
                      </w:divBdr>
                    </w:div>
                    <w:div w:id="1252354579">
                      <w:marLeft w:val="0"/>
                      <w:marRight w:val="0"/>
                      <w:marTop w:val="120"/>
                      <w:marBottom w:val="0"/>
                      <w:divBdr>
                        <w:top w:val="none" w:sz="0" w:space="0" w:color="auto"/>
                        <w:left w:val="none" w:sz="0" w:space="0" w:color="auto"/>
                        <w:bottom w:val="none" w:sz="0" w:space="0" w:color="auto"/>
                        <w:right w:val="none" w:sz="0" w:space="0" w:color="auto"/>
                      </w:divBdr>
                    </w:div>
                  </w:divsChild>
                </w:div>
                <w:div w:id="1109735458">
                  <w:marLeft w:val="0"/>
                  <w:marRight w:val="0"/>
                  <w:marTop w:val="0"/>
                  <w:marBottom w:val="0"/>
                  <w:divBdr>
                    <w:top w:val="none" w:sz="0" w:space="0" w:color="auto"/>
                    <w:left w:val="none" w:sz="0" w:space="0" w:color="auto"/>
                    <w:bottom w:val="none" w:sz="0" w:space="0" w:color="auto"/>
                    <w:right w:val="none" w:sz="0" w:space="0" w:color="auto"/>
                  </w:divBdr>
                  <w:divsChild>
                    <w:div w:id="138617961">
                      <w:marLeft w:val="0"/>
                      <w:marRight w:val="0"/>
                      <w:marTop w:val="120"/>
                      <w:marBottom w:val="0"/>
                      <w:divBdr>
                        <w:top w:val="none" w:sz="0" w:space="0" w:color="auto"/>
                        <w:left w:val="none" w:sz="0" w:space="0" w:color="auto"/>
                        <w:bottom w:val="none" w:sz="0" w:space="0" w:color="auto"/>
                        <w:right w:val="none" w:sz="0" w:space="0" w:color="auto"/>
                      </w:divBdr>
                    </w:div>
                    <w:div w:id="1554386133">
                      <w:marLeft w:val="0"/>
                      <w:marRight w:val="0"/>
                      <w:marTop w:val="0"/>
                      <w:marBottom w:val="0"/>
                      <w:divBdr>
                        <w:top w:val="none" w:sz="0" w:space="0" w:color="auto"/>
                        <w:left w:val="none" w:sz="0" w:space="0" w:color="auto"/>
                        <w:bottom w:val="none" w:sz="0" w:space="0" w:color="auto"/>
                        <w:right w:val="none" w:sz="0" w:space="0" w:color="auto"/>
                      </w:divBdr>
                    </w:div>
                  </w:divsChild>
                </w:div>
                <w:div w:id="1111819200">
                  <w:marLeft w:val="0"/>
                  <w:marRight w:val="0"/>
                  <w:marTop w:val="0"/>
                  <w:marBottom w:val="0"/>
                  <w:divBdr>
                    <w:top w:val="none" w:sz="0" w:space="0" w:color="auto"/>
                    <w:left w:val="none" w:sz="0" w:space="0" w:color="auto"/>
                    <w:bottom w:val="none" w:sz="0" w:space="0" w:color="auto"/>
                    <w:right w:val="none" w:sz="0" w:space="0" w:color="auto"/>
                  </w:divBdr>
                  <w:divsChild>
                    <w:div w:id="1385912753">
                      <w:marLeft w:val="0"/>
                      <w:marRight w:val="0"/>
                      <w:marTop w:val="120"/>
                      <w:marBottom w:val="0"/>
                      <w:divBdr>
                        <w:top w:val="none" w:sz="0" w:space="0" w:color="auto"/>
                        <w:left w:val="none" w:sz="0" w:space="0" w:color="auto"/>
                        <w:bottom w:val="none" w:sz="0" w:space="0" w:color="auto"/>
                        <w:right w:val="none" w:sz="0" w:space="0" w:color="auto"/>
                      </w:divBdr>
                    </w:div>
                    <w:div w:id="1874148788">
                      <w:marLeft w:val="0"/>
                      <w:marRight w:val="0"/>
                      <w:marTop w:val="0"/>
                      <w:marBottom w:val="0"/>
                      <w:divBdr>
                        <w:top w:val="none" w:sz="0" w:space="0" w:color="auto"/>
                        <w:left w:val="none" w:sz="0" w:space="0" w:color="auto"/>
                        <w:bottom w:val="none" w:sz="0" w:space="0" w:color="auto"/>
                        <w:right w:val="none" w:sz="0" w:space="0" w:color="auto"/>
                      </w:divBdr>
                    </w:div>
                  </w:divsChild>
                </w:div>
                <w:div w:id="1344091098">
                  <w:marLeft w:val="0"/>
                  <w:marRight w:val="0"/>
                  <w:marTop w:val="0"/>
                  <w:marBottom w:val="0"/>
                  <w:divBdr>
                    <w:top w:val="none" w:sz="0" w:space="0" w:color="auto"/>
                    <w:left w:val="none" w:sz="0" w:space="0" w:color="auto"/>
                    <w:bottom w:val="none" w:sz="0" w:space="0" w:color="auto"/>
                    <w:right w:val="none" w:sz="0" w:space="0" w:color="auto"/>
                  </w:divBdr>
                  <w:divsChild>
                    <w:div w:id="902132756">
                      <w:marLeft w:val="0"/>
                      <w:marRight w:val="0"/>
                      <w:marTop w:val="0"/>
                      <w:marBottom w:val="0"/>
                      <w:divBdr>
                        <w:top w:val="none" w:sz="0" w:space="0" w:color="auto"/>
                        <w:left w:val="none" w:sz="0" w:space="0" w:color="auto"/>
                        <w:bottom w:val="none" w:sz="0" w:space="0" w:color="auto"/>
                        <w:right w:val="none" w:sz="0" w:space="0" w:color="auto"/>
                      </w:divBdr>
                    </w:div>
                    <w:div w:id="1331835205">
                      <w:marLeft w:val="0"/>
                      <w:marRight w:val="0"/>
                      <w:marTop w:val="120"/>
                      <w:marBottom w:val="0"/>
                      <w:divBdr>
                        <w:top w:val="none" w:sz="0" w:space="0" w:color="auto"/>
                        <w:left w:val="none" w:sz="0" w:space="0" w:color="auto"/>
                        <w:bottom w:val="none" w:sz="0" w:space="0" w:color="auto"/>
                        <w:right w:val="none" w:sz="0" w:space="0" w:color="auto"/>
                      </w:divBdr>
                    </w:div>
                  </w:divsChild>
                </w:div>
                <w:div w:id="1364016767">
                  <w:marLeft w:val="0"/>
                  <w:marRight w:val="0"/>
                  <w:marTop w:val="0"/>
                  <w:marBottom w:val="0"/>
                  <w:divBdr>
                    <w:top w:val="none" w:sz="0" w:space="0" w:color="auto"/>
                    <w:left w:val="none" w:sz="0" w:space="0" w:color="auto"/>
                    <w:bottom w:val="none" w:sz="0" w:space="0" w:color="auto"/>
                    <w:right w:val="none" w:sz="0" w:space="0" w:color="auto"/>
                  </w:divBdr>
                  <w:divsChild>
                    <w:div w:id="370494889">
                      <w:marLeft w:val="0"/>
                      <w:marRight w:val="0"/>
                      <w:marTop w:val="120"/>
                      <w:marBottom w:val="0"/>
                      <w:divBdr>
                        <w:top w:val="none" w:sz="0" w:space="0" w:color="auto"/>
                        <w:left w:val="none" w:sz="0" w:space="0" w:color="auto"/>
                        <w:bottom w:val="none" w:sz="0" w:space="0" w:color="auto"/>
                        <w:right w:val="none" w:sz="0" w:space="0" w:color="auto"/>
                      </w:divBdr>
                    </w:div>
                    <w:div w:id="2040889071">
                      <w:marLeft w:val="0"/>
                      <w:marRight w:val="0"/>
                      <w:marTop w:val="0"/>
                      <w:marBottom w:val="0"/>
                      <w:divBdr>
                        <w:top w:val="none" w:sz="0" w:space="0" w:color="auto"/>
                        <w:left w:val="none" w:sz="0" w:space="0" w:color="auto"/>
                        <w:bottom w:val="none" w:sz="0" w:space="0" w:color="auto"/>
                        <w:right w:val="none" w:sz="0" w:space="0" w:color="auto"/>
                      </w:divBdr>
                      <w:divsChild>
                        <w:div w:id="278417621">
                          <w:marLeft w:val="0"/>
                          <w:marRight w:val="0"/>
                          <w:marTop w:val="0"/>
                          <w:marBottom w:val="0"/>
                          <w:divBdr>
                            <w:top w:val="none" w:sz="0" w:space="0" w:color="auto"/>
                            <w:left w:val="none" w:sz="0" w:space="0" w:color="auto"/>
                            <w:bottom w:val="none" w:sz="0" w:space="0" w:color="auto"/>
                            <w:right w:val="none" w:sz="0" w:space="0" w:color="auto"/>
                          </w:divBdr>
                          <w:divsChild>
                            <w:div w:id="119766564">
                              <w:marLeft w:val="0"/>
                              <w:marRight w:val="0"/>
                              <w:marTop w:val="120"/>
                              <w:marBottom w:val="0"/>
                              <w:divBdr>
                                <w:top w:val="none" w:sz="0" w:space="0" w:color="auto"/>
                                <w:left w:val="none" w:sz="0" w:space="0" w:color="auto"/>
                                <w:bottom w:val="none" w:sz="0" w:space="0" w:color="auto"/>
                                <w:right w:val="none" w:sz="0" w:space="0" w:color="auto"/>
                              </w:divBdr>
                            </w:div>
                            <w:div w:id="1334721517">
                              <w:marLeft w:val="0"/>
                              <w:marRight w:val="0"/>
                              <w:marTop w:val="0"/>
                              <w:marBottom w:val="0"/>
                              <w:divBdr>
                                <w:top w:val="none" w:sz="0" w:space="0" w:color="auto"/>
                                <w:left w:val="none" w:sz="0" w:space="0" w:color="auto"/>
                                <w:bottom w:val="none" w:sz="0" w:space="0" w:color="auto"/>
                                <w:right w:val="none" w:sz="0" w:space="0" w:color="auto"/>
                              </w:divBdr>
                            </w:div>
                          </w:divsChild>
                        </w:div>
                        <w:div w:id="642387565">
                          <w:marLeft w:val="0"/>
                          <w:marRight w:val="0"/>
                          <w:marTop w:val="0"/>
                          <w:marBottom w:val="0"/>
                          <w:divBdr>
                            <w:top w:val="none" w:sz="0" w:space="0" w:color="auto"/>
                            <w:left w:val="none" w:sz="0" w:space="0" w:color="auto"/>
                            <w:bottom w:val="none" w:sz="0" w:space="0" w:color="auto"/>
                            <w:right w:val="none" w:sz="0" w:space="0" w:color="auto"/>
                          </w:divBdr>
                          <w:divsChild>
                            <w:div w:id="305359562">
                              <w:marLeft w:val="0"/>
                              <w:marRight w:val="0"/>
                              <w:marTop w:val="120"/>
                              <w:marBottom w:val="0"/>
                              <w:divBdr>
                                <w:top w:val="none" w:sz="0" w:space="0" w:color="auto"/>
                                <w:left w:val="none" w:sz="0" w:space="0" w:color="auto"/>
                                <w:bottom w:val="none" w:sz="0" w:space="0" w:color="auto"/>
                                <w:right w:val="none" w:sz="0" w:space="0" w:color="auto"/>
                              </w:divBdr>
                            </w:div>
                            <w:div w:id="1810055837">
                              <w:marLeft w:val="0"/>
                              <w:marRight w:val="0"/>
                              <w:marTop w:val="0"/>
                              <w:marBottom w:val="0"/>
                              <w:divBdr>
                                <w:top w:val="none" w:sz="0" w:space="0" w:color="auto"/>
                                <w:left w:val="none" w:sz="0" w:space="0" w:color="auto"/>
                                <w:bottom w:val="none" w:sz="0" w:space="0" w:color="auto"/>
                                <w:right w:val="none" w:sz="0" w:space="0" w:color="auto"/>
                              </w:divBdr>
                            </w:div>
                          </w:divsChild>
                        </w:div>
                        <w:div w:id="1285228932">
                          <w:marLeft w:val="0"/>
                          <w:marRight w:val="0"/>
                          <w:marTop w:val="0"/>
                          <w:marBottom w:val="0"/>
                          <w:divBdr>
                            <w:top w:val="none" w:sz="0" w:space="0" w:color="auto"/>
                            <w:left w:val="none" w:sz="0" w:space="0" w:color="auto"/>
                            <w:bottom w:val="none" w:sz="0" w:space="0" w:color="auto"/>
                            <w:right w:val="none" w:sz="0" w:space="0" w:color="auto"/>
                          </w:divBdr>
                          <w:divsChild>
                            <w:div w:id="587542664">
                              <w:marLeft w:val="0"/>
                              <w:marRight w:val="0"/>
                              <w:marTop w:val="120"/>
                              <w:marBottom w:val="0"/>
                              <w:divBdr>
                                <w:top w:val="none" w:sz="0" w:space="0" w:color="auto"/>
                                <w:left w:val="none" w:sz="0" w:space="0" w:color="auto"/>
                                <w:bottom w:val="none" w:sz="0" w:space="0" w:color="auto"/>
                                <w:right w:val="none" w:sz="0" w:space="0" w:color="auto"/>
                              </w:divBdr>
                            </w:div>
                            <w:div w:id="1866214422">
                              <w:marLeft w:val="0"/>
                              <w:marRight w:val="0"/>
                              <w:marTop w:val="0"/>
                              <w:marBottom w:val="0"/>
                              <w:divBdr>
                                <w:top w:val="none" w:sz="0" w:space="0" w:color="auto"/>
                                <w:left w:val="none" w:sz="0" w:space="0" w:color="auto"/>
                                <w:bottom w:val="none" w:sz="0" w:space="0" w:color="auto"/>
                                <w:right w:val="none" w:sz="0" w:space="0" w:color="auto"/>
                              </w:divBdr>
                            </w:div>
                          </w:divsChild>
                        </w:div>
                        <w:div w:id="1685784334">
                          <w:marLeft w:val="0"/>
                          <w:marRight w:val="0"/>
                          <w:marTop w:val="0"/>
                          <w:marBottom w:val="0"/>
                          <w:divBdr>
                            <w:top w:val="none" w:sz="0" w:space="0" w:color="auto"/>
                            <w:left w:val="none" w:sz="0" w:space="0" w:color="auto"/>
                            <w:bottom w:val="none" w:sz="0" w:space="0" w:color="auto"/>
                            <w:right w:val="none" w:sz="0" w:space="0" w:color="auto"/>
                          </w:divBdr>
                          <w:divsChild>
                            <w:div w:id="1281298843">
                              <w:marLeft w:val="0"/>
                              <w:marRight w:val="0"/>
                              <w:marTop w:val="0"/>
                              <w:marBottom w:val="0"/>
                              <w:divBdr>
                                <w:top w:val="none" w:sz="0" w:space="0" w:color="auto"/>
                                <w:left w:val="none" w:sz="0" w:space="0" w:color="auto"/>
                                <w:bottom w:val="none" w:sz="0" w:space="0" w:color="auto"/>
                                <w:right w:val="none" w:sz="0" w:space="0" w:color="auto"/>
                              </w:divBdr>
                            </w:div>
                            <w:div w:id="1735859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4303646">
                  <w:marLeft w:val="0"/>
                  <w:marRight w:val="0"/>
                  <w:marTop w:val="0"/>
                  <w:marBottom w:val="0"/>
                  <w:divBdr>
                    <w:top w:val="none" w:sz="0" w:space="0" w:color="auto"/>
                    <w:left w:val="none" w:sz="0" w:space="0" w:color="auto"/>
                    <w:bottom w:val="none" w:sz="0" w:space="0" w:color="auto"/>
                    <w:right w:val="none" w:sz="0" w:space="0" w:color="auto"/>
                  </w:divBdr>
                  <w:divsChild>
                    <w:div w:id="176699334">
                      <w:marLeft w:val="0"/>
                      <w:marRight w:val="0"/>
                      <w:marTop w:val="120"/>
                      <w:marBottom w:val="0"/>
                      <w:divBdr>
                        <w:top w:val="none" w:sz="0" w:space="0" w:color="auto"/>
                        <w:left w:val="none" w:sz="0" w:space="0" w:color="auto"/>
                        <w:bottom w:val="none" w:sz="0" w:space="0" w:color="auto"/>
                        <w:right w:val="none" w:sz="0" w:space="0" w:color="auto"/>
                      </w:divBdr>
                    </w:div>
                    <w:div w:id="747653407">
                      <w:marLeft w:val="0"/>
                      <w:marRight w:val="0"/>
                      <w:marTop w:val="0"/>
                      <w:marBottom w:val="0"/>
                      <w:divBdr>
                        <w:top w:val="none" w:sz="0" w:space="0" w:color="auto"/>
                        <w:left w:val="none" w:sz="0" w:space="0" w:color="auto"/>
                        <w:bottom w:val="none" w:sz="0" w:space="0" w:color="auto"/>
                        <w:right w:val="none" w:sz="0" w:space="0" w:color="auto"/>
                      </w:divBdr>
                    </w:div>
                  </w:divsChild>
                </w:div>
                <w:div w:id="1569073118">
                  <w:marLeft w:val="0"/>
                  <w:marRight w:val="0"/>
                  <w:marTop w:val="0"/>
                  <w:marBottom w:val="0"/>
                  <w:divBdr>
                    <w:top w:val="none" w:sz="0" w:space="0" w:color="auto"/>
                    <w:left w:val="none" w:sz="0" w:space="0" w:color="auto"/>
                    <w:bottom w:val="none" w:sz="0" w:space="0" w:color="auto"/>
                    <w:right w:val="none" w:sz="0" w:space="0" w:color="auto"/>
                  </w:divBdr>
                  <w:divsChild>
                    <w:div w:id="1125002049">
                      <w:marLeft w:val="0"/>
                      <w:marRight w:val="0"/>
                      <w:marTop w:val="120"/>
                      <w:marBottom w:val="0"/>
                      <w:divBdr>
                        <w:top w:val="none" w:sz="0" w:space="0" w:color="auto"/>
                        <w:left w:val="none" w:sz="0" w:space="0" w:color="auto"/>
                        <w:bottom w:val="none" w:sz="0" w:space="0" w:color="auto"/>
                        <w:right w:val="none" w:sz="0" w:space="0" w:color="auto"/>
                      </w:divBdr>
                    </w:div>
                    <w:div w:id="1989364086">
                      <w:marLeft w:val="0"/>
                      <w:marRight w:val="0"/>
                      <w:marTop w:val="0"/>
                      <w:marBottom w:val="0"/>
                      <w:divBdr>
                        <w:top w:val="none" w:sz="0" w:space="0" w:color="auto"/>
                        <w:left w:val="none" w:sz="0" w:space="0" w:color="auto"/>
                        <w:bottom w:val="none" w:sz="0" w:space="0" w:color="auto"/>
                        <w:right w:val="none" w:sz="0" w:space="0" w:color="auto"/>
                      </w:divBdr>
                    </w:div>
                  </w:divsChild>
                </w:div>
                <w:div w:id="1588271402">
                  <w:marLeft w:val="0"/>
                  <w:marRight w:val="0"/>
                  <w:marTop w:val="0"/>
                  <w:marBottom w:val="0"/>
                  <w:divBdr>
                    <w:top w:val="none" w:sz="0" w:space="0" w:color="auto"/>
                    <w:left w:val="none" w:sz="0" w:space="0" w:color="auto"/>
                    <w:bottom w:val="none" w:sz="0" w:space="0" w:color="auto"/>
                    <w:right w:val="none" w:sz="0" w:space="0" w:color="auto"/>
                  </w:divBdr>
                  <w:divsChild>
                    <w:div w:id="1664621118">
                      <w:marLeft w:val="0"/>
                      <w:marRight w:val="0"/>
                      <w:marTop w:val="0"/>
                      <w:marBottom w:val="0"/>
                      <w:divBdr>
                        <w:top w:val="none" w:sz="0" w:space="0" w:color="auto"/>
                        <w:left w:val="none" w:sz="0" w:space="0" w:color="auto"/>
                        <w:bottom w:val="none" w:sz="0" w:space="0" w:color="auto"/>
                        <w:right w:val="none" w:sz="0" w:space="0" w:color="auto"/>
                      </w:divBdr>
                    </w:div>
                    <w:div w:id="1829319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43003323">
      <w:bodyDiv w:val="1"/>
      <w:marLeft w:val="0"/>
      <w:marRight w:val="0"/>
      <w:marTop w:val="0"/>
      <w:marBottom w:val="0"/>
      <w:divBdr>
        <w:top w:val="none" w:sz="0" w:space="0" w:color="auto"/>
        <w:left w:val="none" w:sz="0" w:space="0" w:color="auto"/>
        <w:bottom w:val="none" w:sz="0" w:space="0" w:color="auto"/>
        <w:right w:val="none" w:sz="0" w:space="0" w:color="auto"/>
      </w:divBdr>
      <w:divsChild>
        <w:div w:id="1769885679">
          <w:marLeft w:val="0"/>
          <w:marRight w:val="0"/>
          <w:marTop w:val="0"/>
          <w:marBottom w:val="0"/>
          <w:divBdr>
            <w:top w:val="none" w:sz="0" w:space="0" w:color="auto"/>
            <w:left w:val="none" w:sz="0" w:space="0" w:color="auto"/>
            <w:bottom w:val="none" w:sz="0" w:space="0" w:color="auto"/>
            <w:right w:val="none" w:sz="0" w:space="0" w:color="auto"/>
          </w:divBdr>
          <w:divsChild>
            <w:div w:id="23138922">
              <w:marLeft w:val="0"/>
              <w:marRight w:val="0"/>
              <w:marTop w:val="0"/>
              <w:marBottom w:val="0"/>
              <w:divBdr>
                <w:top w:val="none" w:sz="0" w:space="0" w:color="auto"/>
                <w:left w:val="none" w:sz="0" w:space="0" w:color="auto"/>
                <w:bottom w:val="none" w:sz="0" w:space="0" w:color="auto"/>
                <w:right w:val="none" w:sz="0" w:space="0" w:color="auto"/>
              </w:divBdr>
              <w:divsChild>
                <w:div w:id="137111685">
                  <w:marLeft w:val="0"/>
                  <w:marRight w:val="0"/>
                  <w:marTop w:val="0"/>
                  <w:marBottom w:val="0"/>
                  <w:divBdr>
                    <w:top w:val="none" w:sz="0" w:space="0" w:color="auto"/>
                    <w:left w:val="none" w:sz="0" w:space="0" w:color="auto"/>
                    <w:bottom w:val="none" w:sz="0" w:space="0" w:color="auto"/>
                    <w:right w:val="none" w:sz="0" w:space="0" w:color="auto"/>
                  </w:divBdr>
                </w:div>
                <w:div w:id="777288833">
                  <w:marLeft w:val="0"/>
                  <w:marRight w:val="0"/>
                  <w:marTop w:val="120"/>
                  <w:marBottom w:val="0"/>
                  <w:divBdr>
                    <w:top w:val="none" w:sz="0" w:space="0" w:color="auto"/>
                    <w:left w:val="none" w:sz="0" w:space="0" w:color="auto"/>
                    <w:bottom w:val="none" w:sz="0" w:space="0" w:color="auto"/>
                    <w:right w:val="none" w:sz="0" w:space="0" w:color="auto"/>
                  </w:divBdr>
                </w:div>
              </w:divsChild>
            </w:div>
            <w:div w:id="1001280279">
              <w:marLeft w:val="0"/>
              <w:marRight w:val="0"/>
              <w:marTop w:val="0"/>
              <w:marBottom w:val="0"/>
              <w:divBdr>
                <w:top w:val="none" w:sz="0" w:space="0" w:color="auto"/>
                <w:left w:val="none" w:sz="0" w:space="0" w:color="auto"/>
                <w:bottom w:val="none" w:sz="0" w:space="0" w:color="auto"/>
                <w:right w:val="none" w:sz="0" w:space="0" w:color="auto"/>
              </w:divBdr>
              <w:divsChild>
                <w:div w:id="377046569">
                  <w:marLeft w:val="0"/>
                  <w:marRight w:val="0"/>
                  <w:marTop w:val="0"/>
                  <w:marBottom w:val="0"/>
                  <w:divBdr>
                    <w:top w:val="none" w:sz="0" w:space="0" w:color="auto"/>
                    <w:left w:val="none" w:sz="0" w:space="0" w:color="auto"/>
                    <w:bottom w:val="none" w:sz="0" w:space="0" w:color="auto"/>
                    <w:right w:val="none" w:sz="0" w:space="0" w:color="auto"/>
                  </w:divBdr>
                </w:div>
                <w:div w:id="197259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0869093">
      <w:bodyDiv w:val="1"/>
      <w:marLeft w:val="0"/>
      <w:marRight w:val="0"/>
      <w:marTop w:val="0"/>
      <w:marBottom w:val="0"/>
      <w:divBdr>
        <w:top w:val="none" w:sz="0" w:space="0" w:color="auto"/>
        <w:left w:val="none" w:sz="0" w:space="0" w:color="auto"/>
        <w:bottom w:val="none" w:sz="0" w:space="0" w:color="auto"/>
        <w:right w:val="none" w:sz="0" w:space="0" w:color="auto"/>
      </w:divBdr>
    </w:div>
    <w:div w:id="653753962">
      <w:bodyDiv w:val="1"/>
      <w:marLeft w:val="0"/>
      <w:marRight w:val="0"/>
      <w:marTop w:val="0"/>
      <w:marBottom w:val="0"/>
      <w:divBdr>
        <w:top w:val="none" w:sz="0" w:space="0" w:color="auto"/>
        <w:left w:val="none" w:sz="0" w:space="0" w:color="auto"/>
        <w:bottom w:val="none" w:sz="0" w:space="0" w:color="auto"/>
        <w:right w:val="none" w:sz="0" w:space="0" w:color="auto"/>
      </w:divBdr>
    </w:div>
    <w:div w:id="658121603">
      <w:bodyDiv w:val="1"/>
      <w:marLeft w:val="0"/>
      <w:marRight w:val="0"/>
      <w:marTop w:val="0"/>
      <w:marBottom w:val="0"/>
      <w:divBdr>
        <w:top w:val="none" w:sz="0" w:space="0" w:color="auto"/>
        <w:left w:val="none" w:sz="0" w:space="0" w:color="auto"/>
        <w:bottom w:val="none" w:sz="0" w:space="0" w:color="auto"/>
        <w:right w:val="none" w:sz="0" w:space="0" w:color="auto"/>
      </w:divBdr>
      <w:divsChild>
        <w:div w:id="1109617486">
          <w:marLeft w:val="0"/>
          <w:marRight w:val="0"/>
          <w:marTop w:val="0"/>
          <w:marBottom w:val="0"/>
          <w:divBdr>
            <w:top w:val="none" w:sz="0" w:space="0" w:color="auto"/>
            <w:left w:val="none" w:sz="0" w:space="0" w:color="auto"/>
            <w:bottom w:val="none" w:sz="0" w:space="0" w:color="auto"/>
            <w:right w:val="none" w:sz="0" w:space="0" w:color="auto"/>
          </w:divBdr>
          <w:divsChild>
            <w:div w:id="666901794">
              <w:marLeft w:val="0"/>
              <w:marRight w:val="0"/>
              <w:marTop w:val="0"/>
              <w:marBottom w:val="0"/>
              <w:divBdr>
                <w:top w:val="none" w:sz="0" w:space="0" w:color="auto"/>
                <w:left w:val="none" w:sz="0" w:space="0" w:color="auto"/>
                <w:bottom w:val="none" w:sz="0" w:space="0" w:color="auto"/>
                <w:right w:val="none" w:sz="0" w:space="0" w:color="auto"/>
              </w:divBdr>
              <w:divsChild>
                <w:div w:id="401567543">
                  <w:marLeft w:val="0"/>
                  <w:marRight w:val="0"/>
                  <w:marTop w:val="120"/>
                  <w:marBottom w:val="0"/>
                  <w:divBdr>
                    <w:top w:val="none" w:sz="0" w:space="0" w:color="auto"/>
                    <w:left w:val="none" w:sz="0" w:space="0" w:color="auto"/>
                    <w:bottom w:val="none" w:sz="0" w:space="0" w:color="auto"/>
                    <w:right w:val="none" w:sz="0" w:space="0" w:color="auto"/>
                  </w:divBdr>
                </w:div>
                <w:div w:id="627593618">
                  <w:marLeft w:val="0"/>
                  <w:marRight w:val="0"/>
                  <w:marTop w:val="120"/>
                  <w:marBottom w:val="0"/>
                  <w:divBdr>
                    <w:top w:val="none" w:sz="0" w:space="0" w:color="auto"/>
                    <w:left w:val="none" w:sz="0" w:space="0" w:color="auto"/>
                    <w:bottom w:val="none" w:sz="0" w:space="0" w:color="auto"/>
                    <w:right w:val="none" w:sz="0" w:space="0" w:color="auto"/>
                  </w:divBdr>
                </w:div>
                <w:div w:id="2144496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4070523">
          <w:marLeft w:val="0"/>
          <w:marRight w:val="0"/>
          <w:marTop w:val="0"/>
          <w:marBottom w:val="0"/>
          <w:divBdr>
            <w:top w:val="none" w:sz="0" w:space="0" w:color="auto"/>
            <w:left w:val="none" w:sz="0" w:space="0" w:color="auto"/>
            <w:bottom w:val="none" w:sz="0" w:space="0" w:color="auto"/>
            <w:right w:val="none" w:sz="0" w:space="0" w:color="auto"/>
          </w:divBdr>
          <w:divsChild>
            <w:div w:id="17812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090">
      <w:bodyDiv w:val="1"/>
      <w:marLeft w:val="0"/>
      <w:marRight w:val="0"/>
      <w:marTop w:val="0"/>
      <w:marBottom w:val="0"/>
      <w:divBdr>
        <w:top w:val="none" w:sz="0" w:space="0" w:color="auto"/>
        <w:left w:val="none" w:sz="0" w:space="0" w:color="auto"/>
        <w:bottom w:val="none" w:sz="0" w:space="0" w:color="auto"/>
        <w:right w:val="none" w:sz="0" w:space="0" w:color="auto"/>
      </w:divBdr>
      <w:divsChild>
        <w:div w:id="1254779072">
          <w:marLeft w:val="0"/>
          <w:marRight w:val="0"/>
          <w:marTop w:val="0"/>
          <w:marBottom w:val="0"/>
          <w:divBdr>
            <w:top w:val="none" w:sz="0" w:space="0" w:color="auto"/>
            <w:left w:val="none" w:sz="0" w:space="0" w:color="auto"/>
            <w:bottom w:val="none" w:sz="0" w:space="0" w:color="auto"/>
            <w:right w:val="none" w:sz="0" w:space="0" w:color="auto"/>
          </w:divBdr>
          <w:divsChild>
            <w:div w:id="549923671">
              <w:marLeft w:val="0"/>
              <w:marRight w:val="0"/>
              <w:marTop w:val="0"/>
              <w:marBottom w:val="0"/>
              <w:divBdr>
                <w:top w:val="none" w:sz="0" w:space="0" w:color="auto"/>
                <w:left w:val="none" w:sz="0" w:space="0" w:color="auto"/>
                <w:bottom w:val="none" w:sz="0" w:space="0" w:color="auto"/>
                <w:right w:val="none" w:sz="0" w:space="0" w:color="auto"/>
              </w:divBdr>
              <w:divsChild>
                <w:div w:id="160510670">
                  <w:marLeft w:val="0"/>
                  <w:marRight w:val="0"/>
                  <w:marTop w:val="0"/>
                  <w:marBottom w:val="0"/>
                  <w:divBdr>
                    <w:top w:val="none" w:sz="0" w:space="0" w:color="auto"/>
                    <w:left w:val="none" w:sz="0" w:space="0" w:color="auto"/>
                    <w:bottom w:val="none" w:sz="0" w:space="0" w:color="auto"/>
                    <w:right w:val="none" w:sz="0" w:space="0" w:color="auto"/>
                  </w:divBdr>
                  <w:divsChild>
                    <w:div w:id="189877400">
                      <w:marLeft w:val="0"/>
                      <w:marRight w:val="0"/>
                      <w:marTop w:val="0"/>
                      <w:marBottom w:val="0"/>
                      <w:divBdr>
                        <w:top w:val="none" w:sz="0" w:space="0" w:color="auto"/>
                        <w:left w:val="none" w:sz="0" w:space="0" w:color="auto"/>
                        <w:bottom w:val="none" w:sz="0" w:space="0" w:color="auto"/>
                        <w:right w:val="none" w:sz="0" w:space="0" w:color="auto"/>
                      </w:divBdr>
                    </w:div>
                    <w:div w:id="1392391148">
                      <w:marLeft w:val="0"/>
                      <w:marRight w:val="0"/>
                      <w:marTop w:val="120"/>
                      <w:marBottom w:val="0"/>
                      <w:divBdr>
                        <w:top w:val="none" w:sz="0" w:space="0" w:color="auto"/>
                        <w:left w:val="none" w:sz="0" w:space="0" w:color="auto"/>
                        <w:bottom w:val="none" w:sz="0" w:space="0" w:color="auto"/>
                        <w:right w:val="none" w:sz="0" w:space="0" w:color="auto"/>
                      </w:divBdr>
                    </w:div>
                  </w:divsChild>
                </w:div>
                <w:div w:id="2020889827">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 w:id="12084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6723">
          <w:marLeft w:val="0"/>
          <w:marRight w:val="0"/>
          <w:marTop w:val="0"/>
          <w:marBottom w:val="0"/>
          <w:divBdr>
            <w:top w:val="none" w:sz="0" w:space="0" w:color="auto"/>
            <w:left w:val="none" w:sz="0" w:space="0" w:color="auto"/>
            <w:bottom w:val="none" w:sz="0" w:space="0" w:color="auto"/>
            <w:right w:val="none" w:sz="0" w:space="0" w:color="auto"/>
          </w:divBdr>
          <w:divsChild>
            <w:div w:id="1765102076">
              <w:marLeft w:val="0"/>
              <w:marRight w:val="0"/>
              <w:marTop w:val="0"/>
              <w:marBottom w:val="0"/>
              <w:divBdr>
                <w:top w:val="none" w:sz="0" w:space="0" w:color="auto"/>
                <w:left w:val="none" w:sz="0" w:space="0" w:color="auto"/>
                <w:bottom w:val="none" w:sz="0" w:space="0" w:color="auto"/>
                <w:right w:val="none" w:sz="0" w:space="0" w:color="auto"/>
              </w:divBdr>
            </w:div>
          </w:divsChild>
        </w:div>
        <w:div w:id="1584221085">
          <w:marLeft w:val="0"/>
          <w:marRight w:val="0"/>
          <w:marTop w:val="0"/>
          <w:marBottom w:val="0"/>
          <w:divBdr>
            <w:top w:val="none" w:sz="0" w:space="0" w:color="auto"/>
            <w:left w:val="none" w:sz="0" w:space="0" w:color="auto"/>
            <w:bottom w:val="none" w:sz="0" w:space="0" w:color="auto"/>
            <w:right w:val="none" w:sz="0" w:space="0" w:color="auto"/>
          </w:divBdr>
          <w:divsChild>
            <w:div w:id="1702779976">
              <w:marLeft w:val="0"/>
              <w:marRight w:val="0"/>
              <w:marTop w:val="0"/>
              <w:marBottom w:val="0"/>
              <w:divBdr>
                <w:top w:val="none" w:sz="0" w:space="0" w:color="auto"/>
                <w:left w:val="none" w:sz="0" w:space="0" w:color="auto"/>
                <w:bottom w:val="none" w:sz="0" w:space="0" w:color="auto"/>
                <w:right w:val="none" w:sz="0" w:space="0" w:color="auto"/>
              </w:divBdr>
            </w:div>
          </w:divsChild>
        </w:div>
        <w:div w:id="1640571028">
          <w:marLeft w:val="0"/>
          <w:marRight w:val="0"/>
          <w:marTop w:val="0"/>
          <w:marBottom w:val="0"/>
          <w:divBdr>
            <w:top w:val="none" w:sz="0" w:space="0" w:color="auto"/>
            <w:left w:val="none" w:sz="0" w:space="0" w:color="auto"/>
            <w:bottom w:val="none" w:sz="0" w:space="0" w:color="auto"/>
            <w:right w:val="none" w:sz="0" w:space="0" w:color="auto"/>
          </w:divBdr>
          <w:divsChild>
            <w:div w:id="2087454733">
              <w:marLeft w:val="0"/>
              <w:marRight w:val="0"/>
              <w:marTop w:val="0"/>
              <w:marBottom w:val="0"/>
              <w:divBdr>
                <w:top w:val="none" w:sz="0" w:space="0" w:color="auto"/>
                <w:left w:val="none" w:sz="0" w:space="0" w:color="auto"/>
                <w:bottom w:val="none" w:sz="0" w:space="0" w:color="auto"/>
                <w:right w:val="none" w:sz="0" w:space="0" w:color="auto"/>
              </w:divBdr>
              <w:divsChild>
                <w:div w:id="240649675">
                  <w:marLeft w:val="0"/>
                  <w:marRight w:val="0"/>
                  <w:marTop w:val="0"/>
                  <w:marBottom w:val="0"/>
                  <w:divBdr>
                    <w:top w:val="none" w:sz="0" w:space="0" w:color="auto"/>
                    <w:left w:val="none" w:sz="0" w:space="0" w:color="auto"/>
                    <w:bottom w:val="none" w:sz="0" w:space="0" w:color="auto"/>
                    <w:right w:val="none" w:sz="0" w:space="0" w:color="auto"/>
                  </w:divBdr>
                  <w:divsChild>
                    <w:div w:id="568883182">
                      <w:marLeft w:val="0"/>
                      <w:marRight w:val="0"/>
                      <w:marTop w:val="0"/>
                      <w:marBottom w:val="0"/>
                      <w:divBdr>
                        <w:top w:val="none" w:sz="0" w:space="0" w:color="auto"/>
                        <w:left w:val="none" w:sz="0" w:space="0" w:color="auto"/>
                        <w:bottom w:val="none" w:sz="0" w:space="0" w:color="auto"/>
                        <w:right w:val="none" w:sz="0" w:space="0" w:color="auto"/>
                      </w:divBdr>
                    </w:div>
                    <w:div w:id="1400782179">
                      <w:marLeft w:val="0"/>
                      <w:marRight w:val="0"/>
                      <w:marTop w:val="120"/>
                      <w:marBottom w:val="0"/>
                      <w:divBdr>
                        <w:top w:val="none" w:sz="0" w:space="0" w:color="auto"/>
                        <w:left w:val="none" w:sz="0" w:space="0" w:color="auto"/>
                        <w:bottom w:val="none" w:sz="0" w:space="0" w:color="auto"/>
                        <w:right w:val="none" w:sz="0" w:space="0" w:color="auto"/>
                      </w:divBdr>
                    </w:div>
                  </w:divsChild>
                </w:div>
                <w:div w:id="529682765">
                  <w:marLeft w:val="0"/>
                  <w:marRight w:val="0"/>
                  <w:marTop w:val="0"/>
                  <w:marBottom w:val="0"/>
                  <w:divBdr>
                    <w:top w:val="none" w:sz="0" w:space="0" w:color="auto"/>
                    <w:left w:val="none" w:sz="0" w:space="0" w:color="auto"/>
                    <w:bottom w:val="none" w:sz="0" w:space="0" w:color="auto"/>
                    <w:right w:val="none" w:sz="0" w:space="0" w:color="auto"/>
                  </w:divBdr>
                  <w:divsChild>
                    <w:div w:id="1011376619">
                      <w:marLeft w:val="0"/>
                      <w:marRight w:val="0"/>
                      <w:marTop w:val="0"/>
                      <w:marBottom w:val="0"/>
                      <w:divBdr>
                        <w:top w:val="none" w:sz="0" w:space="0" w:color="auto"/>
                        <w:left w:val="none" w:sz="0" w:space="0" w:color="auto"/>
                        <w:bottom w:val="none" w:sz="0" w:space="0" w:color="auto"/>
                        <w:right w:val="none" w:sz="0" w:space="0" w:color="auto"/>
                      </w:divBdr>
                    </w:div>
                    <w:div w:id="1289970086">
                      <w:marLeft w:val="0"/>
                      <w:marRight w:val="0"/>
                      <w:marTop w:val="120"/>
                      <w:marBottom w:val="0"/>
                      <w:divBdr>
                        <w:top w:val="none" w:sz="0" w:space="0" w:color="auto"/>
                        <w:left w:val="none" w:sz="0" w:space="0" w:color="auto"/>
                        <w:bottom w:val="none" w:sz="0" w:space="0" w:color="auto"/>
                        <w:right w:val="none" w:sz="0" w:space="0" w:color="auto"/>
                      </w:divBdr>
                    </w:div>
                  </w:divsChild>
                </w:div>
                <w:div w:id="575282499">
                  <w:marLeft w:val="0"/>
                  <w:marRight w:val="0"/>
                  <w:marTop w:val="0"/>
                  <w:marBottom w:val="0"/>
                  <w:divBdr>
                    <w:top w:val="none" w:sz="0" w:space="0" w:color="auto"/>
                    <w:left w:val="none" w:sz="0" w:space="0" w:color="auto"/>
                    <w:bottom w:val="none" w:sz="0" w:space="0" w:color="auto"/>
                    <w:right w:val="none" w:sz="0" w:space="0" w:color="auto"/>
                  </w:divBdr>
                  <w:divsChild>
                    <w:div w:id="26100825">
                      <w:marLeft w:val="0"/>
                      <w:marRight w:val="0"/>
                      <w:marTop w:val="0"/>
                      <w:marBottom w:val="0"/>
                      <w:divBdr>
                        <w:top w:val="none" w:sz="0" w:space="0" w:color="auto"/>
                        <w:left w:val="none" w:sz="0" w:space="0" w:color="auto"/>
                        <w:bottom w:val="none" w:sz="0" w:space="0" w:color="auto"/>
                        <w:right w:val="none" w:sz="0" w:space="0" w:color="auto"/>
                      </w:divBdr>
                    </w:div>
                    <w:div w:id="1125001449">
                      <w:marLeft w:val="0"/>
                      <w:marRight w:val="0"/>
                      <w:marTop w:val="120"/>
                      <w:marBottom w:val="0"/>
                      <w:divBdr>
                        <w:top w:val="none" w:sz="0" w:space="0" w:color="auto"/>
                        <w:left w:val="none" w:sz="0" w:space="0" w:color="auto"/>
                        <w:bottom w:val="none" w:sz="0" w:space="0" w:color="auto"/>
                        <w:right w:val="none" w:sz="0" w:space="0" w:color="auto"/>
                      </w:divBdr>
                    </w:div>
                  </w:divsChild>
                </w:div>
                <w:div w:id="919291268">
                  <w:marLeft w:val="0"/>
                  <w:marRight w:val="0"/>
                  <w:marTop w:val="0"/>
                  <w:marBottom w:val="0"/>
                  <w:divBdr>
                    <w:top w:val="none" w:sz="0" w:space="0" w:color="auto"/>
                    <w:left w:val="none" w:sz="0" w:space="0" w:color="auto"/>
                    <w:bottom w:val="none" w:sz="0" w:space="0" w:color="auto"/>
                    <w:right w:val="none" w:sz="0" w:space="0" w:color="auto"/>
                  </w:divBdr>
                  <w:divsChild>
                    <w:div w:id="240529077">
                      <w:marLeft w:val="0"/>
                      <w:marRight w:val="0"/>
                      <w:marTop w:val="120"/>
                      <w:marBottom w:val="0"/>
                      <w:divBdr>
                        <w:top w:val="none" w:sz="0" w:space="0" w:color="auto"/>
                        <w:left w:val="none" w:sz="0" w:space="0" w:color="auto"/>
                        <w:bottom w:val="none" w:sz="0" w:space="0" w:color="auto"/>
                        <w:right w:val="none" w:sz="0" w:space="0" w:color="auto"/>
                      </w:divBdr>
                    </w:div>
                    <w:div w:id="1821143920">
                      <w:marLeft w:val="0"/>
                      <w:marRight w:val="0"/>
                      <w:marTop w:val="0"/>
                      <w:marBottom w:val="0"/>
                      <w:divBdr>
                        <w:top w:val="none" w:sz="0" w:space="0" w:color="auto"/>
                        <w:left w:val="none" w:sz="0" w:space="0" w:color="auto"/>
                        <w:bottom w:val="none" w:sz="0" w:space="0" w:color="auto"/>
                        <w:right w:val="none" w:sz="0" w:space="0" w:color="auto"/>
                      </w:divBdr>
                    </w:div>
                  </w:divsChild>
                </w:div>
                <w:div w:id="1511945496">
                  <w:marLeft w:val="0"/>
                  <w:marRight w:val="0"/>
                  <w:marTop w:val="0"/>
                  <w:marBottom w:val="0"/>
                  <w:divBdr>
                    <w:top w:val="none" w:sz="0" w:space="0" w:color="auto"/>
                    <w:left w:val="none" w:sz="0" w:space="0" w:color="auto"/>
                    <w:bottom w:val="none" w:sz="0" w:space="0" w:color="auto"/>
                    <w:right w:val="none" w:sz="0" w:space="0" w:color="auto"/>
                  </w:divBdr>
                  <w:divsChild>
                    <w:div w:id="113401338">
                      <w:marLeft w:val="0"/>
                      <w:marRight w:val="0"/>
                      <w:marTop w:val="0"/>
                      <w:marBottom w:val="0"/>
                      <w:divBdr>
                        <w:top w:val="none" w:sz="0" w:space="0" w:color="auto"/>
                        <w:left w:val="none" w:sz="0" w:space="0" w:color="auto"/>
                        <w:bottom w:val="none" w:sz="0" w:space="0" w:color="auto"/>
                        <w:right w:val="none" w:sz="0" w:space="0" w:color="auto"/>
                      </w:divBdr>
                    </w:div>
                    <w:div w:id="808522059">
                      <w:marLeft w:val="0"/>
                      <w:marRight w:val="0"/>
                      <w:marTop w:val="120"/>
                      <w:marBottom w:val="0"/>
                      <w:divBdr>
                        <w:top w:val="none" w:sz="0" w:space="0" w:color="auto"/>
                        <w:left w:val="none" w:sz="0" w:space="0" w:color="auto"/>
                        <w:bottom w:val="none" w:sz="0" w:space="0" w:color="auto"/>
                        <w:right w:val="none" w:sz="0" w:space="0" w:color="auto"/>
                      </w:divBdr>
                    </w:div>
                  </w:divsChild>
                </w:div>
                <w:div w:id="1785924673">
                  <w:marLeft w:val="0"/>
                  <w:marRight w:val="0"/>
                  <w:marTop w:val="0"/>
                  <w:marBottom w:val="0"/>
                  <w:divBdr>
                    <w:top w:val="none" w:sz="0" w:space="0" w:color="auto"/>
                    <w:left w:val="none" w:sz="0" w:space="0" w:color="auto"/>
                    <w:bottom w:val="none" w:sz="0" w:space="0" w:color="auto"/>
                    <w:right w:val="none" w:sz="0" w:space="0" w:color="auto"/>
                  </w:divBdr>
                  <w:divsChild>
                    <w:div w:id="611859128">
                      <w:marLeft w:val="0"/>
                      <w:marRight w:val="0"/>
                      <w:marTop w:val="120"/>
                      <w:marBottom w:val="0"/>
                      <w:divBdr>
                        <w:top w:val="none" w:sz="0" w:space="0" w:color="auto"/>
                        <w:left w:val="none" w:sz="0" w:space="0" w:color="auto"/>
                        <w:bottom w:val="none" w:sz="0" w:space="0" w:color="auto"/>
                        <w:right w:val="none" w:sz="0" w:space="0" w:color="auto"/>
                      </w:divBdr>
                    </w:div>
                    <w:div w:id="10190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2999">
          <w:marLeft w:val="0"/>
          <w:marRight w:val="0"/>
          <w:marTop w:val="0"/>
          <w:marBottom w:val="0"/>
          <w:divBdr>
            <w:top w:val="none" w:sz="0" w:space="0" w:color="auto"/>
            <w:left w:val="none" w:sz="0" w:space="0" w:color="auto"/>
            <w:bottom w:val="none" w:sz="0" w:space="0" w:color="auto"/>
            <w:right w:val="none" w:sz="0" w:space="0" w:color="auto"/>
          </w:divBdr>
          <w:divsChild>
            <w:div w:id="1679426730">
              <w:marLeft w:val="0"/>
              <w:marRight w:val="0"/>
              <w:marTop w:val="0"/>
              <w:marBottom w:val="0"/>
              <w:divBdr>
                <w:top w:val="none" w:sz="0" w:space="0" w:color="auto"/>
                <w:left w:val="none" w:sz="0" w:space="0" w:color="auto"/>
                <w:bottom w:val="none" w:sz="0" w:space="0" w:color="auto"/>
                <w:right w:val="none" w:sz="0" w:space="0" w:color="auto"/>
              </w:divBdr>
              <w:divsChild>
                <w:div w:id="1399742607">
                  <w:marLeft w:val="0"/>
                  <w:marRight w:val="0"/>
                  <w:marTop w:val="0"/>
                  <w:marBottom w:val="0"/>
                  <w:divBdr>
                    <w:top w:val="none" w:sz="0" w:space="0" w:color="auto"/>
                    <w:left w:val="none" w:sz="0" w:space="0" w:color="auto"/>
                    <w:bottom w:val="none" w:sz="0" w:space="0" w:color="auto"/>
                    <w:right w:val="none" w:sz="0" w:space="0" w:color="auto"/>
                  </w:divBdr>
                  <w:divsChild>
                    <w:div w:id="984163212">
                      <w:marLeft w:val="0"/>
                      <w:marRight w:val="0"/>
                      <w:marTop w:val="0"/>
                      <w:marBottom w:val="0"/>
                      <w:divBdr>
                        <w:top w:val="none" w:sz="0" w:space="0" w:color="auto"/>
                        <w:left w:val="none" w:sz="0" w:space="0" w:color="auto"/>
                        <w:bottom w:val="none" w:sz="0" w:space="0" w:color="auto"/>
                        <w:right w:val="none" w:sz="0" w:space="0" w:color="auto"/>
                      </w:divBdr>
                    </w:div>
                    <w:div w:id="1066605354">
                      <w:marLeft w:val="0"/>
                      <w:marRight w:val="0"/>
                      <w:marTop w:val="120"/>
                      <w:marBottom w:val="0"/>
                      <w:divBdr>
                        <w:top w:val="none" w:sz="0" w:space="0" w:color="auto"/>
                        <w:left w:val="none" w:sz="0" w:space="0" w:color="auto"/>
                        <w:bottom w:val="none" w:sz="0" w:space="0" w:color="auto"/>
                        <w:right w:val="none" w:sz="0" w:space="0" w:color="auto"/>
                      </w:divBdr>
                    </w:div>
                  </w:divsChild>
                </w:div>
                <w:div w:id="2054037825">
                  <w:marLeft w:val="0"/>
                  <w:marRight w:val="0"/>
                  <w:marTop w:val="0"/>
                  <w:marBottom w:val="0"/>
                  <w:divBdr>
                    <w:top w:val="none" w:sz="0" w:space="0" w:color="auto"/>
                    <w:left w:val="none" w:sz="0" w:space="0" w:color="auto"/>
                    <w:bottom w:val="none" w:sz="0" w:space="0" w:color="auto"/>
                    <w:right w:val="none" w:sz="0" w:space="0" w:color="auto"/>
                  </w:divBdr>
                  <w:divsChild>
                    <w:div w:id="388039453">
                      <w:marLeft w:val="0"/>
                      <w:marRight w:val="0"/>
                      <w:marTop w:val="0"/>
                      <w:marBottom w:val="0"/>
                      <w:divBdr>
                        <w:top w:val="none" w:sz="0" w:space="0" w:color="auto"/>
                        <w:left w:val="none" w:sz="0" w:space="0" w:color="auto"/>
                        <w:bottom w:val="none" w:sz="0" w:space="0" w:color="auto"/>
                        <w:right w:val="none" w:sz="0" w:space="0" w:color="auto"/>
                      </w:divBdr>
                    </w:div>
                    <w:div w:id="2091613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86443158">
      <w:bodyDiv w:val="1"/>
      <w:marLeft w:val="0"/>
      <w:marRight w:val="0"/>
      <w:marTop w:val="0"/>
      <w:marBottom w:val="0"/>
      <w:divBdr>
        <w:top w:val="none" w:sz="0" w:space="0" w:color="auto"/>
        <w:left w:val="none" w:sz="0" w:space="0" w:color="auto"/>
        <w:bottom w:val="none" w:sz="0" w:space="0" w:color="auto"/>
        <w:right w:val="none" w:sz="0" w:space="0" w:color="auto"/>
      </w:divBdr>
      <w:divsChild>
        <w:div w:id="1210342357">
          <w:marLeft w:val="0"/>
          <w:marRight w:val="0"/>
          <w:marTop w:val="0"/>
          <w:marBottom w:val="0"/>
          <w:divBdr>
            <w:top w:val="none" w:sz="0" w:space="0" w:color="auto"/>
            <w:left w:val="none" w:sz="0" w:space="0" w:color="auto"/>
            <w:bottom w:val="none" w:sz="0" w:space="0" w:color="auto"/>
            <w:right w:val="none" w:sz="0" w:space="0" w:color="auto"/>
          </w:divBdr>
          <w:divsChild>
            <w:div w:id="200671643">
              <w:marLeft w:val="0"/>
              <w:marRight w:val="0"/>
              <w:marTop w:val="0"/>
              <w:marBottom w:val="0"/>
              <w:divBdr>
                <w:top w:val="none" w:sz="0" w:space="0" w:color="auto"/>
                <w:left w:val="none" w:sz="0" w:space="0" w:color="auto"/>
                <w:bottom w:val="none" w:sz="0" w:space="0" w:color="auto"/>
                <w:right w:val="none" w:sz="0" w:space="0" w:color="auto"/>
              </w:divBdr>
              <w:divsChild>
                <w:div w:id="60179222">
                  <w:marLeft w:val="0"/>
                  <w:marRight w:val="0"/>
                  <w:marTop w:val="120"/>
                  <w:marBottom w:val="0"/>
                  <w:divBdr>
                    <w:top w:val="none" w:sz="0" w:space="0" w:color="auto"/>
                    <w:left w:val="none" w:sz="0" w:space="0" w:color="auto"/>
                    <w:bottom w:val="none" w:sz="0" w:space="0" w:color="auto"/>
                    <w:right w:val="none" w:sz="0" w:space="0" w:color="auto"/>
                  </w:divBdr>
                </w:div>
                <w:div w:id="778644914">
                  <w:marLeft w:val="0"/>
                  <w:marRight w:val="0"/>
                  <w:marTop w:val="0"/>
                  <w:marBottom w:val="0"/>
                  <w:divBdr>
                    <w:top w:val="none" w:sz="0" w:space="0" w:color="auto"/>
                    <w:left w:val="none" w:sz="0" w:space="0" w:color="auto"/>
                    <w:bottom w:val="none" w:sz="0" w:space="0" w:color="auto"/>
                    <w:right w:val="none" w:sz="0" w:space="0" w:color="auto"/>
                  </w:divBdr>
                </w:div>
              </w:divsChild>
            </w:div>
            <w:div w:id="743843784">
              <w:marLeft w:val="0"/>
              <w:marRight w:val="0"/>
              <w:marTop w:val="0"/>
              <w:marBottom w:val="0"/>
              <w:divBdr>
                <w:top w:val="none" w:sz="0" w:space="0" w:color="auto"/>
                <w:left w:val="none" w:sz="0" w:space="0" w:color="auto"/>
                <w:bottom w:val="none" w:sz="0" w:space="0" w:color="auto"/>
                <w:right w:val="none" w:sz="0" w:space="0" w:color="auto"/>
              </w:divBdr>
              <w:divsChild>
                <w:div w:id="1283340783">
                  <w:marLeft w:val="0"/>
                  <w:marRight w:val="0"/>
                  <w:marTop w:val="0"/>
                  <w:marBottom w:val="0"/>
                  <w:divBdr>
                    <w:top w:val="none" w:sz="0" w:space="0" w:color="auto"/>
                    <w:left w:val="none" w:sz="0" w:space="0" w:color="auto"/>
                    <w:bottom w:val="none" w:sz="0" w:space="0" w:color="auto"/>
                    <w:right w:val="none" w:sz="0" w:space="0" w:color="auto"/>
                  </w:divBdr>
                </w:div>
                <w:div w:id="1592202844">
                  <w:marLeft w:val="0"/>
                  <w:marRight w:val="0"/>
                  <w:marTop w:val="120"/>
                  <w:marBottom w:val="0"/>
                  <w:divBdr>
                    <w:top w:val="none" w:sz="0" w:space="0" w:color="auto"/>
                    <w:left w:val="none" w:sz="0" w:space="0" w:color="auto"/>
                    <w:bottom w:val="none" w:sz="0" w:space="0" w:color="auto"/>
                    <w:right w:val="none" w:sz="0" w:space="0" w:color="auto"/>
                  </w:divBdr>
                </w:div>
              </w:divsChild>
            </w:div>
            <w:div w:id="1186404765">
              <w:marLeft w:val="0"/>
              <w:marRight w:val="0"/>
              <w:marTop w:val="0"/>
              <w:marBottom w:val="0"/>
              <w:divBdr>
                <w:top w:val="none" w:sz="0" w:space="0" w:color="auto"/>
                <w:left w:val="none" w:sz="0" w:space="0" w:color="auto"/>
                <w:bottom w:val="none" w:sz="0" w:space="0" w:color="auto"/>
                <w:right w:val="none" w:sz="0" w:space="0" w:color="auto"/>
              </w:divBdr>
              <w:divsChild>
                <w:div w:id="729427312">
                  <w:marLeft w:val="0"/>
                  <w:marRight w:val="0"/>
                  <w:marTop w:val="0"/>
                  <w:marBottom w:val="0"/>
                  <w:divBdr>
                    <w:top w:val="none" w:sz="0" w:space="0" w:color="auto"/>
                    <w:left w:val="none" w:sz="0" w:space="0" w:color="auto"/>
                    <w:bottom w:val="none" w:sz="0" w:space="0" w:color="auto"/>
                    <w:right w:val="none" w:sz="0" w:space="0" w:color="auto"/>
                  </w:divBdr>
                </w:div>
                <w:div w:id="840123274">
                  <w:marLeft w:val="0"/>
                  <w:marRight w:val="0"/>
                  <w:marTop w:val="120"/>
                  <w:marBottom w:val="0"/>
                  <w:divBdr>
                    <w:top w:val="none" w:sz="0" w:space="0" w:color="auto"/>
                    <w:left w:val="none" w:sz="0" w:space="0" w:color="auto"/>
                    <w:bottom w:val="none" w:sz="0" w:space="0" w:color="auto"/>
                    <w:right w:val="none" w:sz="0" w:space="0" w:color="auto"/>
                  </w:divBdr>
                </w:div>
              </w:divsChild>
            </w:div>
            <w:div w:id="1229073510">
              <w:marLeft w:val="0"/>
              <w:marRight w:val="0"/>
              <w:marTop w:val="0"/>
              <w:marBottom w:val="0"/>
              <w:divBdr>
                <w:top w:val="none" w:sz="0" w:space="0" w:color="auto"/>
                <w:left w:val="none" w:sz="0" w:space="0" w:color="auto"/>
                <w:bottom w:val="none" w:sz="0" w:space="0" w:color="auto"/>
                <w:right w:val="none" w:sz="0" w:space="0" w:color="auto"/>
              </w:divBdr>
              <w:divsChild>
                <w:div w:id="733964130">
                  <w:marLeft w:val="0"/>
                  <w:marRight w:val="0"/>
                  <w:marTop w:val="0"/>
                  <w:marBottom w:val="0"/>
                  <w:divBdr>
                    <w:top w:val="none" w:sz="0" w:space="0" w:color="auto"/>
                    <w:left w:val="none" w:sz="0" w:space="0" w:color="auto"/>
                    <w:bottom w:val="none" w:sz="0" w:space="0" w:color="auto"/>
                    <w:right w:val="none" w:sz="0" w:space="0" w:color="auto"/>
                  </w:divBdr>
                </w:div>
                <w:div w:id="793864010">
                  <w:marLeft w:val="0"/>
                  <w:marRight w:val="0"/>
                  <w:marTop w:val="120"/>
                  <w:marBottom w:val="0"/>
                  <w:divBdr>
                    <w:top w:val="none" w:sz="0" w:space="0" w:color="auto"/>
                    <w:left w:val="none" w:sz="0" w:space="0" w:color="auto"/>
                    <w:bottom w:val="none" w:sz="0" w:space="0" w:color="auto"/>
                    <w:right w:val="none" w:sz="0" w:space="0" w:color="auto"/>
                  </w:divBdr>
                </w:div>
              </w:divsChild>
            </w:div>
            <w:div w:id="1627659498">
              <w:marLeft w:val="0"/>
              <w:marRight w:val="0"/>
              <w:marTop w:val="0"/>
              <w:marBottom w:val="0"/>
              <w:divBdr>
                <w:top w:val="none" w:sz="0" w:space="0" w:color="auto"/>
                <w:left w:val="none" w:sz="0" w:space="0" w:color="auto"/>
                <w:bottom w:val="none" w:sz="0" w:space="0" w:color="auto"/>
                <w:right w:val="none" w:sz="0" w:space="0" w:color="auto"/>
              </w:divBdr>
              <w:divsChild>
                <w:div w:id="494806885">
                  <w:marLeft w:val="0"/>
                  <w:marRight w:val="0"/>
                  <w:marTop w:val="0"/>
                  <w:marBottom w:val="0"/>
                  <w:divBdr>
                    <w:top w:val="none" w:sz="0" w:space="0" w:color="auto"/>
                    <w:left w:val="none" w:sz="0" w:space="0" w:color="auto"/>
                    <w:bottom w:val="none" w:sz="0" w:space="0" w:color="auto"/>
                    <w:right w:val="none" w:sz="0" w:space="0" w:color="auto"/>
                  </w:divBdr>
                </w:div>
                <w:div w:id="1790002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713246">
      <w:bodyDiv w:val="1"/>
      <w:marLeft w:val="0"/>
      <w:marRight w:val="0"/>
      <w:marTop w:val="0"/>
      <w:marBottom w:val="0"/>
      <w:divBdr>
        <w:top w:val="none" w:sz="0" w:space="0" w:color="auto"/>
        <w:left w:val="none" w:sz="0" w:space="0" w:color="auto"/>
        <w:bottom w:val="none" w:sz="0" w:space="0" w:color="auto"/>
        <w:right w:val="none" w:sz="0" w:space="0" w:color="auto"/>
      </w:divBdr>
    </w:div>
    <w:div w:id="705368380">
      <w:bodyDiv w:val="1"/>
      <w:marLeft w:val="0"/>
      <w:marRight w:val="0"/>
      <w:marTop w:val="0"/>
      <w:marBottom w:val="0"/>
      <w:divBdr>
        <w:top w:val="none" w:sz="0" w:space="0" w:color="auto"/>
        <w:left w:val="none" w:sz="0" w:space="0" w:color="auto"/>
        <w:bottom w:val="none" w:sz="0" w:space="0" w:color="auto"/>
        <w:right w:val="none" w:sz="0" w:space="0" w:color="auto"/>
      </w:divBdr>
    </w:div>
    <w:div w:id="716592579">
      <w:bodyDiv w:val="1"/>
      <w:marLeft w:val="0"/>
      <w:marRight w:val="0"/>
      <w:marTop w:val="0"/>
      <w:marBottom w:val="0"/>
      <w:divBdr>
        <w:top w:val="none" w:sz="0" w:space="0" w:color="auto"/>
        <w:left w:val="none" w:sz="0" w:space="0" w:color="auto"/>
        <w:bottom w:val="none" w:sz="0" w:space="0" w:color="auto"/>
        <w:right w:val="none" w:sz="0" w:space="0" w:color="auto"/>
      </w:divBdr>
      <w:divsChild>
        <w:div w:id="688869341">
          <w:marLeft w:val="0"/>
          <w:marRight w:val="0"/>
          <w:marTop w:val="120"/>
          <w:marBottom w:val="0"/>
          <w:divBdr>
            <w:top w:val="none" w:sz="0" w:space="0" w:color="auto"/>
            <w:left w:val="none" w:sz="0" w:space="0" w:color="auto"/>
            <w:bottom w:val="none" w:sz="0" w:space="0" w:color="auto"/>
            <w:right w:val="none" w:sz="0" w:space="0" w:color="auto"/>
          </w:divBdr>
        </w:div>
        <w:div w:id="1698967803">
          <w:marLeft w:val="0"/>
          <w:marRight w:val="0"/>
          <w:marTop w:val="0"/>
          <w:marBottom w:val="0"/>
          <w:divBdr>
            <w:top w:val="none" w:sz="0" w:space="0" w:color="auto"/>
            <w:left w:val="none" w:sz="0" w:space="0" w:color="auto"/>
            <w:bottom w:val="none" w:sz="0" w:space="0" w:color="auto"/>
            <w:right w:val="none" w:sz="0" w:space="0" w:color="auto"/>
          </w:divBdr>
        </w:div>
      </w:divsChild>
    </w:div>
    <w:div w:id="721488198">
      <w:bodyDiv w:val="1"/>
      <w:marLeft w:val="0"/>
      <w:marRight w:val="0"/>
      <w:marTop w:val="0"/>
      <w:marBottom w:val="0"/>
      <w:divBdr>
        <w:top w:val="none" w:sz="0" w:space="0" w:color="auto"/>
        <w:left w:val="none" w:sz="0" w:space="0" w:color="auto"/>
        <w:bottom w:val="none" w:sz="0" w:space="0" w:color="auto"/>
        <w:right w:val="none" w:sz="0" w:space="0" w:color="auto"/>
      </w:divBdr>
    </w:div>
    <w:div w:id="722098239">
      <w:bodyDiv w:val="1"/>
      <w:marLeft w:val="0"/>
      <w:marRight w:val="0"/>
      <w:marTop w:val="0"/>
      <w:marBottom w:val="0"/>
      <w:divBdr>
        <w:top w:val="none" w:sz="0" w:space="0" w:color="auto"/>
        <w:left w:val="none" w:sz="0" w:space="0" w:color="auto"/>
        <w:bottom w:val="none" w:sz="0" w:space="0" w:color="auto"/>
        <w:right w:val="none" w:sz="0" w:space="0" w:color="auto"/>
      </w:divBdr>
      <w:divsChild>
        <w:div w:id="310990305">
          <w:marLeft w:val="0"/>
          <w:marRight w:val="0"/>
          <w:marTop w:val="0"/>
          <w:marBottom w:val="0"/>
          <w:divBdr>
            <w:top w:val="none" w:sz="0" w:space="0" w:color="auto"/>
            <w:left w:val="none" w:sz="0" w:space="0" w:color="auto"/>
            <w:bottom w:val="none" w:sz="0" w:space="0" w:color="auto"/>
            <w:right w:val="none" w:sz="0" w:space="0" w:color="auto"/>
          </w:divBdr>
          <w:divsChild>
            <w:div w:id="1172834676">
              <w:marLeft w:val="0"/>
              <w:marRight w:val="0"/>
              <w:marTop w:val="120"/>
              <w:marBottom w:val="0"/>
              <w:divBdr>
                <w:top w:val="none" w:sz="0" w:space="0" w:color="auto"/>
                <w:left w:val="none" w:sz="0" w:space="0" w:color="auto"/>
                <w:bottom w:val="none" w:sz="0" w:space="0" w:color="auto"/>
                <w:right w:val="none" w:sz="0" w:space="0" w:color="auto"/>
              </w:divBdr>
            </w:div>
            <w:div w:id="1866821577">
              <w:marLeft w:val="0"/>
              <w:marRight w:val="0"/>
              <w:marTop w:val="0"/>
              <w:marBottom w:val="0"/>
              <w:divBdr>
                <w:top w:val="none" w:sz="0" w:space="0" w:color="auto"/>
                <w:left w:val="none" w:sz="0" w:space="0" w:color="auto"/>
                <w:bottom w:val="none" w:sz="0" w:space="0" w:color="auto"/>
                <w:right w:val="none" w:sz="0" w:space="0" w:color="auto"/>
              </w:divBdr>
              <w:divsChild>
                <w:div w:id="883367050">
                  <w:marLeft w:val="0"/>
                  <w:marRight w:val="0"/>
                  <w:marTop w:val="0"/>
                  <w:marBottom w:val="0"/>
                  <w:divBdr>
                    <w:top w:val="none" w:sz="0" w:space="0" w:color="auto"/>
                    <w:left w:val="none" w:sz="0" w:space="0" w:color="auto"/>
                    <w:bottom w:val="none" w:sz="0" w:space="0" w:color="auto"/>
                    <w:right w:val="none" w:sz="0" w:space="0" w:color="auto"/>
                  </w:divBdr>
                  <w:divsChild>
                    <w:div w:id="233400413">
                      <w:marLeft w:val="0"/>
                      <w:marRight w:val="0"/>
                      <w:marTop w:val="120"/>
                      <w:marBottom w:val="0"/>
                      <w:divBdr>
                        <w:top w:val="none" w:sz="0" w:space="0" w:color="auto"/>
                        <w:left w:val="none" w:sz="0" w:space="0" w:color="auto"/>
                        <w:bottom w:val="none" w:sz="0" w:space="0" w:color="auto"/>
                        <w:right w:val="none" w:sz="0" w:space="0" w:color="auto"/>
                      </w:divBdr>
                    </w:div>
                    <w:div w:id="1381586421">
                      <w:marLeft w:val="0"/>
                      <w:marRight w:val="0"/>
                      <w:marTop w:val="0"/>
                      <w:marBottom w:val="0"/>
                      <w:divBdr>
                        <w:top w:val="none" w:sz="0" w:space="0" w:color="auto"/>
                        <w:left w:val="none" w:sz="0" w:space="0" w:color="auto"/>
                        <w:bottom w:val="none" w:sz="0" w:space="0" w:color="auto"/>
                        <w:right w:val="none" w:sz="0" w:space="0" w:color="auto"/>
                      </w:divBdr>
                    </w:div>
                  </w:divsChild>
                </w:div>
                <w:div w:id="1159924956">
                  <w:marLeft w:val="0"/>
                  <w:marRight w:val="0"/>
                  <w:marTop w:val="0"/>
                  <w:marBottom w:val="0"/>
                  <w:divBdr>
                    <w:top w:val="none" w:sz="0" w:space="0" w:color="auto"/>
                    <w:left w:val="none" w:sz="0" w:space="0" w:color="auto"/>
                    <w:bottom w:val="none" w:sz="0" w:space="0" w:color="auto"/>
                    <w:right w:val="none" w:sz="0" w:space="0" w:color="auto"/>
                  </w:divBdr>
                  <w:divsChild>
                    <w:div w:id="1461025409">
                      <w:marLeft w:val="0"/>
                      <w:marRight w:val="0"/>
                      <w:marTop w:val="0"/>
                      <w:marBottom w:val="0"/>
                      <w:divBdr>
                        <w:top w:val="none" w:sz="0" w:space="0" w:color="auto"/>
                        <w:left w:val="none" w:sz="0" w:space="0" w:color="auto"/>
                        <w:bottom w:val="none" w:sz="0" w:space="0" w:color="auto"/>
                        <w:right w:val="none" w:sz="0" w:space="0" w:color="auto"/>
                      </w:divBdr>
                    </w:div>
                    <w:div w:id="1502043798">
                      <w:marLeft w:val="0"/>
                      <w:marRight w:val="0"/>
                      <w:marTop w:val="120"/>
                      <w:marBottom w:val="0"/>
                      <w:divBdr>
                        <w:top w:val="none" w:sz="0" w:space="0" w:color="auto"/>
                        <w:left w:val="none" w:sz="0" w:space="0" w:color="auto"/>
                        <w:bottom w:val="none" w:sz="0" w:space="0" w:color="auto"/>
                        <w:right w:val="none" w:sz="0" w:space="0" w:color="auto"/>
                      </w:divBdr>
                    </w:div>
                  </w:divsChild>
                </w:div>
                <w:div w:id="1594317003">
                  <w:marLeft w:val="0"/>
                  <w:marRight w:val="0"/>
                  <w:marTop w:val="0"/>
                  <w:marBottom w:val="0"/>
                  <w:divBdr>
                    <w:top w:val="none" w:sz="0" w:space="0" w:color="auto"/>
                    <w:left w:val="none" w:sz="0" w:space="0" w:color="auto"/>
                    <w:bottom w:val="none" w:sz="0" w:space="0" w:color="auto"/>
                    <w:right w:val="none" w:sz="0" w:space="0" w:color="auto"/>
                  </w:divBdr>
                  <w:divsChild>
                    <w:div w:id="637800721">
                      <w:marLeft w:val="0"/>
                      <w:marRight w:val="0"/>
                      <w:marTop w:val="120"/>
                      <w:marBottom w:val="0"/>
                      <w:divBdr>
                        <w:top w:val="none" w:sz="0" w:space="0" w:color="auto"/>
                        <w:left w:val="none" w:sz="0" w:space="0" w:color="auto"/>
                        <w:bottom w:val="none" w:sz="0" w:space="0" w:color="auto"/>
                        <w:right w:val="none" w:sz="0" w:space="0" w:color="auto"/>
                      </w:divBdr>
                    </w:div>
                    <w:div w:id="1452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66190">
          <w:marLeft w:val="0"/>
          <w:marRight w:val="0"/>
          <w:marTop w:val="0"/>
          <w:marBottom w:val="0"/>
          <w:divBdr>
            <w:top w:val="none" w:sz="0" w:space="0" w:color="auto"/>
            <w:left w:val="none" w:sz="0" w:space="0" w:color="auto"/>
            <w:bottom w:val="none" w:sz="0" w:space="0" w:color="auto"/>
            <w:right w:val="none" w:sz="0" w:space="0" w:color="auto"/>
          </w:divBdr>
          <w:divsChild>
            <w:div w:id="371617190">
              <w:marLeft w:val="0"/>
              <w:marRight w:val="0"/>
              <w:marTop w:val="120"/>
              <w:marBottom w:val="0"/>
              <w:divBdr>
                <w:top w:val="none" w:sz="0" w:space="0" w:color="auto"/>
                <w:left w:val="none" w:sz="0" w:space="0" w:color="auto"/>
                <w:bottom w:val="none" w:sz="0" w:space="0" w:color="auto"/>
                <w:right w:val="none" w:sz="0" w:space="0" w:color="auto"/>
              </w:divBdr>
            </w:div>
            <w:div w:id="796264006">
              <w:marLeft w:val="0"/>
              <w:marRight w:val="0"/>
              <w:marTop w:val="0"/>
              <w:marBottom w:val="0"/>
              <w:divBdr>
                <w:top w:val="none" w:sz="0" w:space="0" w:color="auto"/>
                <w:left w:val="none" w:sz="0" w:space="0" w:color="auto"/>
                <w:bottom w:val="none" w:sz="0" w:space="0" w:color="auto"/>
                <w:right w:val="none" w:sz="0" w:space="0" w:color="auto"/>
              </w:divBdr>
            </w:div>
          </w:divsChild>
        </w:div>
        <w:div w:id="784276773">
          <w:marLeft w:val="0"/>
          <w:marRight w:val="0"/>
          <w:marTop w:val="0"/>
          <w:marBottom w:val="0"/>
          <w:divBdr>
            <w:top w:val="none" w:sz="0" w:space="0" w:color="auto"/>
            <w:left w:val="none" w:sz="0" w:space="0" w:color="auto"/>
            <w:bottom w:val="none" w:sz="0" w:space="0" w:color="auto"/>
            <w:right w:val="none" w:sz="0" w:space="0" w:color="auto"/>
          </w:divBdr>
          <w:divsChild>
            <w:div w:id="594824619">
              <w:marLeft w:val="0"/>
              <w:marRight w:val="0"/>
              <w:marTop w:val="0"/>
              <w:marBottom w:val="0"/>
              <w:divBdr>
                <w:top w:val="none" w:sz="0" w:space="0" w:color="auto"/>
                <w:left w:val="none" w:sz="0" w:space="0" w:color="auto"/>
                <w:bottom w:val="none" w:sz="0" w:space="0" w:color="auto"/>
                <w:right w:val="none" w:sz="0" w:space="0" w:color="auto"/>
              </w:divBdr>
            </w:div>
            <w:div w:id="1093087196">
              <w:marLeft w:val="0"/>
              <w:marRight w:val="0"/>
              <w:marTop w:val="120"/>
              <w:marBottom w:val="0"/>
              <w:divBdr>
                <w:top w:val="none" w:sz="0" w:space="0" w:color="auto"/>
                <w:left w:val="none" w:sz="0" w:space="0" w:color="auto"/>
                <w:bottom w:val="none" w:sz="0" w:space="0" w:color="auto"/>
                <w:right w:val="none" w:sz="0" w:space="0" w:color="auto"/>
              </w:divBdr>
            </w:div>
          </w:divsChild>
        </w:div>
        <w:div w:id="808859873">
          <w:marLeft w:val="0"/>
          <w:marRight w:val="0"/>
          <w:marTop w:val="0"/>
          <w:marBottom w:val="0"/>
          <w:divBdr>
            <w:top w:val="none" w:sz="0" w:space="0" w:color="auto"/>
            <w:left w:val="none" w:sz="0" w:space="0" w:color="auto"/>
            <w:bottom w:val="none" w:sz="0" w:space="0" w:color="auto"/>
            <w:right w:val="none" w:sz="0" w:space="0" w:color="auto"/>
          </w:divBdr>
          <w:divsChild>
            <w:div w:id="327752874">
              <w:marLeft w:val="0"/>
              <w:marRight w:val="0"/>
              <w:marTop w:val="120"/>
              <w:marBottom w:val="0"/>
              <w:divBdr>
                <w:top w:val="none" w:sz="0" w:space="0" w:color="auto"/>
                <w:left w:val="none" w:sz="0" w:space="0" w:color="auto"/>
                <w:bottom w:val="none" w:sz="0" w:space="0" w:color="auto"/>
                <w:right w:val="none" w:sz="0" w:space="0" w:color="auto"/>
              </w:divBdr>
            </w:div>
            <w:div w:id="608702226">
              <w:marLeft w:val="0"/>
              <w:marRight w:val="0"/>
              <w:marTop w:val="0"/>
              <w:marBottom w:val="0"/>
              <w:divBdr>
                <w:top w:val="none" w:sz="0" w:space="0" w:color="auto"/>
                <w:left w:val="none" w:sz="0" w:space="0" w:color="auto"/>
                <w:bottom w:val="none" w:sz="0" w:space="0" w:color="auto"/>
                <w:right w:val="none" w:sz="0" w:space="0" w:color="auto"/>
              </w:divBdr>
            </w:div>
          </w:divsChild>
        </w:div>
        <w:div w:id="846213376">
          <w:marLeft w:val="0"/>
          <w:marRight w:val="0"/>
          <w:marTop w:val="0"/>
          <w:marBottom w:val="0"/>
          <w:divBdr>
            <w:top w:val="none" w:sz="0" w:space="0" w:color="auto"/>
            <w:left w:val="none" w:sz="0" w:space="0" w:color="auto"/>
            <w:bottom w:val="none" w:sz="0" w:space="0" w:color="auto"/>
            <w:right w:val="none" w:sz="0" w:space="0" w:color="auto"/>
          </w:divBdr>
          <w:divsChild>
            <w:div w:id="1135563610">
              <w:marLeft w:val="0"/>
              <w:marRight w:val="0"/>
              <w:marTop w:val="0"/>
              <w:marBottom w:val="0"/>
              <w:divBdr>
                <w:top w:val="none" w:sz="0" w:space="0" w:color="auto"/>
                <w:left w:val="none" w:sz="0" w:space="0" w:color="auto"/>
                <w:bottom w:val="none" w:sz="0" w:space="0" w:color="auto"/>
                <w:right w:val="none" w:sz="0" w:space="0" w:color="auto"/>
              </w:divBdr>
            </w:div>
            <w:div w:id="1661738962">
              <w:marLeft w:val="0"/>
              <w:marRight w:val="0"/>
              <w:marTop w:val="120"/>
              <w:marBottom w:val="0"/>
              <w:divBdr>
                <w:top w:val="none" w:sz="0" w:space="0" w:color="auto"/>
                <w:left w:val="none" w:sz="0" w:space="0" w:color="auto"/>
                <w:bottom w:val="none" w:sz="0" w:space="0" w:color="auto"/>
                <w:right w:val="none" w:sz="0" w:space="0" w:color="auto"/>
              </w:divBdr>
            </w:div>
          </w:divsChild>
        </w:div>
        <w:div w:id="998926143">
          <w:marLeft w:val="0"/>
          <w:marRight w:val="0"/>
          <w:marTop w:val="0"/>
          <w:marBottom w:val="0"/>
          <w:divBdr>
            <w:top w:val="none" w:sz="0" w:space="0" w:color="auto"/>
            <w:left w:val="none" w:sz="0" w:space="0" w:color="auto"/>
            <w:bottom w:val="none" w:sz="0" w:space="0" w:color="auto"/>
            <w:right w:val="none" w:sz="0" w:space="0" w:color="auto"/>
          </w:divBdr>
          <w:divsChild>
            <w:div w:id="14811281">
              <w:marLeft w:val="0"/>
              <w:marRight w:val="0"/>
              <w:marTop w:val="0"/>
              <w:marBottom w:val="0"/>
              <w:divBdr>
                <w:top w:val="none" w:sz="0" w:space="0" w:color="auto"/>
                <w:left w:val="none" w:sz="0" w:space="0" w:color="auto"/>
                <w:bottom w:val="none" w:sz="0" w:space="0" w:color="auto"/>
                <w:right w:val="none" w:sz="0" w:space="0" w:color="auto"/>
              </w:divBdr>
            </w:div>
            <w:div w:id="1673334722">
              <w:marLeft w:val="0"/>
              <w:marRight w:val="0"/>
              <w:marTop w:val="120"/>
              <w:marBottom w:val="0"/>
              <w:divBdr>
                <w:top w:val="none" w:sz="0" w:space="0" w:color="auto"/>
                <w:left w:val="none" w:sz="0" w:space="0" w:color="auto"/>
                <w:bottom w:val="none" w:sz="0" w:space="0" w:color="auto"/>
                <w:right w:val="none" w:sz="0" w:space="0" w:color="auto"/>
              </w:divBdr>
            </w:div>
          </w:divsChild>
        </w:div>
        <w:div w:id="1138961560">
          <w:marLeft w:val="0"/>
          <w:marRight w:val="0"/>
          <w:marTop w:val="0"/>
          <w:marBottom w:val="0"/>
          <w:divBdr>
            <w:top w:val="none" w:sz="0" w:space="0" w:color="auto"/>
            <w:left w:val="none" w:sz="0" w:space="0" w:color="auto"/>
            <w:bottom w:val="none" w:sz="0" w:space="0" w:color="auto"/>
            <w:right w:val="none" w:sz="0" w:space="0" w:color="auto"/>
          </w:divBdr>
          <w:divsChild>
            <w:div w:id="713775581">
              <w:marLeft w:val="0"/>
              <w:marRight w:val="0"/>
              <w:marTop w:val="120"/>
              <w:marBottom w:val="0"/>
              <w:divBdr>
                <w:top w:val="none" w:sz="0" w:space="0" w:color="auto"/>
                <w:left w:val="none" w:sz="0" w:space="0" w:color="auto"/>
                <w:bottom w:val="none" w:sz="0" w:space="0" w:color="auto"/>
                <w:right w:val="none" w:sz="0" w:space="0" w:color="auto"/>
              </w:divBdr>
            </w:div>
            <w:div w:id="1931306273">
              <w:marLeft w:val="0"/>
              <w:marRight w:val="0"/>
              <w:marTop w:val="0"/>
              <w:marBottom w:val="0"/>
              <w:divBdr>
                <w:top w:val="none" w:sz="0" w:space="0" w:color="auto"/>
                <w:left w:val="none" w:sz="0" w:space="0" w:color="auto"/>
                <w:bottom w:val="none" w:sz="0" w:space="0" w:color="auto"/>
                <w:right w:val="none" w:sz="0" w:space="0" w:color="auto"/>
              </w:divBdr>
              <w:divsChild>
                <w:div w:id="387730730">
                  <w:marLeft w:val="0"/>
                  <w:marRight w:val="0"/>
                  <w:marTop w:val="0"/>
                  <w:marBottom w:val="0"/>
                  <w:divBdr>
                    <w:top w:val="none" w:sz="0" w:space="0" w:color="auto"/>
                    <w:left w:val="none" w:sz="0" w:space="0" w:color="auto"/>
                    <w:bottom w:val="none" w:sz="0" w:space="0" w:color="auto"/>
                    <w:right w:val="none" w:sz="0" w:space="0" w:color="auto"/>
                  </w:divBdr>
                  <w:divsChild>
                    <w:div w:id="1439713795">
                      <w:marLeft w:val="0"/>
                      <w:marRight w:val="0"/>
                      <w:marTop w:val="120"/>
                      <w:marBottom w:val="0"/>
                      <w:divBdr>
                        <w:top w:val="none" w:sz="0" w:space="0" w:color="auto"/>
                        <w:left w:val="none" w:sz="0" w:space="0" w:color="auto"/>
                        <w:bottom w:val="none" w:sz="0" w:space="0" w:color="auto"/>
                        <w:right w:val="none" w:sz="0" w:space="0" w:color="auto"/>
                      </w:divBdr>
                    </w:div>
                    <w:div w:id="1857035924">
                      <w:marLeft w:val="0"/>
                      <w:marRight w:val="0"/>
                      <w:marTop w:val="0"/>
                      <w:marBottom w:val="0"/>
                      <w:divBdr>
                        <w:top w:val="none" w:sz="0" w:space="0" w:color="auto"/>
                        <w:left w:val="none" w:sz="0" w:space="0" w:color="auto"/>
                        <w:bottom w:val="none" w:sz="0" w:space="0" w:color="auto"/>
                        <w:right w:val="none" w:sz="0" w:space="0" w:color="auto"/>
                      </w:divBdr>
                    </w:div>
                  </w:divsChild>
                </w:div>
                <w:div w:id="1564608413">
                  <w:marLeft w:val="0"/>
                  <w:marRight w:val="0"/>
                  <w:marTop w:val="0"/>
                  <w:marBottom w:val="0"/>
                  <w:divBdr>
                    <w:top w:val="none" w:sz="0" w:space="0" w:color="auto"/>
                    <w:left w:val="none" w:sz="0" w:space="0" w:color="auto"/>
                    <w:bottom w:val="none" w:sz="0" w:space="0" w:color="auto"/>
                    <w:right w:val="none" w:sz="0" w:space="0" w:color="auto"/>
                  </w:divBdr>
                  <w:divsChild>
                    <w:div w:id="66920208">
                      <w:marLeft w:val="0"/>
                      <w:marRight w:val="0"/>
                      <w:marTop w:val="120"/>
                      <w:marBottom w:val="0"/>
                      <w:divBdr>
                        <w:top w:val="none" w:sz="0" w:space="0" w:color="auto"/>
                        <w:left w:val="none" w:sz="0" w:space="0" w:color="auto"/>
                        <w:bottom w:val="none" w:sz="0" w:space="0" w:color="auto"/>
                        <w:right w:val="none" w:sz="0" w:space="0" w:color="auto"/>
                      </w:divBdr>
                    </w:div>
                    <w:div w:id="662246921">
                      <w:marLeft w:val="0"/>
                      <w:marRight w:val="0"/>
                      <w:marTop w:val="0"/>
                      <w:marBottom w:val="0"/>
                      <w:divBdr>
                        <w:top w:val="none" w:sz="0" w:space="0" w:color="auto"/>
                        <w:left w:val="none" w:sz="0" w:space="0" w:color="auto"/>
                        <w:bottom w:val="none" w:sz="0" w:space="0" w:color="auto"/>
                        <w:right w:val="none" w:sz="0" w:space="0" w:color="auto"/>
                      </w:divBdr>
                    </w:div>
                  </w:divsChild>
                </w:div>
                <w:div w:id="1860191509">
                  <w:marLeft w:val="0"/>
                  <w:marRight w:val="0"/>
                  <w:marTop w:val="0"/>
                  <w:marBottom w:val="0"/>
                  <w:divBdr>
                    <w:top w:val="none" w:sz="0" w:space="0" w:color="auto"/>
                    <w:left w:val="none" w:sz="0" w:space="0" w:color="auto"/>
                    <w:bottom w:val="none" w:sz="0" w:space="0" w:color="auto"/>
                    <w:right w:val="none" w:sz="0" w:space="0" w:color="auto"/>
                  </w:divBdr>
                  <w:divsChild>
                    <w:div w:id="398484706">
                      <w:marLeft w:val="0"/>
                      <w:marRight w:val="0"/>
                      <w:marTop w:val="120"/>
                      <w:marBottom w:val="0"/>
                      <w:divBdr>
                        <w:top w:val="none" w:sz="0" w:space="0" w:color="auto"/>
                        <w:left w:val="none" w:sz="0" w:space="0" w:color="auto"/>
                        <w:bottom w:val="none" w:sz="0" w:space="0" w:color="auto"/>
                        <w:right w:val="none" w:sz="0" w:space="0" w:color="auto"/>
                      </w:divBdr>
                    </w:div>
                    <w:div w:id="13110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2180">
          <w:marLeft w:val="0"/>
          <w:marRight w:val="0"/>
          <w:marTop w:val="0"/>
          <w:marBottom w:val="0"/>
          <w:divBdr>
            <w:top w:val="none" w:sz="0" w:space="0" w:color="auto"/>
            <w:left w:val="none" w:sz="0" w:space="0" w:color="auto"/>
            <w:bottom w:val="none" w:sz="0" w:space="0" w:color="auto"/>
            <w:right w:val="none" w:sz="0" w:space="0" w:color="auto"/>
          </w:divBdr>
          <w:divsChild>
            <w:div w:id="458500965">
              <w:marLeft w:val="0"/>
              <w:marRight w:val="0"/>
              <w:marTop w:val="0"/>
              <w:marBottom w:val="0"/>
              <w:divBdr>
                <w:top w:val="none" w:sz="0" w:space="0" w:color="auto"/>
                <w:left w:val="none" w:sz="0" w:space="0" w:color="auto"/>
                <w:bottom w:val="none" w:sz="0" w:space="0" w:color="auto"/>
                <w:right w:val="none" w:sz="0" w:space="0" w:color="auto"/>
              </w:divBdr>
            </w:div>
            <w:div w:id="206813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4329420">
      <w:bodyDiv w:val="1"/>
      <w:marLeft w:val="0"/>
      <w:marRight w:val="0"/>
      <w:marTop w:val="0"/>
      <w:marBottom w:val="0"/>
      <w:divBdr>
        <w:top w:val="none" w:sz="0" w:space="0" w:color="auto"/>
        <w:left w:val="none" w:sz="0" w:space="0" w:color="auto"/>
        <w:bottom w:val="none" w:sz="0" w:space="0" w:color="auto"/>
        <w:right w:val="none" w:sz="0" w:space="0" w:color="auto"/>
      </w:divBdr>
      <w:divsChild>
        <w:div w:id="1812864076">
          <w:marLeft w:val="0"/>
          <w:marRight w:val="0"/>
          <w:marTop w:val="0"/>
          <w:marBottom w:val="0"/>
          <w:divBdr>
            <w:top w:val="none" w:sz="0" w:space="0" w:color="auto"/>
            <w:left w:val="none" w:sz="0" w:space="0" w:color="auto"/>
            <w:bottom w:val="none" w:sz="0" w:space="0" w:color="auto"/>
            <w:right w:val="none" w:sz="0" w:space="0" w:color="auto"/>
          </w:divBdr>
        </w:div>
      </w:divsChild>
    </w:div>
    <w:div w:id="724909872">
      <w:bodyDiv w:val="1"/>
      <w:marLeft w:val="0"/>
      <w:marRight w:val="0"/>
      <w:marTop w:val="0"/>
      <w:marBottom w:val="0"/>
      <w:divBdr>
        <w:top w:val="none" w:sz="0" w:space="0" w:color="auto"/>
        <w:left w:val="none" w:sz="0" w:space="0" w:color="auto"/>
        <w:bottom w:val="none" w:sz="0" w:space="0" w:color="auto"/>
        <w:right w:val="none" w:sz="0" w:space="0" w:color="auto"/>
      </w:divBdr>
      <w:divsChild>
        <w:div w:id="557977392">
          <w:marLeft w:val="0"/>
          <w:marRight w:val="0"/>
          <w:marTop w:val="0"/>
          <w:marBottom w:val="0"/>
          <w:divBdr>
            <w:top w:val="none" w:sz="0" w:space="0" w:color="auto"/>
            <w:left w:val="none" w:sz="0" w:space="0" w:color="auto"/>
            <w:bottom w:val="none" w:sz="0" w:space="0" w:color="auto"/>
            <w:right w:val="none" w:sz="0" w:space="0" w:color="auto"/>
          </w:divBdr>
          <w:divsChild>
            <w:div w:id="349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7603">
      <w:bodyDiv w:val="1"/>
      <w:marLeft w:val="0"/>
      <w:marRight w:val="0"/>
      <w:marTop w:val="0"/>
      <w:marBottom w:val="0"/>
      <w:divBdr>
        <w:top w:val="none" w:sz="0" w:space="0" w:color="auto"/>
        <w:left w:val="none" w:sz="0" w:space="0" w:color="auto"/>
        <w:bottom w:val="none" w:sz="0" w:space="0" w:color="auto"/>
        <w:right w:val="none" w:sz="0" w:space="0" w:color="auto"/>
      </w:divBdr>
      <w:divsChild>
        <w:div w:id="1428035930">
          <w:marLeft w:val="0"/>
          <w:marRight w:val="0"/>
          <w:marTop w:val="0"/>
          <w:marBottom w:val="0"/>
          <w:divBdr>
            <w:top w:val="none" w:sz="0" w:space="0" w:color="auto"/>
            <w:left w:val="none" w:sz="0" w:space="0" w:color="auto"/>
            <w:bottom w:val="none" w:sz="0" w:space="0" w:color="auto"/>
            <w:right w:val="none" w:sz="0" w:space="0" w:color="auto"/>
          </w:divBdr>
          <w:divsChild>
            <w:div w:id="1103959960">
              <w:marLeft w:val="0"/>
              <w:marRight w:val="0"/>
              <w:marTop w:val="0"/>
              <w:marBottom w:val="0"/>
              <w:divBdr>
                <w:top w:val="none" w:sz="0" w:space="0" w:color="auto"/>
                <w:left w:val="none" w:sz="0" w:space="0" w:color="auto"/>
                <w:bottom w:val="none" w:sz="0" w:space="0" w:color="auto"/>
                <w:right w:val="none" w:sz="0" w:space="0" w:color="auto"/>
              </w:divBdr>
              <w:divsChild>
                <w:div w:id="532307060">
                  <w:marLeft w:val="0"/>
                  <w:marRight w:val="0"/>
                  <w:marTop w:val="120"/>
                  <w:marBottom w:val="0"/>
                  <w:divBdr>
                    <w:top w:val="none" w:sz="0" w:space="0" w:color="auto"/>
                    <w:left w:val="none" w:sz="0" w:space="0" w:color="auto"/>
                    <w:bottom w:val="none" w:sz="0" w:space="0" w:color="auto"/>
                    <w:right w:val="none" w:sz="0" w:space="0" w:color="auto"/>
                  </w:divBdr>
                </w:div>
                <w:div w:id="1995719116">
                  <w:marLeft w:val="0"/>
                  <w:marRight w:val="0"/>
                  <w:marTop w:val="0"/>
                  <w:marBottom w:val="0"/>
                  <w:divBdr>
                    <w:top w:val="none" w:sz="0" w:space="0" w:color="auto"/>
                    <w:left w:val="none" w:sz="0" w:space="0" w:color="auto"/>
                    <w:bottom w:val="none" w:sz="0" w:space="0" w:color="auto"/>
                    <w:right w:val="none" w:sz="0" w:space="0" w:color="auto"/>
                  </w:divBdr>
                </w:div>
              </w:divsChild>
            </w:div>
            <w:div w:id="607933294">
              <w:marLeft w:val="0"/>
              <w:marRight w:val="0"/>
              <w:marTop w:val="0"/>
              <w:marBottom w:val="0"/>
              <w:divBdr>
                <w:top w:val="none" w:sz="0" w:space="0" w:color="auto"/>
                <w:left w:val="none" w:sz="0" w:space="0" w:color="auto"/>
                <w:bottom w:val="none" w:sz="0" w:space="0" w:color="auto"/>
                <w:right w:val="none" w:sz="0" w:space="0" w:color="auto"/>
              </w:divBdr>
              <w:divsChild>
                <w:div w:id="696542125">
                  <w:marLeft w:val="0"/>
                  <w:marRight w:val="0"/>
                  <w:marTop w:val="120"/>
                  <w:marBottom w:val="0"/>
                  <w:divBdr>
                    <w:top w:val="none" w:sz="0" w:space="0" w:color="auto"/>
                    <w:left w:val="none" w:sz="0" w:space="0" w:color="auto"/>
                    <w:bottom w:val="none" w:sz="0" w:space="0" w:color="auto"/>
                    <w:right w:val="none" w:sz="0" w:space="0" w:color="auto"/>
                  </w:divBdr>
                </w:div>
                <w:div w:id="2879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8071">
      <w:bodyDiv w:val="1"/>
      <w:marLeft w:val="0"/>
      <w:marRight w:val="0"/>
      <w:marTop w:val="0"/>
      <w:marBottom w:val="0"/>
      <w:divBdr>
        <w:top w:val="none" w:sz="0" w:space="0" w:color="auto"/>
        <w:left w:val="none" w:sz="0" w:space="0" w:color="auto"/>
        <w:bottom w:val="none" w:sz="0" w:space="0" w:color="auto"/>
        <w:right w:val="none" w:sz="0" w:space="0" w:color="auto"/>
      </w:divBdr>
      <w:divsChild>
        <w:div w:id="2105227963">
          <w:marLeft w:val="0"/>
          <w:marRight w:val="0"/>
          <w:marTop w:val="0"/>
          <w:marBottom w:val="0"/>
          <w:divBdr>
            <w:top w:val="none" w:sz="0" w:space="0" w:color="auto"/>
            <w:left w:val="none" w:sz="0" w:space="0" w:color="auto"/>
            <w:bottom w:val="none" w:sz="0" w:space="0" w:color="auto"/>
            <w:right w:val="none" w:sz="0" w:space="0" w:color="auto"/>
          </w:divBdr>
          <w:divsChild>
            <w:div w:id="14157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2904">
      <w:bodyDiv w:val="1"/>
      <w:marLeft w:val="0"/>
      <w:marRight w:val="0"/>
      <w:marTop w:val="0"/>
      <w:marBottom w:val="0"/>
      <w:divBdr>
        <w:top w:val="none" w:sz="0" w:space="0" w:color="auto"/>
        <w:left w:val="none" w:sz="0" w:space="0" w:color="auto"/>
        <w:bottom w:val="none" w:sz="0" w:space="0" w:color="auto"/>
        <w:right w:val="none" w:sz="0" w:space="0" w:color="auto"/>
      </w:divBdr>
      <w:divsChild>
        <w:div w:id="2057464497">
          <w:marLeft w:val="0"/>
          <w:marRight w:val="0"/>
          <w:marTop w:val="0"/>
          <w:marBottom w:val="0"/>
          <w:divBdr>
            <w:top w:val="none" w:sz="0" w:space="0" w:color="auto"/>
            <w:left w:val="none" w:sz="0" w:space="0" w:color="auto"/>
            <w:bottom w:val="none" w:sz="0" w:space="0" w:color="auto"/>
            <w:right w:val="none" w:sz="0" w:space="0" w:color="auto"/>
          </w:divBdr>
        </w:div>
      </w:divsChild>
    </w:div>
    <w:div w:id="752435696">
      <w:bodyDiv w:val="1"/>
      <w:marLeft w:val="0"/>
      <w:marRight w:val="0"/>
      <w:marTop w:val="0"/>
      <w:marBottom w:val="0"/>
      <w:divBdr>
        <w:top w:val="none" w:sz="0" w:space="0" w:color="auto"/>
        <w:left w:val="none" w:sz="0" w:space="0" w:color="auto"/>
        <w:bottom w:val="none" w:sz="0" w:space="0" w:color="auto"/>
        <w:right w:val="none" w:sz="0" w:space="0" w:color="auto"/>
      </w:divBdr>
    </w:div>
    <w:div w:id="759446091">
      <w:bodyDiv w:val="1"/>
      <w:marLeft w:val="0"/>
      <w:marRight w:val="0"/>
      <w:marTop w:val="0"/>
      <w:marBottom w:val="0"/>
      <w:divBdr>
        <w:top w:val="none" w:sz="0" w:space="0" w:color="auto"/>
        <w:left w:val="none" w:sz="0" w:space="0" w:color="auto"/>
        <w:bottom w:val="none" w:sz="0" w:space="0" w:color="auto"/>
        <w:right w:val="none" w:sz="0" w:space="0" w:color="auto"/>
      </w:divBdr>
      <w:divsChild>
        <w:div w:id="650986235">
          <w:marLeft w:val="0"/>
          <w:marRight w:val="0"/>
          <w:marTop w:val="0"/>
          <w:marBottom w:val="0"/>
          <w:divBdr>
            <w:top w:val="none" w:sz="0" w:space="0" w:color="auto"/>
            <w:left w:val="none" w:sz="0" w:space="0" w:color="auto"/>
            <w:bottom w:val="none" w:sz="0" w:space="0" w:color="auto"/>
            <w:right w:val="none" w:sz="0" w:space="0" w:color="auto"/>
          </w:divBdr>
          <w:divsChild>
            <w:div w:id="21271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9163">
      <w:bodyDiv w:val="1"/>
      <w:marLeft w:val="0"/>
      <w:marRight w:val="0"/>
      <w:marTop w:val="0"/>
      <w:marBottom w:val="0"/>
      <w:divBdr>
        <w:top w:val="none" w:sz="0" w:space="0" w:color="auto"/>
        <w:left w:val="none" w:sz="0" w:space="0" w:color="auto"/>
        <w:bottom w:val="none" w:sz="0" w:space="0" w:color="auto"/>
        <w:right w:val="none" w:sz="0" w:space="0" w:color="auto"/>
      </w:divBdr>
    </w:div>
    <w:div w:id="769744252">
      <w:bodyDiv w:val="1"/>
      <w:marLeft w:val="0"/>
      <w:marRight w:val="0"/>
      <w:marTop w:val="0"/>
      <w:marBottom w:val="0"/>
      <w:divBdr>
        <w:top w:val="none" w:sz="0" w:space="0" w:color="auto"/>
        <w:left w:val="none" w:sz="0" w:space="0" w:color="auto"/>
        <w:bottom w:val="none" w:sz="0" w:space="0" w:color="auto"/>
        <w:right w:val="none" w:sz="0" w:space="0" w:color="auto"/>
      </w:divBdr>
    </w:div>
    <w:div w:id="773136481">
      <w:bodyDiv w:val="1"/>
      <w:marLeft w:val="0"/>
      <w:marRight w:val="0"/>
      <w:marTop w:val="0"/>
      <w:marBottom w:val="0"/>
      <w:divBdr>
        <w:top w:val="none" w:sz="0" w:space="0" w:color="auto"/>
        <w:left w:val="none" w:sz="0" w:space="0" w:color="auto"/>
        <w:bottom w:val="none" w:sz="0" w:space="0" w:color="auto"/>
        <w:right w:val="none" w:sz="0" w:space="0" w:color="auto"/>
      </w:divBdr>
      <w:divsChild>
        <w:div w:id="417018971">
          <w:marLeft w:val="0"/>
          <w:marRight w:val="0"/>
          <w:marTop w:val="0"/>
          <w:marBottom w:val="0"/>
          <w:divBdr>
            <w:top w:val="none" w:sz="0" w:space="0" w:color="auto"/>
            <w:left w:val="none" w:sz="0" w:space="0" w:color="auto"/>
            <w:bottom w:val="none" w:sz="0" w:space="0" w:color="auto"/>
            <w:right w:val="none" w:sz="0" w:space="0" w:color="auto"/>
          </w:divBdr>
          <w:divsChild>
            <w:div w:id="393436087">
              <w:marLeft w:val="0"/>
              <w:marRight w:val="0"/>
              <w:marTop w:val="0"/>
              <w:marBottom w:val="0"/>
              <w:divBdr>
                <w:top w:val="none" w:sz="0" w:space="0" w:color="auto"/>
                <w:left w:val="none" w:sz="0" w:space="0" w:color="auto"/>
                <w:bottom w:val="none" w:sz="0" w:space="0" w:color="auto"/>
                <w:right w:val="none" w:sz="0" w:space="0" w:color="auto"/>
              </w:divBdr>
              <w:divsChild>
                <w:div w:id="1046366954">
                  <w:marLeft w:val="0"/>
                  <w:marRight w:val="0"/>
                  <w:marTop w:val="0"/>
                  <w:marBottom w:val="0"/>
                  <w:divBdr>
                    <w:top w:val="none" w:sz="0" w:space="0" w:color="auto"/>
                    <w:left w:val="none" w:sz="0" w:space="0" w:color="auto"/>
                    <w:bottom w:val="none" w:sz="0" w:space="0" w:color="auto"/>
                    <w:right w:val="none" w:sz="0" w:space="0" w:color="auto"/>
                  </w:divBdr>
                </w:div>
                <w:div w:id="1701734899">
                  <w:marLeft w:val="0"/>
                  <w:marRight w:val="0"/>
                  <w:marTop w:val="120"/>
                  <w:marBottom w:val="0"/>
                  <w:divBdr>
                    <w:top w:val="none" w:sz="0" w:space="0" w:color="auto"/>
                    <w:left w:val="none" w:sz="0" w:space="0" w:color="auto"/>
                    <w:bottom w:val="none" w:sz="0" w:space="0" w:color="auto"/>
                    <w:right w:val="none" w:sz="0" w:space="0" w:color="auto"/>
                  </w:divBdr>
                </w:div>
              </w:divsChild>
            </w:div>
            <w:div w:id="975449107">
              <w:marLeft w:val="0"/>
              <w:marRight w:val="0"/>
              <w:marTop w:val="0"/>
              <w:marBottom w:val="0"/>
              <w:divBdr>
                <w:top w:val="none" w:sz="0" w:space="0" w:color="auto"/>
                <w:left w:val="none" w:sz="0" w:space="0" w:color="auto"/>
                <w:bottom w:val="none" w:sz="0" w:space="0" w:color="auto"/>
                <w:right w:val="none" w:sz="0" w:space="0" w:color="auto"/>
              </w:divBdr>
              <w:divsChild>
                <w:div w:id="1444308035">
                  <w:marLeft w:val="0"/>
                  <w:marRight w:val="0"/>
                  <w:marTop w:val="120"/>
                  <w:marBottom w:val="0"/>
                  <w:divBdr>
                    <w:top w:val="none" w:sz="0" w:space="0" w:color="auto"/>
                    <w:left w:val="none" w:sz="0" w:space="0" w:color="auto"/>
                    <w:bottom w:val="none" w:sz="0" w:space="0" w:color="auto"/>
                    <w:right w:val="none" w:sz="0" w:space="0" w:color="auto"/>
                  </w:divBdr>
                </w:div>
                <w:div w:id="1682049777">
                  <w:marLeft w:val="0"/>
                  <w:marRight w:val="0"/>
                  <w:marTop w:val="0"/>
                  <w:marBottom w:val="0"/>
                  <w:divBdr>
                    <w:top w:val="none" w:sz="0" w:space="0" w:color="auto"/>
                    <w:left w:val="none" w:sz="0" w:space="0" w:color="auto"/>
                    <w:bottom w:val="none" w:sz="0" w:space="0" w:color="auto"/>
                    <w:right w:val="none" w:sz="0" w:space="0" w:color="auto"/>
                  </w:divBdr>
                  <w:divsChild>
                    <w:div w:id="784890961">
                      <w:marLeft w:val="0"/>
                      <w:marRight w:val="0"/>
                      <w:marTop w:val="0"/>
                      <w:marBottom w:val="0"/>
                      <w:divBdr>
                        <w:top w:val="none" w:sz="0" w:space="0" w:color="auto"/>
                        <w:left w:val="none" w:sz="0" w:space="0" w:color="auto"/>
                        <w:bottom w:val="none" w:sz="0" w:space="0" w:color="auto"/>
                        <w:right w:val="none" w:sz="0" w:space="0" w:color="auto"/>
                      </w:divBdr>
                      <w:divsChild>
                        <w:div w:id="1248886585">
                          <w:marLeft w:val="0"/>
                          <w:marRight w:val="0"/>
                          <w:marTop w:val="120"/>
                          <w:marBottom w:val="0"/>
                          <w:divBdr>
                            <w:top w:val="none" w:sz="0" w:space="0" w:color="auto"/>
                            <w:left w:val="none" w:sz="0" w:space="0" w:color="auto"/>
                            <w:bottom w:val="none" w:sz="0" w:space="0" w:color="auto"/>
                            <w:right w:val="none" w:sz="0" w:space="0" w:color="auto"/>
                          </w:divBdr>
                        </w:div>
                        <w:div w:id="1599411076">
                          <w:marLeft w:val="0"/>
                          <w:marRight w:val="0"/>
                          <w:marTop w:val="0"/>
                          <w:marBottom w:val="0"/>
                          <w:divBdr>
                            <w:top w:val="none" w:sz="0" w:space="0" w:color="auto"/>
                            <w:left w:val="none" w:sz="0" w:space="0" w:color="auto"/>
                            <w:bottom w:val="none" w:sz="0" w:space="0" w:color="auto"/>
                            <w:right w:val="none" w:sz="0" w:space="0" w:color="auto"/>
                          </w:divBdr>
                        </w:div>
                      </w:divsChild>
                    </w:div>
                    <w:div w:id="1792939632">
                      <w:marLeft w:val="0"/>
                      <w:marRight w:val="0"/>
                      <w:marTop w:val="0"/>
                      <w:marBottom w:val="0"/>
                      <w:divBdr>
                        <w:top w:val="none" w:sz="0" w:space="0" w:color="auto"/>
                        <w:left w:val="none" w:sz="0" w:space="0" w:color="auto"/>
                        <w:bottom w:val="none" w:sz="0" w:space="0" w:color="auto"/>
                        <w:right w:val="none" w:sz="0" w:space="0" w:color="auto"/>
                      </w:divBdr>
                      <w:divsChild>
                        <w:div w:id="173304396">
                          <w:marLeft w:val="0"/>
                          <w:marRight w:val="0"/>
                          <w:marTop w:val="120"/>
                          <w:marBottom w:val="0"/>
                          <w:divBdr>
                            <w:top w:val="none" w:sz="0" w:space="0" w:color="auto"/>
                            <w:left w:val="none" w:sz="0" w:space="0" w:color="auto"/>
                            <w:bottom w:val="none" w:sz="0" w:space="0" w:color="auto"/>
                            <w:right w:val="none" w:sz="0" w:space="0" w:color="auto"/>
                          </w:divBdr>
                        </w:div>
                        <w:div w:id="3646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208">
              <w:marLeft w:val="0"/>
              <w:marRight w:val="0"/>
              <w:marTop w:val="0"/>
              <w:marBottom w:val="0"/>
              <w:divBdr>
                <w:top w:val="none" w:sz="0" w:space="0" w:color="auto"/>
                <w:left w:val="none" w:sz="0" w:space="0" w:color="auto"/>
                <w:bottom w:val="none" w:sz="0" w:space="0" w:color="auto"/>
                <w:right w:val="none" w:sz="0" w:space="0" w:color="auto"/>
              </w:divBdr>
              <w:divsChild>
                <w:div w:id="1123771528">
                  <w:marLeft w:val="0"/>
                  <w:marRight w:val="0"/>
                  <w:marTop w:val="0"/>
                  <w:marBottom w:val="0"/>
                  <w:divBdr>
                    <w:top w:val="none" w:sz="0" w:space="0" w:color="auto"/>
                    <w:left w:val="none" w:sz="0" w:space="0" w:color="auto"/>
                    <w:bottom w:val="none" w:sz="0" w:space="0" w:color="auto"/>
                    <w:right w:val="none" w:sz="0" w:space="0" w:color="auto"/>
                  </w:divBdr>
                </w:div>
                <w:div w:id="16154064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39537979">
      <w:bodyDiv w:val="1"/>
      <w:marLeft w:val="0"/>
      <w:marRight w:val="0"/>
      <w:marTop w:val="0"/>
      <w:marBottom w:val="0"/>
      <w:divBdr>
        <w:top w:val="none" w:sz="0" w:space="0" w:color="auto"/>
        <w:left w:val="none" w:sz="0" w:space="0" w:color="auto"/>
        <w:bottom w:val="none" w:sz="0" w:space="0" w:color="auto"/>
        <w:right w:val="none" w:sz="0" w:space="0" w:color="auto"/>
      </w:divBdr>
    </w:div>
    <w:div w:id="839546929">
      <w:bodyDiv w:val="1"/>
      <w:marLeft w:val="0"/>
      <w:marRight w:val="0"/>
      <w:marTop w:val="0"/>
      <w:marBottom w:val="0"/>
      <w:divBdr>
        <w:top w:val="none" w:sz="0" w:space="0" w:color="auto"/>
        <w:left w:val="none" w:sz="0" w:space="0" w:color="auto"/>
        <w:bottom w:val="none" w:sz="0" w:space="0" w:color="auto"/>
        <w:right w:val="none" w:sz="0" w:space="0" w:color="auto"/>
      </w:divBdr>
      <w:divsChild>
        <w:div w:id="898399686">
          <w:marLeft w:val="0"/>
          <w:marRight w:val="0"/>
          <w:marTop w:val="0"/>
          <w:marBottom w:val="0"/>
          <w:divBdr>
            <w:top w:val="none" w:sz="0" w:space="0" w:color="auto"/>
            <w:left w:val="none" w:sz="0" w:space="0" w:color="auto"/>
            <w:bottom w:val="none" w:sz="0" w:space="0" w:color="auto"/>
            <w:right w:val="none" w:sz="0" w:space="0" w:color="auto"/>
          </w:divBdr>
          <w:divsChild>
            <w:div w:id="7564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5455">
      <w:bodyDiv w:val="1"/>
      <w:marLeft w:val="0"/>
      <w:marRight w:val="0"/>
      <w:marTop w:val="0"/>
      <w:marBottom w:val="0"/>
      <w:divBdr>
        <w:top w:val="none" w:sz="0" w:space="0" w:color="auto"/>
        <w:left w:val="none" w:sz="0" w:space="0" w:color="auto"/>
        <w:bottom w:val="none" w:sz="0" w:space="0" w:color="auto"/>
        <w:right w:val="none" w:sz="0" w:space="0" w:color="auto"/>
      </w:divBdr>
    </w:div>
    <w:div w:id="852500478">
      <w:bodyDiv w:val="1"/>
      <w:marLeft w:val="0"/>
      <w:marRight w:val="0"/>
      <w:marTop w:val="0"/>
      <w:marBottom w:val="0"/>
      <w:divBdr>
        <w:top w:val="none" w:sz="0" w:space="0" w:color="auto"/>
        <w:left w:val="none" w:sz="0" w:space="0" w:color="auto"/>
        <w:bottom w:val="none" w:sz="0" w:space="0" w:color="auto"/>
        <w:right w:val="none" w:sz="0" w:space="0" w:color="auto"/>
      </w:divBdr>
    </w:div>
    <w:div w:id="859587232">
      <w:bodyDiv w:val="1"/>
      <w:marLeft w:val="0"/>
      <w:marRight w:val="0"/>
      <w:marTop w:val="0"/>
      <w:marBottom w:val="0"/>
      <w:divBdr>
        <w:top w:val="none" w:sz="0" w:space="0" w:color="auto"/>
        <w:left w:val="none" w:sz="0" w:space="0" w:color="auto"/>
        <w:bottom w:val="none" w:sz="0" w:space="0" w:color="auto"/>
        <w:right w:val="none" w:sz="0" w:space="0" w:color="auto"/>
      </w:divBdr>
    </w:div>
    <w:div w:id="868642807">
      <w:bodyDiv w:val="1"/>
      <w:marLeft w:val="0"/>
      <w:marRight w:val="0"/>
      <w:marTop w:val="0"/>
      <w:marBottom w:val="0"/>
      <w:divBdr>
        <w:top w:val="none" w:sz="0" w:space="0" w:color="auto"/>
        <w:left w:val="none" w:sz="0" w:space="0" w:color="auto"/>
        <w:bottom w:val="none" w:sz="0" w:space="0" w:color="auto"/>
        <w:right w:val="none" w:sz="0" w:space="0" w:color="auto"/>
      </w:divBdr>
    </w:div>
    <w:div w:id="870148747">
      <w:bodyDiv w:val="1"/>
      <w:marLeft w:val="0"/>
      <w:marRight w:val="0"/>
      <w:marTop w:val="0"/>
      <w:marBottom w:val="0"/>
      <w:divBdr>
        <w:top w:val="none" w:sz="0" w:space="0" w:color="auto"/>
        <w:left w:val="none" w:sz="0" w:space="0" w:color="auto"/>
        <w:bottom w:val="none" w:sz="0" w:space="0" w:color="auto"/>
        <w:right w:val="none" w:sz="0" w:space="0" w:color="auto"/>
      </w:divBdr>
    </w:div>
    <w:div w:id="874268463">
      <w:bodyDiv w:val="1"/>
      <w:marLeft w:val="0"/>
      <w:marRight w:val="0"/>
      <w:marTop w:val="0"/>
      <w:marBottom w:val="0"/>
      <w:divBdr>
        <w:top w:val="none" w:sz="0" w:space="0" w:color="auto"/>
        <w:left w:val="none" w:sz="0" w:space="0" w:color="auto"/>
        <w:bottom w:val="none" w:sz="0" w:space="0" w:color="auto"/>
        <w:right w:val="none" w:sz="0" w:space="0" w:color="auto"/>
      </w:divBdr>
      <w:divsChild>
        <w:div w:id="834296689">
          <w:marLeft w:val="0"/>
          <w:marRight w:val="0"/>
          <w:marTop w:val="0"/>
          <w:marBottom w:val="0"/>
          <w:divBdr>
            <w:top w:val="none" w:sz="0" w:space="0" w:color="auto"/>
            <w:left w:val="none" w:sz="0" w:space="0" w:color="auto"/>
            <w:bottom w:val="none" w:sz="0" w:space="0" w:color="auto"/>
            <w:right w:val="none" w:sz="0" w:space="0" w:color="auto"/>
          </w:divBdr>
          <w:divsChild>
            <w:div w:id="389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4520">
      <w:bodyDiv w:val="1"/>
      <w:marLeft w:val="0"/>
      <w:marRight w:val="0"/>
      <w:marTop w:val="0"/>
      <w:marBottom w:val="0"/>
      <w:divBdr>
        <w:top w:val="none" w:sz="0" w:space="0" w:color="auto"/>
        <w:left w:val="none" w:sz="0" w:space="0" w:color="auto"/>
        <w:bottom w:val="none" w:sz="0" w:space="0" w:color="auto"/>
        <w:right w:val="none" w:sz="0" w:space="0" w:color="auto"/>
      </w:divBdr>
      <w:divsChild>
        <w:div w:id="1443375752">
          <w:marLeft w:val="0"/>
          <w:marRight w:val="0"/>
          <w:marTop w:val="0"/>
          <w:marBottom w:val="0"/>
          <w:divBdr>
            <w:top w:val="none" w:sz="0" w:space="0" w:color="auto"/>
            <w:left w:val="none" w:sz="0" w:space="0" w:color="auto"/>
            <w:bottom w:val="none" w:sz="0" w:space="0" w:color="auto"/>
            <w:right w:val="none" w:sz="0" w:space="0" w:color="auto"/>
          </w:divBdr>
        </w:div>
      </w:divsChild>
    </w:div>
    <w:div w:id="897591290">
      <w:bodyDiv w:val="1"/>
      <w:marLeft w:val="0"/>
      <w:marRight w:val="0"/>
      <w:marTop w:val="0"/>
      <w:marBottom w:val="0"/>
      <w:divBdr>
        <w:top w:val="none" w:sz="0" w:space="0" w:color="auto"/>
        <w:left w:val="none" w:sz="0" w:space="0" w:color="auto"/>
        <w:bottom w:val="none" w:sz="0" w:space="0" w:color="auto"/>
        <w:right w:val="none" w:sz="0" w:space="0" w:color="auto"/>
      </w:divBdr>
    </w:div>
    <w:div w:id="909312543">
      <w:bodyDiv w:val="1"/>
      <w:marLeft w:val="0"/>
      <w:marRight w:val="0"/>
      <w:marTop w:val="0"/>
      <w:marBottom w:val="0"/>
      <w:divBdr>
        <w:top w:val="none" w:sz="0" w:space="0" w:color="auto"/>
        <w:left w:val="none" w:sz="0" w:space="0" w:color="auto"/>
        <w:bottom w:val="none" w:sz="0" w:space="0" w:color="auto"/>
        <w:right w:val="none" w:sz="0" w:space="0" w:color="auto"/>
      </w:divBdr>
    </w:div>
    <w:div w:id="912812303">
      <w:bodyDiv w:val="1"/>
      <w:marLeft w:val="0"/>
      <w:marRight w:val="0"/>
      <w:marTop w:val="0"/>
      <w:marBottom w:val="0"/>
      <w:divBdr>
        <w:top w:val="none" w:sz="0" w:space="0" w:color="auto"/>
        <w:left w:val="none" w:sz="0" w:space="0" w:color="auto"/>
        <w:bottom w:val="none" w:sz="0" w:space="0" w:color="auto"/>
        <w:right w:val="none" w:sz="0" w:space="0" w:color="auto"/>
      </w:divBdr>
      <w:divsChild>
        <w:div w:id="1968848678">
          <w:marLeft w:val="0"/>
          <w:marRight w:val="0"/>
          <w:marTop w:val="0"/>
          <w:marBottom w:val="0"/>
          <w:divBdr>
            <w:top w:val="none" w:sz="0" w:space="0" w:color="auto"/>
            <w:left w:val="none" w:sz="0" w:space="0" w:color="auto"/>
            <w:bottom w:val="none" w:sz="0" w:space="0" w:color="auto"/>
            <w:right w:val="none" w:sz="0" w:space="0" w:color="auto"/>
          </w:divBdr>
          <w:divsChild>
            <w:div w:id="1336807319">
              <w:marLeft w:val="0"/>
              <w:marRight w:val="0"/>
              <w:marTop w:val="0"/>
              <w:marBottom w:val="0"/>
              <w:divBdr>
                <w:top w:val="none" w:sz="0" w:space="0" w:color="auto"/>
                <w:left w:val="none" w:sz="0" w:space="0" w:color="auto"/>
                <w:bottom w:val="none" w:sz="0" w:space="0" w:color="auto"/>
                <w:right w:val="none" w:sz="0" w:space="0" w:color="auto"/>
              </w:divBdr>
              <w:divsChild>
                <w:div w:id="788815971">
                  <w:marLeft w:val="0"/>
                  <w:marRight w:val="0"/>
                  <w:marTop w:val="0"/>
                  <w:marBottom w:val="0"/>
                  <w:divBdr>
                    <w:top w:val="none" w:sz="0" w:space="0" w:color="auto"/>
                    <w:left w:val="none" w:sz="0" w:space="0" w:color="auto"/>
                    <w:bottom w:val="none" w:sz="0" w:space="0" w:color="auto"/>
                    <w:right w:val="none" w:sz="0" w:space="0" w:color="auto"/>
                  </w:divBdr>
                </w:div>
                <w:div w:id="1988363589">
                  <w:marLeft w:val="0"/>
                  <w:marRight w:val="0"/>
                  <w:marTop w:val="120"/>
                  <w:marBottom w:val="0"/>
                  <w:divBdr>
                    <w:top w:val="none" w:sz="0" w:space="0" w:color="auto"/>
                    <w:left w:val="none" w:sz="0" w:space="0" w:color="auto"/>
                    <w:bottom w:val="none" w:sz="0" w:space="0" w:color="auto"/>
                    <w:right w:val="none" w:sz="0" w:space="0" w:color="auto"/>
                  </w:divBdr>
                </w:div>
              </w:divsChild>
            </w:div>
            <w:div w:id="2135708467">
              <w:marLeft w:val="0"/>
              <w:marRight w:val="0"/>
              <w:marTop w:val="0"/>
              <w:marBottom w:val="0"/>
              <w:divBdr>
                <w:top w:val="none" w:sz="0" w:space="0" w:color="auto"/>
                <w:left w:val="none" w:sz="0" w:space="0" w:color="auto"/>
                <w:bottom w:val="none" w:sz="0" w:space="0" w:color="auto"/>
                <w:right w:val="none" w:sz="0" w:space="0" w:color="auto"/>
              </w:divBdr>
              <w:divsChild>
                <w:div w:id="831261631">
                  <w:marLeft w:val="0"/>
                  <w:marRight w:val="0"/>
                  <w:marTop w:val="120"/>
                  <w:marBottom w:val="0"/>
                  <w:divBdr>
                    <w:top w:val="none" w:sz="0" w:space="0" w:color="auto"/>
                    <w:left w:val="none" w:sz="0" w:space="0" w:color="auto"/>
                    <w:bottom w:val="none" w:sz="0" w:space="0" w:color="auto"/>
                    <w:right w:val="none" w:sz="0" w:space="0" w:color="auto"/>
                  </w:divBdr>
                </w:div>
                <w:div w:id="9654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7269">
      <w:bodyDiv w:val="1"/>
      <w:marLeft w:val="0"/>
      <w:marRight w:val="0"/>
      <w:marTop w:val="0"/>
      <w:marBottom w:val="0"/>
      <w:divBdr>
        <w:top w:val="none" w:sz="0" w:space="0" w:color="auto"/>
        <w:left w:val="none" w:sz="0" w:space="0" w:color="auto"/>
        <w:bottom w:val="none" w:sz="0" w:space="0" w:color="auto"/>
        <w:right w:val="none" w:sz="0" w:space="0" w:color="auto"/>
      </w:divBdr>
      <w:divsChild>
        <w:div w:id="883568036">
          <w:marLeft w:val="0"/>
          <w:marRight w:val="0"/>
          <w:marTop w:val="0"/>
          <w:marBottom w:val="0"/>
          <w:divBdr>
            <w:top w:val="none" w:sz="0" w:space="0" w:color="auto"/>
            <w:left w:val="none" w:sz="0" w:space="0" w:color="auto"/>
            <w:bottom w:val="none" w:sz="0" w:space="0" w:color="auto"/>
            <w:right w:val="none" w:sz="0" w:space="0" w:color="auto"/>
          </w:divBdr>
          <w:divsChild>
            <w:div w:id="637102719">
              <w:marLeft w:val="0"/>
              <w:marRight w:val="0"/>
              <w:marTop w:val="0"/>
              <w:marBottom w:val="0"/>
              <w:divBdr>
                <w:top w:val="none" w:sz="0" w:space="0" w:color="auto"/>
                <w:left w:val="none" w:sz="0" w:space="0" w:color="auto"/>
                <w:bottom w:val="none" w:sz="0" w:space="0" w:color="auto"/>
                <w:right w:val="none" w:sz="0" w:space="0" w:color="auto"/>
              </w:divBdr>
            </w:div>
          </w:divsChild>
        </w:div>
        <w:div w:id="2104449232">
          <w:marLeft w:val="0"/>
          <w:marRight w:val="0"/>
          <w:marTop w:val="0"/>
          <w:marBottom w:val="0"/>
          <w:divBdr>
            <w:top w:val="none" w:sz="0" w:space="0" w:color="auto"/>
            <w:left w:val="none" w:sz="0" w:space="0" w:color="auto"/>
            <w:bottom w:val="none" w:sz="0" w:space="0" w:color="auto"/>
            <w:right w:val="none" w:sz="0" w:space="0" w:color="auto"/>
          </w:divBdr>
          <w:divsChild>
            <w:div w:id="174224345">
              <w:marLeft w:val="0"/>
              <w:marRight w:val="0"/>
              <w:marTop w:val="0"/>
              <w:marBottom w:val="0"/>
              <w:divBdr>
                <w:top w:val="none" w:sz="0" w:space="0" w:color="auto"/>
                <w:left w:val="none" w:sz="0" w:space="0" w:color="auto"/>
                <w:bottom w:val="none" w:sz="0" w:space="0" w:color="auto"/>
                <w:right w:val="none" w:sz="0" w:space="0" w:color="auto"/>
              </w:divBdr>
              <w:divsChild>
                <w:div w:id="127212901">
                  <w:marLeft w:val="0"/>
                  <w:marRight w:val="0"/>
                  <w:marTop w:val="0"/>
                  <w:marBottom w:val="0"/>
                  <w:divBdr>
                    <w:top w:val="none" w:sz="0" w:space="0" w:color="auto"/>
                    <w:left w:val="none" w:sz="0" w:space="0" w:color="auto"/>
                    <w:bottom w:val="none" w:sz="0" w:space="0" w:color="auto"/>
                    <w:right w:val="none" w:sz="0" w:space="0" w:color="auto"/>
                  </w:divBdr>
                  <w:divsChild>
                    <w:div w:id="589699120">
                      <w:marLeft w:val="0"/>
                      <w:marRight w:val="0"/>
                      <w:marTop w:val="0"/>
                      <w:marBottom w:val="0"/>
                      <w:divBdr>
                        <w:top w:val="none" w:sz="0" w:space="0" w:color="auto"/>
                        <w:left w:val="none" w:sz="0" w:space="0" w:color="auto"/>
                        <w:bottom w:val="none" w:sz="0" w:space="0" w:color="auto"/>
                        <w:right w:val="none" w:sz="0" w:space="0" w:color="auto"/>
                      </w:divBdr>
                    </w:div>
                    <w:div w:id="1655987214">
                      <w:marLeft w:val="0"/>
                      <w:marRight w:val="0"/>
                      <w:marTop w:val="120"/>
                      <w:marBottom w:val="0"/>
                      <w:divBdr>
                        <w:top w:val="none" w:sz="0" w:space="0" w:color="auto"/>
                        <w:left w:val="none" w:sz="0" w:space="0" w:color="auto"/>
                        <w:bottom w:val="none" w:sz="0" w:space="0" w:color="auto"/>
                        <w:right w:val="none" w:sz="0" w:space="0" w:color="auto"/>
                      </w:divBdr>
                    </w:div>
                  </w:divsChild>
                </w:div>
                <w:div w:id="494343516">
                  <w:marLeft w:val="0"/>
                  <w:marRight w:val="0"/>
                  <w:marTop w:val="0"/>
                  <w:marBottom w:val="0"/>
                  <w:divBdr>
                    <w:top w:val="none" w:sz="0" w:space="0" w:color="auto"/>
                    <w:left w:val="none" w:sz="0" w:space="0" w:color="auto"/>
                    <w:bottom w:val="none" w:sz="0" w:space="0" w:color="auto"/>
                    <w:right w:val="none" w:sz="0" w:space="0" w:color="auto"/>
                  </w:divBdr>
                  <w:divsChild>
                    <w:div w:id="1602102359">
                      <w:marLeft w:val="0"/>
                      <w:marRight w:val="0"/>
                      <w:marTop w:val="0"/>
                      <w:marBottom w:val="0"/>
                      <w:divBdr>
                        <w:top w:val="none" w:sz="0" w:space="0" w:color="auto"/>
                        <w:left w:val="none" w:sz="0" w:space="0" w:color="auto"/>
                        <w:bottom w:val="none" w:sz="0" w:space="0" w:color="auto"/>
                        <w:right w:val="none" w:sz="0" w:space="0" w:color="auto"/>
                      </w:divBdr>
                      <w:divsChild>
                        <w:div w:id="523054785">
                          <w:marLeft w:val="0"/>
                          <w:marRight w:val="0"/>
                          <w:marTop w:val="0"/>
                          <w:marBottom w:val="0"/>
                          <w:divBdr>
                            <w:top w:val="none" w:sz="0" w:space="0" w:color="auto"/>
                            <w:left w:val="none" w:sz="0" w:space="0" w:color="auto"/>
                            <w:bottom w:val="none" w:sz="0" w:space="0" w:color="auto"/>
                            <w:right w:val="none" w:sz="0" w:space="0" w:color="auto"/>
                          </w:divBdr>
                          <w:divsChild>
                            <w:div w:id="676537967">
                              <w:marLeft w:val="0"/>
                              <w:marRight w:val="0"/>
                              <w:marTop w:val="120"/>
                              <w:marBottom w:val="0"/>
                              <w:divBdr>
                                <w:top w:val="none" w:sz="0" w:space="0" w:color="auto"/>
                                <w:left w:val="none" w:sz="0" w:space="0" w:color="auto"/>
                                <w:bottom w:val="none" w:sz="0" w:space="0" w:color="auto"/>
                                <w:right w:val="none" w:sz="0" w:space="0" w:color="auto"/>
                              </w:divBdr>
                            </w:div>
                            <w:div w:id="2006322207">
                              <w:marLeft w:val="0"/>
                              <w:marRight w:val="0"/>
                              <w:marTop w:val="0"/>
                              <w:marBottom w:val="0"/>
                              <w:divBdr>
                                <w:top w:val="none" w:sz="0" w:space="0" w:color="auto"/>
                                <w:left w:val="none" w:sz="0" w:space="0" w:color="auto"/>
                                <w:bottom w:val="none" w:sz="0" w:space="0" w:color="auto"/>
                                <w:right w:val="none" w:sz="0" w:space="0" w:color="auto"/>
                              </w:divBdr>
                            </w:div>
                          </w:divsChild>
                        </w:div>
                        <w:div w:id="600138451">
                          <w:marLeft w:val="0"/>
                          <w:marRight w:val="0"/>
                          <w:marTop w:val="0"/>
                          <w:marBottom w:val="0"/>
                          <w:divBdr>
                            <w:top w:val="none" w:sz="0" w:space="0" w:color="auto"/>
                            <w:left w:val="none" w:sz="0" w:space="0" w:color="auto"/>
                            <w:bottom w:val="none" w:sz="0" w:space="0" w:color="auto"/>
                            <w:right w:val="none" w:sz="0" w:space="0" w:color="auto"/>
                          </w:divBdr>
                          <w:divsChild>
                            <w:div w:id="597523889">
                              <w:marLeft w:val="0"/>
                              <w:marRight w:val="0"/>
                              <w:marTop w:val="0"/>
                              <w:marBottom w:val="0"/>
                              <w:divBdr>
                                <w:top w:val="none" w:sz="0" w:space="0" w:color="auto"/>
                                <w:left w:val="none" w:sz="0" w:space="0" w:color="auto"/>
                                <w:bottom w:val="none" w:sz="0" w:space="0" w:color="auto"/>
                                <w:right w:val="none" w:sz="0" w:space="0" w:color="auto"/>
                              </w:divBdr>
                            </w:div>
                            <w:div w:id="789662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3657121">
                      <w:marLeft w:val="0"/>
                      <w:marRight w:val="0"/>
                      <w:marTop w:val="120"/>
                      <w:marBottom w:val="0"/>
                      <w:divBdr>
                        <w:top w:val="none" w:sz="0" w:space="0" w:color="auto"/>
                        <w:left w:val="none" w:sz="0" w:space="0" w:color="auto"/>
                        <w:bottom w:val="none" w:sz="0" w:space="0" w:color="auto"/>
                        <w:right w:val="none" w:sz="0" w:space="0" w:color="auto"/>
                      </w:divBdr>
                    </w:div>
                  </w:divsChild>
                </w:div>
                <w:div w:id="836581633">
                  <w:marLeft w:val="0"/>
                  <w:marRight w:val="0"/>
                  <w:marTop w:val="0"/>
                  <w:marBottom w:val="0"/>
                  <w:divBdr>
                    <w:top w:val="none" w:sz="0" w:space="0" w:color="auto"/>
                    <w:left w:val="none" w:sz="0" w:space="0" w:color="auto"/>
                    <w:bottom w:val="none" w:sz="0" w:space="0" w:color="auto"/>
                    <w:right w:val="none" w:sz="0" w:space="0" w:color="auto"/>
                  </w:divBdr>
                  <w:divsChild>
                    <w:div w:id="681468123">
                      <w:marLeft w:val="0"/>
                      <w:marRight w:val="0"/>
                      <w:marTop w:val="120"/>
                      <w:marBottom w:val="0"/>
                      <w:divBdr>
                        <w:top w:val="none" w:sz="0" w:space="0" w:color="auto"/>
                        <w:left w:val="none" w:sz="0" w:space="0" w:color="auto"/>
                        <w:bottom w:val="none" w:sz="0" w:space="0" w:color="auto"/>
                        <w:right w:val="none" w:sz="0" w:space="0" w:color="auto"/>
                      </w:divBdr>
                    </w:div>
                    <w:div w:id="1589580823">
                      <w:marLeft w:val="0"/>
                      <w:marRight w:val="0"/>
                      <w:marTop w:val="0"/>
                      <w:marBottom w:val="0"/>
                      <w:divBdr>
                        <w:top w:val="none" w:sz="0" w:space="0" w:color="auto"/>
                        <w:left w:val="none" w:sz="0" w:space="0" w:color="auto"/>
                        <w:bottom w:val="none" w:sz="0" w:space="0" w:color="auto"/>
                        <w:right w:val="none" w:sz="0" w:space="0" w:color="auto"/>
                      </w:divBdr>
                      <w:divsChild>
                        <w:div w:id="1234241055">
                          <w:marLeft w:val="0"/>
                          <w:marRight w:val="0"/>
                          <w:marTop w:val="0"/>
                          <w:marBottom w:val="0"/>
                          <w:divBdr>
                            <w:top w:val="none" w:sz="0" w:space="0" w:color="auto"/>
                            <w:left w:val="none" w:sz="0" w:space="0" w:color="auto"/>
                            <w:bottom w:val="none" w:sz="0" w:space="0" w:color="auto"/>
                            <w:right w:val="none" w:sz="0" w:space="0" w:color="auto"/>
                          </w:divBdr>
                          <w:divsChild>
                            <w:div w:id="131867158">
                              <w:marLeft w:val="0"/>
                              <w:marRight w:val="0"/>
                              <w:marTop w:val="0"/>
                              <w:marBottom w:val="0"/>
                              <w:divBdr>
                                <w:top w:val="none" w:sz="0" w:space="0" w:color="auto"/>
                                <w:left w:val="none" w:sz="0" w:space="0" w:color="auto"/>
                                <w:bottom w:val="none" w:sz="0" w:space="0" w:color="auto"/>
                                <w:right w:val="none" w:sz="0" w:space="0" w:color="auto"/>
                              </w:divBdr>
                            </w:div>
                            <w:div w:id="1320307781">
                              <w:marLeft w:val="0"/>
                              <w:marRight w:val="0"/>
                              <w:marTop w:val="120"/>
                              <w:marBottom w:val="0"/>
                              <w:divBdr>
                                <w:top w:val="none" w:sz="0" w:space="0" w:color="auto"/>
                                <w:left w:val="none" w:sz="0" w:space="0" w:color="auto"/>
                                <w:bottom w:val="none" w:sz="0" w:space="0" w:color="auto"/>
                                <w:right w:val="none" w:sz="0" w:space="0" w:color="auto"/>
                              </w:divBdr>
                            </w:div>
                          </w:divsChild>
                        </w:div>
                        <w:div w:id="1613366241">
                          <w:marLeft w:val="0"/>
                          <w:marRight w:val="0"/>
                          <w:marTop w:val="0"/>
                          <w:marBottom w:val="0"/>
                          <w:divBdr>
                            <w:top w:val="none" w:sz="0" w:space="0" w:color="auto"/>
                            <w:left w:val="none" w:sz="0" w:space="0" w:color="auto"/>
                            <w:bottom w:val="none" w:sz="0" w:space="0" w:color="auto"/>
                            <w:right w:val="none" w:sz="0" w:space="0" w:color="auto"/>
                          </w:divBdr>
                          <w:divsChild>
                            <w:div w:id="709646845">
                              <w:marLeft w:val="0"/>
                              <w:marRight w:val="0"/>
                              <w:marTop w:val="0"/>
                              <w:marBottom w:val="0"/>
                              <w:divBdr>
                                <w:top w:val="none" w:sz="0" w:space="0" w:color="auto"/>
                                <w:left w:val="none" w:sz="0" w:space="0" w:color="auto"/>
                                <w:bottom w:val="none" w:sz="0" w:space="0" w:color="auto"/>
                                <w:right w:val="none" w:sz="0" w:space="0" w:color="auto"/>
                              </w:divBdr>
                            </w:div>
                            <w:div w:id="18755806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8937509">
                  <w:marLeft w:val="0"/>
                  <w:marRight w:val="0"/>
                  <w:marTop w:val="0"/>
                  <w:marBottom w:val="0"/>
                  <w:divBdr>
                    <w:top w:val="none" w:sz="0" w:space="0" w:color="auto"/>
                    <w:left w:val="none" w:sz="0" w:space="0" w:color="auto"/>
                    <w:bottom w:val="none" w:sz="0" w:space="0" w:color="auto"/>
                    <w:right w:val="none" w:sz="0" w:space="0" w:color="auto"/>
                  </w:divBdr>
                  <w:divsChild>
                    <w:div w:id="1132286060">
                      <w:marLeft w:val="0"/>
                      <w:marRight w:val="0"/>
                      <w:marTop w:val="120"/>
                      <w:marBottom w:val="0"/>
                      <w:divBdr>
                        <w:top w:val="none" w:sz="0" w:space="0" w:color="auto"/>
                        <w:left w:val="none" w:sz="0" w:space="0" w:color="auto"/>
                        <w:bottom w:val="none" w:sz="0" w:space="0" w:color="auto"/>
                        <w:right w:val="none" w:sz="0" w:space="0" w:color="auto"/>
                      </w:divBdr>
                    </w:div>
                    <w:div w:id="1784374724">
                      <w:marLeft w:val="0"/>
                      <w:marRight w:val="0"/>
                      <w:marTop w:val="0"/>
                      <w:marBottom w:val="0"/>
                      <w:divBdr>
                        <w:top w:val="none" w:sz="0" w:space="0" w:color="auto"/>
                        <w:left w:val="none" w:sz="0" w:space="0" w:color="auto"/>
                        <w:bottom w:val="none" w:sz="0" w:space="0" w:color="auto"/>
                        <w:right w:val="none" w:sz="0" w:space="0" w:color="auto"/>
                      </w:divBdr>
                    </w:div>
                  </w:divsChild>
                </w:div>
                <w:div w:id="1276642542">
                  <w:marLeft w:val="0"/>
                  <w:marRight w:val="0"/>
                  <w:marTop w:val="0"/>
                  <w:marBottom w:val="0"/>
                  <w:divBdr>
                    <w:top w:val="none" w:sz="0" w:space="0" w:color="auto"/>
                    <w:left w:val="none" w:sz="0" w:space="0" w:color="auto"/>
                    <w:bottom w:val="none" w:sz="0" w:space="0" w:color="auto"/>
                    <w:right w:val="none" w:sz="0" w:space="0" w:color="auto"/>
                  </w:divBdr>
                  <w:divsChild>
                    <w:div w:id="219557961">
                      <w:marLeft w:val="0"/>
                      <w:marRight w:val="0"/>
                      <w:marTop w:val="120"/>
                      <w:marBottom w:val="0"/>
                      <w:divBdr>
                        <w:top w:val="none" w:sz="0" w:space="0" w:color="auto"/>
                        <w:left w:val="none" w:sz="0" w:space="0" w:color="auto"/>
                        <w:bottom w:val="none" w:sz="0" w:space="0" w:color="auto"/>
                        <w:right w:val="none" w:sz="0" w:space="0" w:color="auto"/>
                      </w:divBdr>
                    </w:div>
                    <w:div w:id="1825465456">
                      <w:marLeft w:val="0"/>
                      <w:marRight w:val="0"/>
                      <w:marTop w:val="0"/>
                      <w:marBottom w:val="0"/>
                      <w:divBdr>
                        <w:top w:val="none" w:sz="0" w:space="0" w:color="auto"/>
                        <w:left w:val="none" w:sz="0" w:space="0" w:color="auto"/>
                        <w:bottom w:val="none" w:sz="0" w:space="0" w:color="auto"/>
                        <w:right w:val="none" w:sz="0" w:space="0" w:color="auto"/>
                      </w:divBdr>
                    </w:div>
                  </w:divsChild>
                </w:div>
                <w:div w:id="1502045994">
                  <w:marLeft w:val="0"/>
                  <w:marRight w:val="0"/>
                  <w:marTop w:val="0"/>
                  <w:marBottom w:val="0"/>
                  <w:divBdr>
                    <w:top w:val="none" w:sz="0" w:space="0" w:color="auto"/>
                    <w:left w:val="none" w:sz="0" w:space="0" w:color="auto"/>
                    <w:bottom w:val="none" w:sz="0" w:space="0" w:color="auto"/>
                    <w:right w:val="none" w:sz="0" w:space="0" w:color="auto"/>
                  </w:divBdr>
                  <w:divsChild>
                    <w:div w:id="1996489140">
                      <w:marLeft w:val="0"/>
                      <w:marRight w:val="0"/>
                      <w:marTop w:val="0"/>
                      <w:marBottom w:val="0"/>
                      <w:divBdr>
                        <w:top w:val="none" w:sz="0" w:space="0" w:color="auto"/>
                        <w:left w:val="none" w:sz="0" w:space="0" w:color="auto"/>
                        <w:bottom w:val="none" w:sz="0" w:space="0" w:color="auto"/>
                        <w:right w:val="none" w:sz="0" w:space="0" w:color="auto"/>
                      </w:divBdr>
                    </w:div>
                    <w:div w:id="2093618003">
                      <w:marLeft w:val="0"/>
                      <w:marRight w:val="0"/>
                      <w:marTop w:val="120"/>
                      <w:marBottom w:val="0"/>
                      <w:divBdr>
                        <w:top w:val="none" w:sz="0" w:space="0" w:color="auto"/>
                        <w:left w:val="none" w:sz="0" w:space="0" w:color="auto"/>
                        <w:bottom w:val="none" w:sz="0" w:space="0" w:color="auto"/>
                        <w:right w:val="none" w:sz="0" w:space="0" w:color="auto"/>
                      </w:divBdr>
                    </w:div>
                  </w:divsChild>
                </w:div>
                <w:div w:id="1933051488">
                  <w:marLeft w:val="0"/>
                  <w:marRight w:val="0"/>
                  <w:marTop w:val="0"/>
                  <w:marBottom w:val="0"/>
                  <w:divBdr>
                    <w:top w:val="none" w:sz="0" w:space="0" w:color="auto"/>
                    <w:left w:val="none" w:sz="0" w:space="0" w:color="auto"/>
                    <w:bottom w:val="none" w:sz="0" w:space="0" w:color="auto"/>
                    <w:right w:val="none" w:sz="0" w:space="0" w:color="auto"/>
                  </w:divBdr>
                  <w:divsChild>
                    <w:div w:id="303850011">
                      <w:marLeft w:val="0"/>
                      <w:marRight w:val="0"/>
                      <w:marTop w:val="120"/>
                      <w:marBottom w:val="0"/>
                      <w:divBdr>
                        <w:top w:val="none" w:sz="0" w:space="0" w:color="auto"/>
                        <w:left w:val="none" w:sz="0" w:space="0" w:color="auto"/>
                        <w:bottom w:val="none" w:sz="0" w:space="0" w:color="auto"/>
                        <w:right w:val="none" w:sz="0" w:space="0" w:color="auto"/>
                      </w:divBdr>
                    </w:div>
                    <w:div w:id="12075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4214">
      <w:bodyDiv w:val="1"/>
      <w:marLeft w:val="0"/>
      <w:marRight w:val="0"/>
      <w:marTop w:val="0"/>
      <w:marBottom w:val="0"/>
      <w:divBdr>
        <w:top w:val="none" w:sz="0" w:space="0" w:color="auto"/>
        <w:left w:val="none" w:sz="0" w:space="0" w:color="auto"/>
        <w:bottom w:val="none" w:sz="0" w:space="0" w:color="auto"/>
        <w:right w:val="none" w:sz="0" w:space="0" w:color="auto"/>
      </w:divBdr>
    </w:div>
    <w:div w:id="943075092">
      <w:bodyDiv w:val="1"/>
      <w:marLeft w:val="0"/>
      <w:marRight w:val="0"/>
      <w:marTop w:val="0"/>
      <w:marBottom w:val="0"/>
      <w:divBdr>
        <w:top w:val="none" w:sz="0" w:space="0" w:color="auto"/>
        <w:left w:val="none" w:sz="0" w:space="0" w:color="auto"/>
        <w:bottom w:val="none" w:sz="0" w:space="0" w:color="auto"/>
        <w:right w:val="none" w:sz="0" w:space="0" w:color="auto"/>
      </w:divBdr>
      <w:divsChild>
        <w:div w:id="284122428">
          <w:marLeft w:val="0"/>
          <w:marRight w:val="0"/>
          <w:marTop w:val="0"/>
          <w:marBottom w:val="0"/>
          <w:divBdr>
            <w:top w:val="none" w:sz="0" w:space="0" w:color="auto"/>
            <w:left w:val="none" w:sz="0" w:space="0" w:color="auto"/>
            <w:bottom w:val="none" w:sz="0" w:space="0" w:color="auto"/>
            <w:right w:val="none" w:sz="0" w:space="0" w:color="auto"/>
          </w:divBdr>
          <w:divsChild>
            <w:div w:id="841622000">
              <w:marLeft w:val="0"/>
              <w:marRight w:val="0"/>
              <w:marTop w:val="0"/>
              <w:marBottom w:val="0"/>
              <w:divBdr>
                <w:top w:val="none" w:sz="0" w:space="0" w:color="auto"/>
                <w:left w:val="none" w:sz="0" w:space="0" w:color="auto"/>
                <w:bottom w:val="none" w:sz="0" w:space="0" w:color="auto"/>
                <w:right w:val="none" w:sz="0" w:space="0" w:color="auto"/>
              </w:divBdr>
            </w:div>
            <w:div w:id="1635259164">
              <w:marLeft w:val="0"/>
              <w:marRight w:val="0"/>
              <w:marTop w:val="120"/>
              <w:marBottom w:val="0"/>
              <w:divBdr>
                <w:top w:val="none" w:sz="0" w:space="0" w:color="auto"/>
                <w:left w:val="none" w:sz="0" w:space="0" w:color="auto"/>
                <w:bottom w:val="none" w:sz="0" w:space="0" w:color="auto"/>
                <w:right w:val="none" w:sz="0" w:space="0" w:color="auto"/>
              </w:divBdr>
            </w:div>
          </w:divsChild>
        </w:div>
        <w:div w:id="563760812">
          <w:marLeft w:val="0"/>
          <w:marRight w:val="0"/>
          <w:marTop w:val="0"/>
          <w:marBottom w:val="0"/>
          <w:divBdr>
            <w:top w:val="none" w:sz="0" w:space="0" w:color="auto"/>
            <w:left w:val="none" w:sz="0" w:space="0" w:color="auto"/>
            <w:bottom w:val="none" w:sz="0" w:space="0" w:color="auto"/>
            <w:right w:val="none" w:sz="0" w:space="0" w:color="auto"/>
          </w:divBdr>
          <w:divsChild>
            <w:div w:id="1568416988">
              <w:marLeft w:val="0"/>
              <w:marRight w:val="0"/>
              <w:marTop w:val="0"/>
              <w:marBottom w:val="0"/>
              <w:divBdr>
                <w:top w:val="none" w:sz="0" w:space="0" w:color="auto"/>
                <w:left w:val="none" w:sz="0" w:space="0" w:color="auto"/>
                <w:bottom w:val="none" w:sz="0" w:space="0" w:color="auto"/>
                <w:right w:val="none" w:sz="0" w:space="0" w:color="auto"/>
              </w:divBdr>
            </w:div>
            <w:div w:id="1902208903">
              <w:marLeft w:val="0"/>
              <w:marRight w:val="0"/>
              <w:marTop w:val="120"/>
              <w:marBottom w:val="0"/>
              <w:divBdr>
                <w:top w:val="none" w:sz="0" w:space="0" w:color="auto"/>
                <w:left w:val="none" w:sz="0" w:space="0" w:color="auto"/>
                <w:bottom w:val="none" w:sz="0" w:space="0" w:color="auto"/>
                <w:right w:val="none" w:sz="0" w:space="0" w:color="auto"/>
              </w:divBdr>
            </w:div>
          </w:divsChild>
        </w:div>
        <w:div w:id="1677489243">
          <w:marLeft w:val="0"/>
          <w:marRight w:val="0"/>
          <w:marTop w:val="0"/>
          <w:marBottom w:val="0"/>
          <w:divBdr>
            <w:top w:val="none" w:sz="0" w:space="0" w:color="auto"/>
            <w:left w:val="none" w:sz="0" w:space="0" w:color="auto"/>
            <w:bottom w:val="none" w:sz="0" w:space="0" w:color="auto"/>
            <w:right w:val="none" w:sz="0" w:space="0" w:color="auto"/>
          </w:divBdr>
          <w:divsChild>
            <w:div w:id="908808340">
              <w:marLeft w:val="0"/>
              <w:marRight w:val="0"/>
              <w:marTop w:val="0"/>
              <w:marBottom w:val="0"/>
              <w:divBdr>
                <w:top w:val="none" w:sz="0" w:space="0" w:color="auto"/>
                <w:left w:val="none" w:sz="0" w:space="0" w:color="auto"/>
                <w:bottom w:val="none" w:sz="0" w:space="0" w:color="auto"/>
                <w:right w:val="none" w:sz="0" w:space="0" w:color="auto"/>
              </w:divBdr>
            </w:div>
            <w:div w:id="994455623">
              <w:marLeft w:val="0"/>
              <w:marRight w:val="0"/>
              <w:marTop w:val="120"/>
              <w:marBottom w:val="0"/>
              <w:divBdr>
                <w:top w:val="none" w:sz="0" w:space="0" w:color="auto"/>
                <w:left w:val="none" w:sz="0" w:space="0" w:color="auto"/>
                <w:bottom w:val="none" w:sz="0" w:space="0" w:color="auto"/>
                <w:right w:val="none" w:sz="0" w:space="0" w:color="auto"/>
              </w:divBdr>
            </w:div>
          </w:divsChild>
        </w:div>
        <w:div w:id="2073310657">
          <w:marLeft w:val="0"/>
          <w:marRight w:val="0"/>
          <w:marTop w:val="0"/>
          <w:marBottom w:val="0"/>
          <w:divBdr>
            <w:top w:val="none" w:sz="0" w:space="0" w:color="auto"/>
            <w:left w:val="none" w:sz="0" w:space="0" w:color="auto"/>
            <w:bottom w:val="none" w:sz="0" w:space="0" w:color="auto"/>
            <w:right w:val="none" w:sz="0" w:space="0" w:color="auto"/>
          </w:divBdr>
          <w:divsChild>
            <w:div w:id="545483773">
              <w:marLeft w:val="0"/>
              <w:marRight w:val="0"/>
              <w:marTop w:val="0"/>
              <w:marBottom w:val="0"/>
              <w:divBdr>
                <w:top w:val="none" w:sz="0" w:space="0" w:color="auto"/>
                <w:left w:val="none" w:sz="0" w:space="0" w:color="auto"/>
                <w:bottom w:val="none" w:sz="0" w:space="0" w:color="auto"/>
                <w:right w:val="none" w:sz="0" w:space="0" w:color="auto"/>
              </w:divBdr>
            </w:div>
            <w:div w:id="800683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7008409">
      <w:bodyDiv w:val="1"/>
      <w:marLeft w:val="0"/>
      <w:marRight w:val="0"/>
      <w:marTop w:val="0"/>
      <w:marBottom w:val="0"/>
      <w:divBdr>
        <w:top w:val="none" w:sz="0" w:space="0" w:color="auto"/>
        <w:left w:val="none" w:sz="0" w:space="0" w:color="auto"/>
        <w:bottom w:val="none" w:sz="0" w:space="0" w:color="auto"/>
        <w:right w:val="none" w:sz="0" w:space="0" w:color="auto"/>
      </w:divBdr>
      <w:divsChild>
        <w:div w:id="1278636422">
          <w:marLeft w:val="0"/>
          <w:marRight w:val="0"/>
          <w:marTop w:val="0"/>
          <w:marBottom w:val="0"/>
          <w:divBdr>
            <w:top w:val="none" w:sz="0" w:space="0" w:color="auto"/>
            <w:left w:val="none" w:sz="0" w:space="0" w:color="auto"/>
            <w:bottom w:val="none" w:sz="0" w:space="0" w:color="auto"/>
            <w:right w:val="none" w:sz="0" w:space="0" w:color="auto"/>
          </w:divBdr>
          <w:divsChild>
            <w:div w:id="416682544">
              <w:marLeft w:val="0"/>
              <w:marRight w:val="0"/>
              <w:marTop w:val="0"/>
              <w:marBottom w:val="0"/>
              <w:divBdr>
                <w:top w:val="none" w:sz="0" w:space="0" w:color="auto"/>
                <w:left w:val="none" w:sz="0" w:space="0" w:color="auto"/>
                <w:bottom w:val="none" w:sz="0" w:space="0" w:color="auto"/>
                <w:right w:val="none" w:sz="0" w:space="0" w:color="auto"/>
              </w:divBdr>
              <w:divsChild>
                <w:div w:id="900217609">
                  <w:marLeft w:val="0"/>
                  <w:marRight w:val="0"/>
                  <w:marTop w:val="0"/>
                  <w:marBottom w:val="0"/>
                  <w:divBdr>
                    <w:top w:val="none" w:sz="0" w:space="0" w:color="auto"/>
                    <w:left w:val="none" w:sz="0" w:space="0" w:color="auto"/>
                    <w:bottom w:val="none" w:sz="0" w:space="0" w:color="auto"/>
                    <w:right w:val="none" w:sz="0" w:space="0" w:color="auto"/>
                  </w:divBdr>
                  <w:divsChild>
                    <w:div w:id="2079398127">
                      <w:marLeft w:val="0"/>
                      <w:marRight w:val="0"/>
                      <w:marTop w:val="120"/>
                      <w:marBottom w:val="0"/>
                      <w:divBdr>
                        <w:top w:val="none" w:sz="0" w:space="0" w:color="auto"/>
                        <w:left w:val="none" w:sz="0" w:space="0" w:color="auto"/>
                        <w:bottom w:val="none" w:sz="0" w:space="0" w:color="auto"/>
                        <w:right w:val="none" w:sz="0" w:space="0" w:color="auto"/>
                      </w:divBdr>
                    </w:div>
                    <w:div w:id="705956826">
                      <w:marLeft w:val="0"/>
                      <w:marRight w:val="0"/>
                      <w:marTop w:val="0"/>
                      <w:marBottom w:val="0"/>
                      <w:divBdr>
                        <w:top w:val="none" w:sz="0" w:space="0" w:color="auto"/>
                        <w:left w:val="none" w:sz="0" w:space="0" w:color="auto"/>
                        <w:bottom w:val="none" w:sz="0" w:space="0" w:color="auto"/>
                        <w:right w:val="none" w:sz="0" w:space="0" w:color="auto"/>
                      </w:divBdr>
                    </w:div>
                  </w:divsChild>
                </w:div>
                <w:div w:id="518390965">
                  <w:marLeft w:val="0"/>
                  <w:marRight w:val="0"/>
                  <w:marTop w:val="0"/>
                  <w:marBottom w:val="0"/>
                  <w:divBdr>
                    <w:top w:val="none" w:sz="0" w:space="0" w:color="auto"/>
                    <w:left w:val="none" w:sz="0" w:space="0" w:color="auto"/>
                    <w:bottom w:val="none" w:sz="0" w:space="0" w:color="auto"/>
                    <w:right w:val="none" w:sz="0" w:space="0" w:color="auto"/>
                  </w:divBdr>
                  <w:divsChild>
                    <w:div w:id="1384938320">
                      <w:marLeft w:val="0"/>
                      <w:marRight w:val="0"/>
                      <w:marTop w:val="120"/>
                      <w:marBottom w:val="0"/>
                      <w:divBdr>
                        <w:top w:val="none" w:sz="0" w:space="0" w:color="auto"/>
                        <w:left w:val="none" w:sz="0" w:space="0" w:color="auto"/>
                        <w:bottom w:val="none" w:sz="0" w:space="0" w:color="auto"/>
                        <w:right w:val="none" w:sz="0" w:space="0" w:color="auto"/>
                      </w:divBdr>
                    </w:div>
                    <w:div w:id="1388607560">
                      <w:marLeft w:val="0"/>
                      <w:marRight w:val="0"/>
                      <w:marTop w:val="0"/>
                      <w:marBottom w:val="0"/>
                      <w:divBdr>
                        <w:top w:val="none" w:sz="0" w:space="0" w:color="auto"/>
                        <w:left w:val="none" w:sz="0" w:space="0" w:color="auto"/>
                        <w:bottom w:val="none" w:sz="0" w:space="0" w:color="auto"/>
                        <w:right w:val="none" w:sz="0" w:space="0" w:color="auto"/>
                      </w:divBdr>
                    </w:div>
                  </w:divsChild>
                </w:div>
                <w:div w:id="2058966753">
                  <w:marLeft w:val="0"/>
                  <w:marRight w:val="0"/>
                  <w:marTop w:val="0"/>
                  <w:marBottom w:val="0"/>
                  <w:divBdr>
                    <w:top w:val="none" w:sz="0" w:space="0" w:color="auto"/>
                    <w:left w:val="none" w:sz="0" w:space="0" w:color="auto"/>
                    <w:bottom w:val="none" w:sz="0" w:space="0" w:color="auto"/>
                    <w:right w:val="none" w:sz="0" w:space="0" w:color="auto"/>
                  </w:divBdr>
                  <w:divsChild>
                    <w:div w:id="613943066">
                      <w:marLeft w:val="0"/>
                      <w:marRight w:val="0"/>
                      <w:marTop w:val="120"/>
                      <w:marBottom w:val="0"/>
                      <w:divBdr>
                        <w:top w:val="none" w:sz="0" w:space="0" w:color="auto"/>
                        <w:left w:val="none" w:sz="0" w:space="0" w:color="auto"/>
                        <w:bottom w:val="none" w:sz="0" w:space="0" w:color="auto"/>
                        <w:right w:val="none" w:sz="0" w:space="0" w:color="auto"/>
                      </w:divBdr>
                    </w:div>
                    <w:div w:id="20664295">
                      <w:marLeft w:val="0"/>
                      <w:marRight w:val="0"/>
                      <w:marTop w:val="0"/>
                      <w:marBottom w:val="0"/>
                      <w:divBdr>
                        <w:top w:val="none" w:sz="0" w:space="0" w:color="auto"/>
                        <w:left w:val="none" w:sz="0" w:space="0" w:color="auto"/>
                        <w:bottom w:val="none" w:sz="0" w:space="0" w:color="auto"/>
                        <w:right w:val="none" w:sz="0" w:space="0" w:color="auto"/>
                      </w:divBdr>
                    </w:div>
                  </w:divsChild>
                </w:div>
                <w:div w:id="1559583314">
                  <w:marLeft w:val="0"/>
                  <w:marRight w:val="0"/>
                  <w:marTop w:val="0"/>
                  <w:marBottom w:val="0"/>
                  <w:divBdr>
                    <w:top w:val="none" w:sz="0" w:space="0" w:color="auto"/>
                    <w:left w:val="none" w:sz="0" w:space="0" w:color="auto"/>
                    <w:bottom w:val="none" w:sz="0" w:space="0" w:color="auto"/>
                    <w:right w:val="none" w:sz="0" w:space="0" w:color="auto"/>
                  </w:divBdr>
                  <w:divsChild>
                    <w:div w:id="288632818">
                      <w:marLeft w:val="0"/>
                      <w:marRight w:val="0"/>
                      <w:marTop w:val="120"/>
                      <w:marBottom w:val="0"/>
                      <w:divBdr>
                        <w:top w:val="none" w:sz="0" w:space="0" w:color="auto"/>
                        <w:left w:val="none" w:sz="0" w:space="0" w:color="auto"/>
                        <w:bottom w:val="none" w:sz="0" w:space="0" w:color="auto"/>
                        <w:right w:val="none" w:sz="0" w:space="0" w:color="auto"/>
                      </w:divBdr>
                    </w:div>
                    <w:div w:id="1816992178">
                      <w:marLeft w:val="0"/>
                      <w:marRight w:val="0"/>
                      <w:marTop w:val="0"/>
                      <w:marBottom w:val="0"/>
                      <w:divBdr>
                        <w:top w:val="none" w:sz="0" w:space="0" w:color="auto"/>
                        <w:left w:val="none" w:sz="0" w:space="0" w:color="auto"/>
                        <w:bottom w:val="none" w:sz="0" w:space="0" w:color="auto"/>
                        <w:right w:val="none" w:sz="0" w:space="0" w:color="auto"/>
                      </w:divBdr>
                    </w:div>
                  </w:divsChild>
                </w:div>
                <w:div w:id="1794521293">
                  <w:marLeft w:val="0"/>
                  <w:marRight w:val="0"/>
                  <w:marTop w:val="0"/>
                  <w:marBottom w:val="0"/>
                  <w:divBdr>
                    <w:top w:val="none" w:sz="0" w:space="0" w:color="auto"/>
                    <w:left w:val="none" w:sz="0" w:space="0" w:color="auto"/>
                    <w:bottom w:val="none" w:sz="0" w:space="0" w:color="auto"/>
                    <w:right w:val="none" w:sz="0" w:space="0" w:color="auto"/>
                  </w:divBdr>
                  <w:divsChild>
                    <w:div w:id="595208309">
                      <w:marLeft w:val="0"/>
                      <w:marRight w:val="0"/>
                      <w:marTop w:val="120"/>
                      <w:marBottom w:val="0"/>
                      <w:divBdr>
                        <w:top w:val="none" w:sz="0" w:space="0" w:color="auto"/>
                        <w:left w:val="none" w:sz="0" w:space="0" w:color="auto"/>
                        <w:bottom w:val="none" w:sz="0" w:space="0" w:color="auto"/>
                        <w:right w:val="none" w:sz="0" w:space="0" w:color="auto"/>
                      </w:divBdr>
                    </w:div>
                    <w:div w:id="8171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78666">
      <w:bodyDiv w:val="1"/>
      <w:marLeft w:val="0"/>
      <w:marRight w:val="0"/>
      <w:marTop w:val="0"/>
      <w:marBottom w:val="0"/>
      <w:divBdr>
        <w:top w:val="none" w:sz="0" w:space="0" w:color="auto"/>
        <w:left w:val="none" w:sz="0" w:space="0" w:color="auto"/>
        <w:bottom w:val="none" w:sz="0" w:space="0" w:color="auto"/>
        <w:right w:val="none" w:sz="0" w:space="0" w:color="auto"/>
      </w:divBdr>
      <w:divsChild>
        <w:div w:id="729692131">
          <w:marLeft w:val="0"/>
          <w:marRight w:val="0"/>
          <w:marTop w:val="0"/>
          <w:marBottom w:val="0"/>
          <w:divBdr>
            <w:top w:val="none" w:sz="0" w:space="0" w:color="auto"/>
            <w:left w:val="none" w:sz="0" w:space="0" w:color="auto"/>
            <w:bottom w:val="none" w:sz="0" w:space="0" w:color="auto"/>
            <w:right w:val="none" w:sz="0" w:space="0" w:color="auto"/>
          </w:divBdr>
          <w:divsChild>
            <w:div w:id="907228712">
              <w:marLeft w:val="0"/>
              <w:marRight w:val="0"/>
              <w:marTop w:val="120"/>
              <w:marBottom w:val="0"/>
              <w:divBdr>
                <w:top w:val="none" w:sz="0" w:space="0" w:color="auto"/>
                <w:left w:val="none" w:sz="0" w:space="0" w:color="auto"/>
                <w:bottom w:val="none" w:sz="0" w:space="0" w:color="auto"/>
                <w:right w:val="none" w:sz="0" w:space="0" w:color="auto"/>
              </w:divBdr>
            </w:div>
            <w:div w:id="1168441615">
              <w:marLeft w:val="0"/>
              <w:marRight w:val="0"/>
              <w:marTop w:val="0"/>
              <w:marBottom w:val="0"/>
              <w:divBdr>
                <w:top w:val="none" w:sz="0" w:space="0" w:color="auto"/>
                <w:left w:val="none" w:sz="0" w:space="0" w:color="auto"/>
                <w:bottom w:val="none" w:sz="0" w:space="0" w:color="auto"/>
                <w:right w:val="none" w:sz="0" w:space="0" w:color="auto"/>
              </w:divBdr>
            </w:div>
          </w:divsChild>
        </w:div>
        <w:div w:id="1501236303">
          <w:marLeft w:val="0"/>
          <w:marRight w:val="0"/>
          <w:marTop w:val="0"/>
          <w:marBottom w:val="0"/>
          <w:divBdr>
            <w:top w:val="none" w:sz="0" w:space="0" w:color="auto"/>
            <w:left w:val="none" w:sz="0" w:space="0" w:color="auto"/>
            <w:bottom w:val="none" w:sz="0" w:space="0" w:color="auto"/>
            <w:right w:val="none" w:sz="0" w:space="0" w:color="auto"/>
          </w:divBdr>
          <w:divsChild>
            <w:div w:id="73599966">
              <w:marLeft w:val="0"/>
              <w:marRight w:val="0"/>
              <w:marTop w:val="0"/>
              <w:marBottom w:val="0"/>
              <w:divBdr>
                <w:top w:val="none" w:sz="0" w:space="0" w:color="auto"/>
                <w:left w:val="none" w:sz="0" w:space="0" w:color="auto"/>
                <w:bottom w:val="none" w:sz="0" w:space="0" w:color="auto"/>
                <w:right w:val="none" w:sz="0" w:space="0" w:color="auto"/>
              </w:divBdr>
            </w:div>
            <w:div w:id="1723400812">
              <w:marLeft w:val="0"/>
              <w:marRight w:val="0"/>
              <w:marTop w:val="120"/>
              <w:marBottom w:val="0"/>
              <w:divBdr>
                <w:top w:val="none" w:sz="0" w:space="0" w:color="auto"/>
                <w:left w:val="none" w:sz="0" w:space="0" w:color="auto"/>
                <w:bottom w:val="none" w:sz="0" w:space="0" w:color="auto"/>
                <w:right w:val="none" w:sz="0" w:space="0" w:color="auto"/>
              </w:divBdr>
            </w:div>
          </w:divsChild>
        </w:div>
        <w:div w:id="1837916343">
          <w:marLeft w:val="0"/>
          <w:marRight w:val="0"/>
          <w:marTop w:val="0"/>
          <w:marBottom w:val="0"/>
          <w:divBdr>
            <w:top w:val="none" w:sz="0" w:space="0" w:color="auto"/>
            <w:left w:val="none" w:sz="0" w:space="0" w:color="auto"/>
            <w:bottom w:val="none" w:sz="0" w:space="0" w:color="auto"/>
            <w:right w:val="none" w:sz="0" w:space="0" w:color="auto"/>
          </w:divBdr>
          <w:divsChild>
            <w:div w:id="242105447">
              <w:marLeft w:val="0"/>
              <w:marRight w:val="0"/>
              <w:marTop w:val="120"/>
              <w:marBottom w:val="0"/>
              <w:divBdr>
                <w:top w:val="none" w:sz="0" w:space="0" w:color="auto"/>
                <w:left w:val="none" w:sz="0" w:space="0" w:color="auto"/>
                <w:bottom w:val="none" w:sz="0" w:space="0" w:color="auto"/>
                <w:right w:val="none" w:sz="0" w:space="0" w:color="auto"/>
              </w:divBdr>
            </w:div>
            <w:div w:id="1345942279">
              <w:marLeft w:val="0"/>
              <w:marRight w:val="0"/>
              <w:marTop w:val="0"/>
              <w:marBottom w:val="0"/>
              <w:divBdr>
                <w:top w:val="none" w:sz="0" w:space="0" w:color="auto"/>
                <w:left w:val="none" w:sz="0" w:space="0" w:color="auto"/>
                <w:bottom w:val="none" w:sz="0" w:space="0" w:color="auto"/>
                <w:right w:val="none" w:sz="0" w:space="0" w:color="auto"/>
              </w:divBdr>
            </w:div>
          </w:divsChild>
        </w:div>
        <w:div w:id="2120565262">
          <w:marLeft w:val="0"/>
          <w:marRight w:val="0"/>
          <w:marTop w:val="0"/>
          <w:marBottom w:val="0"/>
          <w:divBdr>
            <w:top w:val="none" w:sz="0" w:space="0" w:color="auto"/>
            <w:left w:val="none" w:sz="0" w:space="0" w:color="auto"/>
            <w:bottom w:val="none" w:sz="0" w:space="0" w:color="auto"/>
            <w:right w:val="none" w:sz="0" w:space="0" w:color="auto"/>
          </w:divBdr>
          <w:divsChild>
            <w:div w:id="202598554">
              <w:marLeft w:val="0"/>
              <w:marRight w:val="0"/>
              <w:marTop w:val="0"/>
              <w:marBottom w:val="0"/>
              <w:divBdr>
                <w:top w:val="none" w:sz="0" w:space="0" w:color="auto"/>
                <w:left w:val="none" w:sz="0" w:space="0" w:color="auto"/>
                <w:bottom w:val="none" w:sz="0" w:space="0" w:color="auto"/>
                <w:right w:val="none" w:sz="0" w:space="0" w:color="auto"/>
              </w:divBdr>
            </w:div>
            <w:div w:id="1697736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0740999">
      <w:bodyDiv w:val="1"/>
      <w:marLeft w:val="0"/>
      <w:marRight w:val="0"/>
      <w:marTop w:val="0"/>
      <w:marBottom w:val="0"/>
      <w:divBdr>
        <w:top w:val="none" w:sz="0" w:space="0" w:color="auto"/>
        <w:left w:val="none" w:sz="0" w:space="0" w:color="auto"/>
        <w:bottom w:val="none" w:sz="0" w:space="0" w:color="auto"/>
        <w:right w:val="none" w:sz="0" w:space="0" w:color="auto"/>
      </w:divBdr>
    </w:div>
    <w:div w:id="958488502">
      <w:bodyDiv w:val="1"/>
      <w:marLeft w:val="0"/>
      <w:marRight w:val="0"/>
      <w:marTop w:val="0"/>
      <w:marBottom w:val="0"/>
      <w:divBdr>
        <w:top w:val="none" w:sz="0" w:space="0" w:color="auto"/>
        <w:left w:val="none" w:sz="0" w:space="0" w:color="auto"/>
        <w:bottom w:val="none" w:sz="0" w:space="0" w:color="auto"/>
        <w:right w:val="none" w:sz="0" w:space="0" w:color="auto"/>
      </w:divBdr>
    </w:div>
    <w:div w:id="958535144">
      <w:bodyDiv w:val="1"/>
      <w:marLeft w:val="0"/>
      <w:marRight w:val="0"/>
      <w:marTop w:val="0"/>
      <w:marBottom w:val="0"/>
      <w:divBdr>
        <w:top w:val="none" w:sz="0" w:space="0" w:color="auto"/>
        <w:left w:val="none" w:sz="0" w:space="0" w:color="auto"/>
        <w:bottom w:val="none" w:sz="0" w:space="0" w:color="auto"/>
        <w:right w:val="none" w:sz="0" w:space="0" w:color="auto"/>
      </w:divBdr>
      <w:divsChild>
        <w:div w:id="290600766">
          <w:marLeft w:val="0"/>
          <w:marRight w:val="0"/>
          <w:marTop w:val="0"/>
          <w:marBottom w:val="0"/>
          <w:divBdr>
            <w:top w:val="none" w:sz="0" w:space="0" w:color="auto"/>
            <w:left w:val="none" w:sz="0" w:space="0" w:color="auto"/>
            <w:bottom w:val="none" w:sz="0" w:space="0" w:color="auto"/>
            <w:right w:val="none" w:sz="0" w:space="0" w:color="auto"/>
          </w:divBdr>
          <w:divsChild>
            <w:div w:id="750543972">
              <w:marLeft w:val="0"/>
              <w:marRight w:val="0"/>
              <w:marTop w:val="120"/>
              <w:marBottom w:val="0"/>
              <w:divBdr>
                <w:top w:val="none" w:sz="0" w:space="0" w:color="auto"/>
                <w:left w:val="none" w:sz="0" w:space="0" w:color="auto"/>
                <w:bottom w:val="none" w:sz="0" w:space="0" w:color="auto"/>
                <w:right w:val="none" w:sz="0" w:space="0" w:color="auto"/>
              </w:divBdr>
            </w:div>
            <w:div w:id="1950699613">
              <w:marLeft w:val="0"/>
              <w:marRight w:val="0"/>
              <w:marTop w:val="0"/>
              <w:marBottom w:val="0"/>
              <w:divBdr>
                <w:top w:val="none" w:sz="0" w:space="0" w:color="auto"/>
                <w:left w:val="none" w:sz="0" w:space="0" w:color="auto"/>
                <w:bottom w:val="none" w:sz="0" w:space="0" w:color="auto"/>
                <w:right w:val="none" w:sz="0" w:space="0" w:color="auto"/>
              </w:divBdr>
            </w:div>
          </w:divsChild>
        </w:div>
        <w:div w:id="1895965807">
          <w:marLeft w:val="0"/>
          <w:marRight w:val="0"/>
          <w:marTop w:val="0"/>
          <w:marBottom w:val="0"/>
          <w:divBdr>
            <w:top w:val="none" w:sz="0" w:space="0" w:color="auto"/>
            <w:left w:val="none" w:sz="0" w:space="0" w:color="auto"/>
            <w:bottom w:val="none" w:sz="0" w:space="0" w:color="auto"/>
            <w:right w:val="none" w:sz="0" w:space="0" w:color="auto"/>
          </w:divBdr>
          <w:divsChild>
            <w:div w:id="95904441">
              <w:marLeft w:val="0"/>
              <w:marRight w:val="0"/>
              <w:marTop w:val="0"/>
              <w:marBottom w:val="0"/>
              <w:divBdr>
                <w:top w:val="none" w:sz="0" w:space="0" w:color="auto"/>
                <w:left w:val="none" w:sz="0" w:space="0" w:color="auto"/>
                <w:bottom w:val="none" w:sz="0" w:space="0" w:color="auto"/>
                <w:right w:val="none" w:sz="0" w:space="0" w:color="auto"/>
              </w:divBdr>
            </w:div>
            <w:div w:id="17519251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1981018">
      <w:bodyDiv w:val="1"/>
      <w:marLeft w:val="0"/>
      <w:marRight w:val="0"/>
      <w:marTop w:val="0"/>
      <w:marBottom w:val="0"/>
      <w:divBdr>
        <w:top w:val="none" w:sz="0" w:space="0" w:color="auto"/>
        <w:left w:val="none" w:sz="0" w:space="0" w:color="auto"/>
        <w:bottom w:val="none" w:sz="0" w:space="0" w:color="auto"/>
        <w:right w:val="none" w:sz="0" w:space="0" w:color="auto"/>
      </w:divBdr>
      <w:divsChild>
        <w:div w:id="500898171">
          <w:marLeft w:val="0"/>
          <w:marRight w:val="0"/>
          <w:marTop w:val="0"/>
          <w:marBottom w:val="0"/>
          <w:divBdr>
            <w:top w:val="none" w:sz="0" w:space="0" w:color="auto"/>
            <w:left w:val="none" w:sz="0" w:space="0" w:color="auto"/>
            <w:bottom w:val="none" w:sz="0" w:space="0" w:color="auto"/>
            <w:right w:val="none" w:sz="0" w:space="0" w:color="auto"/>
          </w:divBdr>
          <w:divsChild>
            <w:div w:id="717317279">
              <w:marLeft w:val="0"/>
              <w:marRight w:val="0"/>
              <w:marTop w:val="120"/>
              <w:marBottom w:val="0"/>
              <w:divBdr>
                <w:top w:val="none" w:sz="0" w:space="0" w:color="auto"/>
                <w:left w:val="none" w:sz="0" w:space="0" w:color="auto"/>
                <w:bottom w:val="none" w:sz="0" w:space="0" w:color="auto"/>
                <w:right w:val="none" w:sz="0" w:space="0" w:color="auto"/>
              </w:divBdr>
            </w:div>
            <w:div w:id="1490825310">
              <w:marLeft w:val="0"/>
              <w:marRight w:val="0"/>
              <w:marTop w:val="0"/>
              <w:marBottom w:val="0"/>
              <w:divBdr>
                <w:top w:val="none" w:sz="0" w:space="0" w:color="auto"/>
                <w:left w:val="none" w:sz="0" w:space="0" w:color="auto"/>
                <w:bottom w:val="none" w:sz="0" w:space="0" w:color="auto"/>
                <w:right w:val="none" w:sz="0" w:space="0" w:color="auto"/>
              </w:divBdr>
            </w:div>
          </w:divsChild>
        </w:div>
        <w:div w:id="688024181">
          <w:marLeft w:val="0"/>
          <w:marRight w:val="0"/>
          <w:marTop w:val="0"/>
          <w:marBottom w:val="0"/>
          <w:divBdr>
            <w:top w:val="none" w:sz="0" w:space="0" w:color="auto"/>
            <w:left w:val="none" w:sz="0" w:space="0" w:color="auto"/>
            <w:bottom w:val="none" w:sz="0" w:space="0" w:color="auto"/>
            <w:right w:val="none" w:sz="0" w:space="0" w:color="auto"/>
          </w:divBdr>
          <w:divsChild>
            <w:div w:id="323238400">
              <w:marLeft w:val="0"/>
              <w:marRight w:val="0"/>
              <w:marTop w:val="120"/>
              <w:marBottom w:val="0"/>
              <w:divBdr>
                <w:top w:val="none" w:sz="0" w:space="0" w:color="auto"/>
                <w:left w:val="none" w:sz="0" w:space="0" w:color="auto"/>
                <w:bottom w:val="none" w:sz="0" w:space="0" w:color="auto"/>
                <w:right w:val="none" w:sz="0" w:space="0" w:color="auto"/>
              </w:divBdr>
            </w:div>
            <w:div w:id="900948690">
              <w:marLeft w:val="0"/>
              <w:marRight w:val="0"/>
              <w:marTop w:val="0"/>
              <w:marBottom w:val="0"/>
              <w:divBdr>
                <w:top w:val="none" w:sz="0" w:space="0" w:color="auto"/>
                <w:left w:val="none" w:sz="0" w:space="0" w:color="auto"/>
                <w:bottom w:val="none" w:sz="0" w:space="0" w:color="auto"/>
                <w:right w:val="none" w:sz="0" w:space="0" w:color="auto"/>
              </w:divBdr>
              <w:divsChild>
                <w:div w:id="371030653">
                  <w:marLeft w:val="0"/>
                  <w:marRight w:val="0"/>
                  <w:marTop w:val="0"/>
                  <w:marBottom w:val="0"/>
                  <w:divBdr>
                    <w:top w:val="none" w:sz="0" w:space="0" w:color="auto"/>
                    <w:left w:val="none" w:sz="0" w:space="0" w:color="auto"/>
                    <w:bottom w:val="none" w:sz="0" w:space="0" w:color="auto"/>
                    <w:right w:val="none" w:sz="0" w:space="0" w:color="auto"/>
                  </w:divBdr>
                  <w:divsChild>
                    <w:div w:id="1765956718">
                      <w:marLeft w:val="0"/>
                      <w:marRight w:val="0"/>
                      <w:marTop w:val="0"/>
                      <w:marBottom w:val="0"/>
                      <w:divBdr>
                        <w:top w:val="none" w:sz="0" w:space="0" w:color="auto"/>
                        <w:left w:val="none" w:sz="0" w:space="0" w:color="auto"/>
                        <w:bottom w:val="none" w:sz="0" w:space="0" w:color="auto"/>
                        <w:right w:val="none" w:sz="0" w:space="0" w:color="auto"/>
                      </w:divBdr>
                    </w:div>
                    <w:div w:id="2008630726">
                      <w:marLeft w:val="0"/>
                      <w:marRight w:val="0"/>
                      <w:marTop w:val="120"/>
                      <w:marBottom w:val="0"/>
                      <w:divBdr>
                        <w:top w:val="none" w:sz="0" w:space="0" w:color="auto"/>
                        <w:left w:val="none" w:sz="0" w:space="0" w:color="auto"/>
                        <w:bottom w:val="none" w:sz="0" w:space="0" w:color="auto"/>
                        <w:right w:val="none" w:sz="0" w:space="0" w:color="auto"/>
                      </w:divBdr>
                    </w:div>
                  </w:divsChild>
                </w:div>
                <w:div w:id="620839580">
                  <w:marLeft w:val="0"/>
                  <w:marRight w:val="0"/>
                  <w:marTop w:val="0"/>
                  <w:marBottom w:val="0"/>
                  <w:divBdr>
                    <w:top w:val="none" w:sz="0" w:space="0" w:color="auto"/>
                    <w:left w:val="none" w:sz="0" w:space="0" w:color="auto"/>
                    <w:bottom w:val="none" w:sz="0" w:space="0" w:color="auto"/>
                    <w:right w:val="none" w:sz="0" w:space="0" w:color="auto"/>
                  </w:divBdr>
                  <w:divsChild>
                    <w:div w:id="632949780">
                      <w:marLeft w:val="0"/>
                      <w:marRight w:val="0"/>
                      <w:marTop w:val="120"/>
                      <w:marBottom w:val="0"/>
                      <w:divBdr>
                        <w:top w:val="none" w:sz="0" w:space="0" w:color="auto"/>
                        <w:left w:val="none" w:sz="0" w:space="0" w:color="auto"/>
                        <w:bottom w:val="none" w:sz="0" w:space="0" w:color="auto"/>
                        <w:right w:val="none" w:sz="0" w:space="0" w:color="auto"/>
                      </w:divBdr>
                    </w:div>
                    <w:div w:id="14340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90376">
          <w:marLeft w:val="0"/>
          <w:marRight w:val="0"/>
          <w:marTop w:val="0"/>
          <w:marBottom w:val="0"/>
          <w:divBdr>
            <w:top w:val="none" w:sz="0" w:space="0" w:color="auto"/>
            <w:left w:val="none" w:sz="0" w:space="0" w:color="auto"/>
            <w:bottom w:val="none" w:sz="0" w:space="0" w:color="auto"/>
            <w:right w:val="none" w:sz="0" w:space="0" w:color="auto"/>
          </w:divBdr>
          <w:divsChild>
            <w:div w:id="855928726">
              <w:marLeft w:val="0"/>
              <w:marRight w:val="0"/>
              <w:marTop w:val="120"/>
              <w:marBottom w:val="0"/>
              <w:divBdr>
                <w:top w:val="none" w:sz="0" w:space="0" w:color="auto"/>
                <w:left w:val="none" w:sz="0" w:space="0" w:color="auto"/>
                <w:bottom w:val="none" w:sz="0" w:space="0" w:color="auto"/>
                <w:right w:val="none" w:sz="0" w:space="0" w:color="auto"/>
              </w:divBdr>
            </w:div>
            <w:div w:id="883952246">
              <w:marLeft w:val="0"/>
              <w:marRight w:val="0"/>
              <w:marTop w:val="0"/>
              <w:marBottom w:val="0"/>
              <w:divBdr>
                <w:top w:val="none" w:sz="0" w:space="0" w:color="auto"/>
                <w:left w:val="none" w:sz="0" w:space="0" w:color="auto"/>
                <w:bottom w:val="none" w:sz="0" w:space="0" w:color="auto"/>
                <w:right w:val="none" w:sz="0" w:space="0" w:color="auto"/>
              </w:divBdr>
              <w:divsChild>
                <w:div w:id="1717853075">
                  <w:marLeft w:val="0"/>
                  <w:marRight w:val="0"/>
                  <w:marTop w:val="0"/>
                  <w:marBottom w:val="0"/>
                  <w:divBdr>
                    <w:top w:val="none" w:sz="0" w:space="0" w:color="auto"/>
                    <w:left w:val="none" w:sz="0" w:space="0" w:color="auto"/>
                    <w:bottom w:val="none" w:sz="0" w:space="0" w:color="auto"/>
                    <w:right w:val="none" w:sz="0" w:space="0" w:color="auto"/>
                  </w:divBdr>
                  <w:divsChild>
                    <w:div w:id="544414570">
                      <w:marLeft w:val="0"/>
                      <w:marRight w:val="0"/>
                      <w:marTop w:val="120"/>
                      <w:marBottom w:val="0"/>
                      <w:divBdr>
                        <w:top w:val="none" w:sz="0" w:space="0" w:color="auto"/>
                        <w:left w:val="none" w:sz="0" w:space="0" w:color="auto"/>
                        <w:bottom w:val="none" w:sz="0" w:space="0" w:color="auto"/>
                        <w:right w:val="none" w:sz="0" w:space="0" w:color="auto"/>
                      </w:divBdr>
                    </w:div>
                    <w:div w:id="1024943821">
                      <w:marLeft w:val="0"/>
                      <w:marRight w:val="0"/>
                      <w:marTop w:val="0"/>
                      <w:marBottom w:val="0"/>
                      <w:divBdr>
                        <w:top w:val="none" w:sz="0" w:space="0" w:color="auto"/>
                        <w:left w:val="none" w:sz="0" w:space="0" w:color="auto"/>
                        <w:bottom w:val="none" w:sz="0" w:space="0" w:color="auto"/>
                        <w:right w:val="none" w:sz="0" w:space="0" w:color="auto"/>
                      </w:divBdr>
                    </w:div>
                  </w:divsChild>
                </w:div>
                <w:div w:id="2046058977">
                  <w:marLeft w:val="0"/>
                  <w:marRight w:val="0"/>
                  <w:marTop w:val="0"/>
                  <w:marBottom w:val="0"/>
                  <w:divBdr>
                    <w:top w:val="none" w:sz="0" w:space="0" w:color="auto"/>
                    <w:left w:val="none" w:sz="0" w:space="0" w:color="auto"/>
                    <w:bottom w:val="none" w:sz="0" w:space="0" w:color="auto"/>
                    <w:right w:val="none" w:sz="0" w:space="0" w:color="auto"/>
                  </w:divBdr>
                  <w:divsChild>
                    <w:div w:id="691303549">
                      <w:marLeft w:val="0"/>
                      <w:marRight w:val="0"/>
                      <w:marTop w:val="0"/>
                      <w:marBottom w:val="0"/>
                      <w:divBdr>
                        <w:top w:val="none" w:sz="0" w:space="0" w:color="auto"/>
                        <w:left w:val="none" w:sz="0" w:space="0" w:color="auto"/>
                        <w:bottom w:val="none" w:sz="0" w:space="0" w:color="auto"/>
                        <w:right w:val="none" w:sz="0" w:space="0" w:color="auto"/>
                      </w:divBdr>
                    </w:div>
                    <w:div w:id="16970040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72977239">
      <w:bodyDiv w:val="1"/>
      <w:marLeft w:val="0"/>
      <w:marRight w:val="0"/>
      <w:marTop w:val="0"/>
      <w:marBottom w:val="0"/>
      <w:divBdr>
        <w:top w:val="none" w:sz="0" w:space="0" w:color="auto"/>
        <w:left w:val="none" w:sz="0" w:space="0" w:color="auto"/>
        <w:bottom w:val="none" w:sz="0" w:space="0" w:color="auto"/>
        <w:right w:val="none" w:sz="0" w:space="0" w:color="auto"/>
      </w:divBdr>
      <w:divsChild>
        <w:div w:id="1297249656">
          <w:marLeft w:val="0"/>
          <w:marRight w:val="0"/>
          <w:marTop w:val="0"/>
          <w:marBottom w:val="0"/>
          <w:divBdr>
            <w:top w:val="none" w:sz="0" w:space="0" w:color="auto"/>
            <w:left w:val="none" w:sz="0" w:space="0" w:color="auto"/>
            <w:bottom w:val="none" w:sz="0" w:space="0" w:color="auto"/>
            <w:right w:val="none" w:sz="0" w:space="0" w:color="auto"/>
          </w:divBdr>
          <w:divsChild>
            <w:div w:id="1514687799">
              <w:marLeft w:val="0"/>
              <w:marRight w:val="0"/>
              <w:marTop w:val="120"/>
              <w:marBottom w:val="0"/>
              <w:divBdr>
                <w:top w:val="none" w:sz="0" w:space="0" w:color="auto"/>
                <w:left w:val="none" w:sz="0" w:space="0" w:color="auto"/>
                <w:bottom w:val="none" w:sz="0" w:space="0" w:color="auto"/>
                <w:right w:val="none" w:sz="0" w:space="0" w:color="auto"/>
              </w:divBdr>
            </w:div>
            <w:div w:id="1311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5506">
      <w:bodyDiv w:val="1"/>
      <w:marLeft w:val="0"/>
      <w:marRight w:val="0"/>
      <w:marTop w:val="0"/>
      <w:marBottom w:val="0"/>
      <w:divBdr>
        <w:top w:val="none" w:sz="0" w:space="0" w:color="auto"/>
        <w:left w:val="none" w:sz="0" w:space="0" w:color="auto"/>
        <w:bottom w:val="none" w:sz="0" w:space="0" w:color="auto"/>
        <w:right w:val="none" w:sz="0" w:space="0" w:color="auto"/>
      </w:divBdr>
    </w:div>
    <w:div w:id="976496626">
      <w:bodyDiv w:val="1"/>
      <w:marLeft w:val="0"/>
      <w:marRight w:val="0"/>
      <w:marTop w:val="0"/>
      <w:marBottom w:val="0"/>
      <w:divBdr>
        <w:top w:val="none" w:sz="0" w:space="0" w:color="auto"/>
        <w:left w:val="none" w:sz="0" w:space="0" w:color="auto"/>
        <w:bottom w:val="none" w:sz="0" w:space="0" w:color="auto"/>
        <w:right w:val="none" w:sz="0" w:space="0" w:color="auto"/>
      </w:divBdr>
      <w:divsChild>
        <w:div w:id="1547571219">
          <w:marLeft w:val="0"/>
          <w:marRight w:val="0"/>
          <w:marTop w:val="0"/>
          <w:marBottom w:val="0"/>
          <w:divBdr>
            <w:top w:val="none" w:sz="0" w:space="0" w:color="auto"/>
            <w:left w:val="none" w:sz="0" w:space="0" w:color="auto"/>
            <w:bottom w:val="none" w:sz="0" w:space="0" w:color="auto"/>
            <w:right w:val="none" w:sz="0" w:space="0" w:color="auto"/>
          </w:divBdr>
          <w:divsChild>
            <w:div w:id="1416366750">
              <w:marLeft w:val="0"/>
              <w:marRight w:val="0"/>
              <w:marTop w:val="0"/>
              <w:marBottom w:val="0"/>
              <w:divBdr>
                <w:top w:val="none" w:sz="0" w:space="0" w:color="auto"/>
                <w:left w:val="none" w:sz="0" w:space="0" w:color="auto"/>
                <w:bottom w:val="none" w:sz="0" w:space="0" w:color="auto"/>
                <w:right w:val="none" w:sz="0" w:space="0" w:color="auto"/>
              </w:divBdr>
              <w:divsChild>
                <w:div w:id="1302157334">
                  <w:marLeft w:val="0"/>
                  <w:marRight w:val="0"/>
                  <w:marTop w:val="0"/>
                  <w:marBottom w:val="0"/>
                  <w:divBdr>
                    <w:top w:val="none" w:sz="0" w:space="0" w:color="auto"/>
                    <w:left w:val="none" w:sz="0" w:space="0" w:color="auto"/>
                    <w:bottom w:val="none" w:sz="0" w:space="0" w:color="auto"/>
                    <w:right w:val="none" w:sz="0" w:space="0" w:color="auto"/>
                  </w:divBdr>
                  <w:divsChild>
                    <w:div w:id="186336419">
                      <w:marLeft w:val="0"/>
                      <w:marRight w:val="0"/>
                      <w:marTop w:val="0"/>
                      <w:marBottom w:val="0"/>
                      <w:divBdr>
                        <w:top w:val="none" w:sz="0" w:space="0" w:color="auto"/>
                        <w:left w:val="none" w:sz="0" w:space="0" w:color="auto"/>
                        <w:bottom w:val="none" w:sz="0" w:space="0" w:color="auto"/>
                        <w:right w:val="none" w:sz="0" w:space="0" w:color="auto"/>
                      </w:divBdr>
                    </w:div>
                    <w:div w:id="16440403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76761830">
      <w:bodyDiv w:val="1"/>
      <w:marLeft w:val="0"/>
      <w:marRight w:val="0"/>
      <w:marTop w:val="0"/>
      <w:marBottom w:val="0"/>
      <w:divBdr>
        <w:top w:val="none" w:sz="0" w:space="0" w:color="auto"/>
        <w:left w:val="none" w:sz="0" w:space="0" w:color="auto"/>
        <w:bottom w:val="none" w:sz="0" w:space="0" w:color="auto"/>
        <w:right w:val="none" w:sz="0" w:space="0" w:color="auto"/>
      </w:divBdr>
    </w:div>
    <w:div w:id="978613740">
      <w:bodyDiv w:val="1"/>
      <w:marLeft w:val="0"/>
      <w:marRight w:val="0"/>
      <w:marTop w:val="0"/>
      <w:marBottom w:val="0"/>
      <w:divBdr>
        <w:top w:val="none" w:sz="0" w:space="0" w:color="auto"/>
        <w:left w:val="none" w:sz="0" w:space="0" w:color="auto"/>
        <w:bottom w:val="none" w:sz="0" w:space="0" w:color="auto"/>
        <w:right w:val="none" w:sz="0" w:space="0" w:color="auto"/>
      </w:divBdr>
      <w:divsChild>
        <w:div w:id="1934700635">
          <w:marLeft w:val="0"/>
          <w:marRight w:val="0"/>
          <w:marTop w:val="0"/>
          <w:marBottom w:val="0"/>
          <w:divBdr>
            <w:top w:val="none" w:sz="0" w:space="0" w:color="auto"/>
            <w:left w:val="none" w:sz="0" w:space="0" w:color="auto"/>
            <w:bottom w:val="none" w:sz="0" w:space="0" w:color="auto"/>
            <w:right w:val="none" w:sz="0" w:space="0" w:color="auto"/>
          </w:divBdr>
          <w:divsChild>
            <w:div w:id="1121220676">
              <w:marLeft w:val="0"/>
              <w:marRight w:val="0"/>
              <w:marTop w:val="0"/>
              <w:marBottom w:val="0"/>
              <w:divBdr>
                <w:top w:val="none" w:sz="0" w:space="0" w:color="auto"/>
                <w:left w:val="none" w:sz="0" w:space="0" w:color="auto"/>
                <w:bottom w:val="none" w:sz="0" w:space="0" w:color="auto"/>
                <w:right w:val="none" w:sz="0" w:space="0" w:color="auto"/>
              </w:divBdr>
              <w:divsChild>
                <w:div w:id="672488539">
                  <w:marLeft w:val="0"/>
                  <w:marRight w:val="0"/>
                  <w:marTop w:val="0"/>
                  <w:marBottom w:val="0"/>
                  <w:divBdr>
                    <w:top w:val="none" w:sz="0" w:space="0" w:color="auto"/>
                    <w:left w:val="none" w:sz="0" w:space="0" w:color="auto"/>
                    <w:bottom w:val="none" w:sz="0" w:space="0" w:color="auto"/>
                    <w:right w:val="none" w:sz="0" w:space="0" w:color="auto"/>
                  </w:divBdr>
                  <w:divsChild>
                    <w:div w:id="626855991">
                      <w:marLeft w:val="0"/>
                      <w:marRight w:val="0"/>
                      <w:marTop w:val="0"/>
                      <w:marBottom w:val="0"/>
                      <w:divBdr>
                        <w:top w:val="none" w:sz="0" w:space="0" w:color="auto"/>
                        <w:left w:val="none" w:sz="0" w:space="0" w:color="auto"/>
                        <w:bottom w:val="none" w:sz="0" w:space="0" w:color="auto"/>
                        <w:right w:val="none" w:sz="0" w:space="0" w:color="auto"/>
                      </w:divBdr>
                    </w:div>
                    <w:div w:id="1179194544">
                      <w:marLeft w:val="0"/>
                      <w:marRight w:val="0"/>
                      <w:marTop w:val="120"/>
                      <w:marBottom w:val="0"/>
                      <w:divBdr>
                        <w:top w:val="none" w:sz="0" w:space="0" w:color="auto"/>
                        <w:left w:val="none" w:sz="0" w:space="0" w:color="auto"/>
                        <w:bottom w:val="none" w:sz="0" w:space="0" w:color="auto"/>
                        <w:right w:val="none" w:sz="0" w:space="0" w:color="auto"/>
                      </w:divBdr>
                    </w:div>
                  </w:divsChild>
                </w:div>
                <w:div w:id="2031564332">
                  <w:marLeft w:val="0"/>
                  <w:marRight w:val="0"/>
                  <w:marTop w:val="0"/>
                  <w:marBottom w:val="0"/>
                  <w:divBdr>
                    <w:top w:val="none" w:sz="0" w:space="0" w:color="auto"/>
                    <w:left w:val="none" w:sz="0" w:space="0" w:color="auto"/>
                    <w:bottom w:val="none" w:sz="0" w:space="0" w:color="auto"/>
                    <w:right w:val="none" w:sz="0" w:space="0" w:color="auto"/>
                  </w:divBdr>
                  <w:divsChild>
                    <w:div w:id="319043895">
                      <w:marLeft w:val="0"/>
                      <w:marRight w:val="0"/>
                      <w:marTop w:val="0"/>
                      <w:marBottom w:val="0"/>
                      <w:divBdr>
                        <w:top w:val="none" w:sz="0" w:space="0" w:color="auto"/>
                        <w:left w:val="none" w:sz="0" w:space="0" w:color="auto"/>
                        <w:bottom w:val="none" w:sz="0" w:space="0" w:color="auto"/>
                        <w:right w:val="none" w:sz="0" w:space="0" w:color="auto"/>
                      </w:divBdr>
                    </w:div>
                    <w:div w:id="1805124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9942044">
      <w:bodyDiv w:val="1"/>
      <w:marLeft w:val="0"/>
      <w:marRight w:val="0"/>
      <w:marTop w:val="0"/>
      <w:marBottom w:val="0"/>
      <w:divBdr>
        <w:top w:val="none" w:sz="0" w:space="0" w:color="auto"/>
        <w:left w:val="none" w:sz="0" w:space="0" w:color="auto"/>
        <w:bottom w:val="none" w:sz="0" w:space="0" w:color="auto"/>
        <w:right w:val="none" w:sz="0" w:space="0" w:color="auto"/>
      </w:divBdr>
    </w:div>
    <w:div w:id="1023095776">
      <w:bodyDiv w:val="1"/>
      <w:marLeft w:val="0"/>
      <w:marRight w:val="0"/>
      <w:marTop w:val="0"/>
      <w:marBottom w:val="0"/>
      <w:divBdr>
        <w:top w:val="none" w:sz="0" w:space="0" w:color="auto"/>
        <w:left w:val="none" w:sz="0" w:space="0" w:color="auto"/>
        <w:bottom w:val="none" w:sz="0" w:space="0" w:color="auto"/>
        <w:right w:val="none" w:sz="0" w:space="0" w:color="auto"/>
      </w:divBdr>
    </w:div>
    <w:div w:id="1027099466">
      <w:bodyDiv w:val="1"/>
      <w:marLeft w:val="0"/>
      <w:marRight w:val="0"/>
      <w:marTop w:val="0"/>
      <w:marBottom w:val="0"/>
      <w:divBdr>
        <w:top w:val="none" w:sz="0" w:space="0" w:color="auto"/>
        <w:left w:val="none" w:sz="0" w:space="0" w:color="auto"/>
        <w:bottom w:val="none" w:sz="0" w:space="0" w:color="auto"/>
        <w:right w:val="none" w:sz="0" w:space="0" w:color="auto"/>
      </w:divBdr>
      <w:divsChild>
        <w:div w:id="778338254">
          <w:marLeft w:val="0"/>
          <w:marRight w:val="0"/>
          <w:marTop w:val="0"/>
          <w:marBottom w:val="0"/>
          <w:divBdr>
            <w:top w:val="none" w:sz="0" w:space="0" w:color="auto"/>
            <w:left w:val="none" w:sz="0" w:space="0" w:color="auto"/>
            <w:bottom w:val="none" w:sz="0" w:space="0" w:color="auto"/>
            <w:right w:val="none" w:sz="0" w:space="0" w:color="auto"/>
          </w:divBdr>
          <w:divsChild>
            <w:div w:id="1988781077">
              <w:marLeft w:val="0"/>
              <w:marRight w:val="0"/>
              <w:marTop w:val="0"/>
              <w:marBottom w:val="0"/>
              <w:divBdr>
                <w:top w:val="none" w:sz="0" w:space="0" w:color="auto"/>
                <w:left w:val="none" w:sz="0" w:space="0" w:color="auto"/>
                <w:bottom w:val="none" w:sz="0" w:space="0" w:color="auto"/>
                <w:right w:val="none" w:sz="0" w:space="0" w:color="auto"/>
              </w:divBdr>
              <w:divsChild>
                <w:div w:id="1920216330">
                  <w:marLeft w:val="0"/>
                  <w:marRight w:val="0"/>
                  <w:marTop w:val="0"/>
                  <w:marBottom w:val="0"/>
                  <w:divBdr>
                    <w:top w:val="none" w:sz="0" w:space="0" w:color="auto"/>
                    <w:left w:val="none" w:sz="0" w:space="0" w:color="auto"/>
                    <w:bottom w:val="none" w:sz="0" w:space="0" w:color="auto"/>
                    <w:right w:val="none" w:sz="0" w:space="0" w:color="auto"/>
                  </w:divBdr>
                  <w:divsChild>
                    <w:div w:id="887374642">
                      <w:marLeft w:val="0"/>
                      <w:marRight w:val="0"/>
                      <w:marTop w:val="120"/>
                      <w:marBottom w:val="0"/>
                      <w:divBdr>
                        <w:top w:val="none" w:sz="0" w:space="0" w:color="auto"/>
                        <w:left w:val="none" w:sz="0" w:space="0" w:color="auto"/>
                        <w:bottom w:val="none" w:sz="0" w:space="0" w:color="auto"/>
                        <w:right w:val="none" w:sz="0" w:space="0" w:color="auto"/>
                      </w:divBdr>
                    </w:div>
                    <w:div w:id="18452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145966">
      <w:bodyDiv w:val="1"/>
      <w:marLeft w:val="0"/>
      <w:marRight w:val="0"/>
      <w:marTop w:val="0"/>
      <w:marBottom w:val="0"/>
      <w:divBdr>
        <w:top w:val="none" w:sz="0" w:space="0" w:color="auto"/>
        <w:left w:val="none" w:sz="0" w:space="0" w:color="auto"/>
        <w:bottom w:val="none" w:sz="0" w:space="0" w:color="auto"/>
        <w:right w:val="none" w:sz="0" w:space="0" w:color="auto"/>
      </w:divBdr>
      <w:divsChild>
        <w:div w:id="541209295">
          <w:marLeft w:val="0"/>
          <w:marRight w:val="0"/>
          <w:marTop w:val="0"/>
          <w:marBottom w:val="0"/>
          <w:divBdr>
            <w:top w:val="none" w:sz="0" w:space="0" w:color="auto"/>
            <w:left w:val="none" w:sz="0" w:space="0" w:color="auto"/>
            <w:bottom w:val="none" w:sz="0" w:space="0" w:color="auto"/>
            <w:right w:val="none" w:sz="0" w:space="0" w:color="auto"/>
          </w:divBdr>
          <w:divsChild>
            <w:div w:id="381027249">
              <w:marLeft w:val="0"/>
              <w:marRight w:val="0"/>
              <w:marTop w:val="0"/>
              <w:marBottom w:val="0"/>
              <w:divBdr>
                <w:top w:val="none" w:sz="0" w:space="0" w:color="auto"/>
                <w:left w:val="none" w:sz="0" w:space="0" w:color="auto"/>
                <w:bottom w:val="none" w:sz="0" w:space="0" w:color="auto"/>
                <w:right w:val="none" w:sz="0" w:space="0" w:color="auto"/>
              </w:divBdr>
              <w:divsChild>
                <w:div w:id="102649992">
                  <w:marLeft w:val="0"/>
                  <w:marRight w:val="0"/>
                  <w:marTop w:val="0"/>
                  <w:marBottom w:val="0"/>
                  <w:divBdr>
                    <w:top w:val="none" w:sz="0" w:space="0" w:color="auto"/>
                    <w:left w:val="none" w:sz="0" w:space="0" w:color="auto"/>
                    <w:bottom w:val="none" w:sz="0" w:space="0" w:color="auto"/>
                    <w:right w:val="none" w:sz="0" w:space="0" w:color="auto"/>
                  </w:divBdr>
                  <w:divsChild>
                    <w:div w:id="354966638">
                      <w:marLeft w:val="0"/>
                      <w:marRight w:val="0"/>
                      <w:marTop w:val="0"/>
                      <w:marBottom w:val="0"/>
                      <w:divBdr>
                        <w:top w:val="none" w:sz="0" w:space="0" w:color="auto"/>
                        <w:left w:val="none" w:sz="0" w:space="0" w:color="auto"/>
                        <w:bottom w:val="none" w:sz="0" w:space="0" w:color="auto"/>
                        <w:right w:val="none" w:sz="0" w:space="0" w:color="auto"/>
                      </w:divBdr>
                    </w:div>
                  </w:divsChild>
                </w:div>
                <w:div w:id="119306771">
                  <w:marLeft w:val="0"/>
                  <w:marRight w:val="0"/>
                  <w:marTop w:val="0"/>
                  <w:marBottom w:val="0"/>
                  <w:divBdr>
                    <w:top w:val="none" w:sz="0" w:space="0" w:color="auto"/>
                    <w:left w:val="none" w:sz="0" w:space="0" w:color="auto"/>
                    <w:bottom w:val="none" w:sz="0" w:space="0" w:color="auto"/>
                    <w:right w:val="none" w:sz="0" w:space="0" w:color="auto"/>
                  </w:divBdr>
                  <w:divsChild>
                    <w:div w:id="1683628770">
                      <w:marLeft w:val="0"/>
                      <w:marRight w:val="0"/>
                      <w:marTop w:val="120"/>
                      <w:marBottom w:val="0"/>
                      <w:divBdr>
                        <w:top w:val="none" w:sz="0" w:space="0" w:color="auto"/>
                        <w:left w:val="none" w:sz="0" w:space="0" w:color="auto"/>
                        <w:bottom w:val="none" w:sz="0" w:space="0" w:color="auto"/>
                        <w:right w:val="none" w:sz="0" w:space="0" w:color="auto"/>
                      </w:divBdr>
                    </w:div>
                    <w:div w:id="1731659013">
                      <w:marLeft w:val="0"/>
                      <w:marRight w:val="0"/>
                      <w:marTop w:val="0"/>
                      <w:marBottom w:val="0"/>
                      <w:divBdr>
                        <w:top w:val="none" w:sz="0" w:space="0" w:color="auto"/>
                        <w:left w:val="none" w:sz="0" w:space="0" w:color="auto"/>
                        <w:bottom w:val="none" w:sz="0" w:space="0" w:color="auto"/>
                        <w:right w:val="none" w:sz="0" w:space="0" w:color="auto"/>
                      </w:divBdr>
                      <w:divsChild>
                        <w:div w:id="269704989">
                          <w:marLeft w:val="0"/>
                          <w:marRight w:val="0"/>
                          <w:marTop w:val="0"/>
                          <w:marBottom w:val="0"/>
                          <w:divBdr>
                            <w:top w:val="none" w:sz="0" w:space="0" w:color="auto"/>
                            <w:left w:val="none" w:sz="0" w:space="0" w:color="auto"/>
                            <w:bottom w:val="none" w:sz="0" w:space="0" w:color="auto"/>
                            <w:right w:val="none" w:sz="0" w:space="0" w:color="auto"/>
                          </w:divBdr>
                          <w:divsChild>
                            <w:div w:id="1365401273">
                              <w:marLeft w:val="0"/>
                              <w:marRight w:val="0"/>
                              <w:marTop w:val="120"/>
                              <w:marBottom w:val="0"/>
                              <w:divBdr>
                                <w:top w:val="none" w:sz="0" w:space="0" w:color="auto"/>
                                <w:left w:val="none" w:sz="0" w:space="0" w:color="auto"/>
                                <w:bottom w:val="none" w:sz="0" w:space="0" w:color="auto"/>
                                <w:right w:val="none" w:sz="0" w:space="0" w:color="auto"/>
                              </w:divBdr>
                            </w:div>
                            <w:div w:id="2119253754">
                              <w:marLeft w:val="0"/>
                              <w:marRight w:val="0"/>
                              <w:marTop w:val="0"/>
                              <w:marBottom w:val="0"/>
                              <w:divBdr>
                                <w:top w:val="none" w:sz="0" w:space="0" w:color="auto"/>
                                <w:left w:val="none" w:sz="0" w:space="0" w:color="auto"/>
                                <w:bottom w:val="none" w:sz="0" w:space="0" w:color="auto"/>
                                <w:right w:val="none" w:sz="0" w:space="0" w:color="auto"/>
                              </w:divBdr>
                            </w:div>
                          </w:divsChild>
                        </w:div>
                        <w:div w:id="1860466369">
                          <w:marLeft w:val="0"/>
                          <w:marRight w:val="0"/>
                          <w:marTop w:val="0"/>
                          <w:marBottom w:val="0"/>
                          <w:divBdr>
                            <w:top w:val="none" w:sz="0" w:space="0" w:color="auto"/>
                            <w:left w:val="none" w:sz="0" w:space="0" w:color="auto"/>
                            <w:bottom w:val="none" w:sz="0" w:space="0" w:color="auto"/>
                            <w:right w:val="none" w:sz="0" w:space="0" w:color="auto"/>
                          </w:divBdr>
                          <w:divsChild>
                            <w:div w:id="1163087667">
                              <w:marLeft w:val="0"/>
                              <w:marRight w:val="0"/>
                              <w:marTop w:val="0"/>
                              <w:marBottom w:val="0"/>
                              <w:divBdr>
                                <w:top w:val="none" w:sz="0" w:space="0" w:color="auto"/>
                                <w:left w:val="none" w:sz="0" w:space="0" w:color="auto"/>
                                <w:bottom w:val="none" w:sz="0" w:space="0" w:color="auto"/>
                                <w:right w:val="none" w:sz="0" w:space="0" w:color="auto"/>
                              </w:divBdr>
                            </w:div>
                            <w:div w:id="2135906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9098577">
                  <w:marLeft w:val="0"/>
                  <w:marRight w:val="0"/>
                  <w:marTop w:val="0"/>
                  <w:marBottom w:val="0"/>
                  <w:divBdr>
                    <w:top w:val="none" w:sz="0" w:space="0" w:color="auto"/>
                    <w:left w:val="none" w:sz="0" w:space="0" w:color="auto"/>
                    <w:bottom w:val="none" w:sz="0" w:space="0" w:color="auto"/>
                    <w:right w:val="none" w:sz="0" w:space="0" w:color="auto"/>
                  </w:divBdr>
                  <w:divsChild>
                    <w:div w:id="947203576">
                      <w:marLeft w:val="0"/>
                      <w:marRight w:val="0"/>
                      <w:marTop w:val="0"/>
                      <w:marBottom w:val="0"/>
                      <w:divBdr>
                        <w:top w:val="none" w:sz="0" w:space="0" w:color="auto"/>
                        <w:left w:val="none" w:sz="0" w:space="0" w:color="auto"/>
                        <w:bottom w:val="none" w:sz="0" w:space="0" w:color="auto"/>
                        <w:right w:val="none" w:sz="0" w:space="0" w:color="auto"/>
                      </w:divBdr>
                    </w:div>
                    <w:div w:id="1684629050">
                      <w:marLeft w:val="0"/>
                      <w:marRight w:val="0"/>
                      <w:marTop w:val="120"/>
                      <w:marBottom w:val="0"/>
                      <w:divBdr>
                        <w:top w:val="none" w:sz="0" w:space="0" w:color="auto"/>
                        <w:left w:val="none" w:sz="0" w:space="0" w:color="auto"/>
                        <w:bottom w:val="none" w:sz="0" w:space="0" w:color="auto"/>
                        <w:right w:val="none" w:sz="0" w:space="0" w:color="auto"/>
                      </w:divBdr>
                    </w:div>
                  </w:divsChild>
                </w:div>
                <w:div w:id="313293621">
                  <w:marLeft w:val="0"/>
                  <w:marRight w:val="0"/>
                  <w:marTop w:val="0"/>
                  <w:marBottom w:val="0"/>
                  <w:divBdr>
                    <w:top w:val="none" w:sz="0" w:space="0" w:color="auto"/>
                    <w:left w:val="none" w:sz="0" w:space="0" w:color="auto"/>
                    <w:bottom w:val="none" w:sz="0" w:space="0" w:color="auto"/>
                    <w:right w:val="none" w:sz="0" w:space="0" w:color="auto"/>
                  </w:divBdr>
                  <w:divsChild>
                    <w:div w:id="299962196">
                      <w:marLeft w:val="0"/>
                      <w:marRight w:val="0"/>
                      <w:marTop w:val="0"/>
                      <w:marBottom w:val="0"/>
                      <w:divBdr>
                        <w:top w:val="none" w:sz="0" w:space="0" w:color="auto"/>
                        <w:left w:val="none" w:sz="0" w:space="0" w:color="auto"/>
                        <w:bottom w:val="none" w:sz="0" w:space="0" w:color="auto"/>
                        <w:right w:val="none" w:sz="0" w:space="0" w:color="auto"/>
                      </w:divBdr>
                    </w:div>
                    <w:div w:id="889151422">
                      <w:marLeft w:val="0"/>
                      <w:marRight w:val="0"/>
                      <w:marTop w:val="120"/>
                      <w:marBottom w:val="0"/>
                      <w:divBdr>
                        <w:top w:val="none" w:sz="0" w:space="0" w:color="auto"/>
                        <w:left w:val="none" w:sz="0" w:space="0" w:color="auto"/>
                        <w:bottom w:val="none" w:sz="0" w:space="0" w:color="auto"/>
                        <w:right w:val="none" w:sz="0" w:space="0" w:color="auto"/>
                      </w:divBdr>
                    </w:div>
                  </w:divsChild>
                </w:div>
                <w:div w:id="566497051">
                  <w:marLeft w:val="0"/>
                  <w:marRight w:val="0"/>
                  <w:marTop w:val="0"/>
                  <w:marBottom w:val="0"/>
                  <w:divBdr>
                    <w:top w:val="none" w:sz="0" w:space="0" w:color="auto"/>
                    <w:left w:val="none" w:sz="0" w:space="0" w:color="auto"/>
                    <w:bottom w:val="none" w:sz="0" w:space="0" w:color="auto"/>
                    <w:right w:val="none" w:sz="0" w:space="0" w:color="auto"/>
                  </w:divBdr>
                  <w:divsChild>
                    <w:div w:id="1199125262">
                      <w:marLeft w:val="0"/>
                      <w:marRight w:val="0"/>
                      <w:marTop w:val="120"/>
                      <w:marBottom w:val="0"/>
                      <w:divBdr>
                        <w:top w:val="none" w:sz="0" w:space="0" w:color="auto"/>
                        <w:left w:val="none" w:sz="0" w:space="0" w:color="auto"/>
                        <w:bottom w:val="none" w:sz="0" w:space="0" w:color="auto"/>
                        <w:right w:val="none" w:sz="0" w:space="0" w:color="auto"/>
                      </w:divBdr>
                    </w:div>
                    <w:div w:id="1864318571">
                      <w:marLeft w:val="0"/>
                      <w:marRight w:val="0"/>
                      <w:marTop w:val="0"/>
                      <w:marBottom w:val="0"/>
                      <w:divBdr>
                        <w:top w:val="none" w:sz="0" w:space="0" w:color="auto"/>
                        <w:left w:val="none" w:sz="0" w:space="0" w:color="auto"/>
                        <w:bottom w:val="none" w:sz="0" w:space="0" w:color="auto"/>
                        <w:right w:val="none" w:sz="0" w:space="0" w:color="auto"/>
                      </w:divBdr>
                    </w:div>
                  </w:divsChild>
                </w:div>
                <w:div w:id="635455659">
                  <w:marLeft w:val="0"/>
                  <w:marRight w:val="0"/>
                  <w:marTop w:val="0"/>
                  <w:marBottom w:val="0"/>
                  <w:divBdr>
                    <w:top w:val="none" w:sz="0" w:space="0" w:color="auto"/>
                    <w:left w:val="none" w:sz="0" w:space="0" w:color="auto"/>
                    <w:bottom w:val="none" w:sz="0" w:space="0" w:color="auto"/>
                    <w:right w:val="none" w:sz="0" w:space="0" w:color="auto"/>
                  </w:divBdr>
                  <w:divsChild>
                    <w:div w:id="334037987">
                      <w:marLeft w:val="0"/>
                      <w:marRight w:val="0"/>
                      <w:marTop w:val="0"/>
                      <w:marBottom w:val="0"/>
                      <w:divBdr>
                        <w:top w:val="none" w:sz="0" w:space="0" w:color="auto"/>
                        <w:left w:val="none" w:sz="0" w:space="0" w:color="auto"/>
                        <w:bottom w:val="none" w:sz="0" w:space="0" w:color="auto"/>
                        <w:right w:val="none" w:sz="0" w:space="0" w:color="auto"/>
                      </w:divBdr>
                    </w:div>
                    <w:div w:id="1386415303">
                      <w:marLeft w:val="0"/>
                      <w:marRight w:val="0"/>
                      <w:marTop w:val="120"/>
                      <w:marBottom w:val="0"/>
                      <w:divBdr>
                        <w:top w:val="none" w:sz="0" w:space="0" w:color="auto"/>
                        <w:left w:val="none" w:sz="0" w:space="0" w:color="auto"/>
                        <w:bottom w:val="none" w:sz="0" w:space="0" w:color="auto"/>
                        <w:right w:val="none" w:sz="0" w:space="0" w:color="auto"/>
                      </w:divBdr>
                    </w:div>
                  </w:divsChild>
                </w:div>
                <w:div w:id="853499159">
                  <w:marLeft w:val="0"/>
                  <w:marRight w:val="0"/>
                  <w:marTop w:val="0"/>
                  <w:marBottom w:val="0"/>
                  <w:divBdr>
                    <w:top w:val="none" w:sz="0" w:space="0" w:color="auto"/>
                    <w:left w:val="none" w:sz="0" w:space="0" w:color="auto"/>
                    <w:bottom w:val="none" w:sz="0" w:space="0" w:color="auto"/>
                    <w:right w:val="none" w:sz="0" w:space="0" w:color="auto"/>
                  </w:divBdr>
                  <w:divsChild>
                    <w:div w:id="1148281636">
                      <w:marLeft w:val="0"/>
                      <w:marRight w:val="0"/>
                      <w:marTop w:val="120"/>
                      <w:marBottom w:val="0"/>
                      <w:divBdr>
                        <w:top w:val="none" w:sz="0" w:space="0" w:color="auto"/>
                        <w:left w:val="none" w:sz="0" w:space="0" w:color="auto"/>
                        <w:bottom w:val="none" w:sz="0" w:space="0" w:color="auto"/>
                        <w:right w:val="none" w:sz="0" w:space="0" w:color="auto"/>
                      </w:divBdr>
                    </w:div>
                    <w:div w:id="1748111442">
                      <w:marLeft w:val="0"/>
                      <w:marRight w:val="0"/>
                      <w:marTop w:val="0"/>
                      <w:marBottom w:val="0"/>
                      <w:divBdr>
                        <w:top w:val="none" w:sz="0" w:space="0" w:color="auto"/>
                        <w:left w:val="none" w:sz="0" w:space="0" w:color="auto"/>
                        <w:bottom w:val="none" w:sz="0" w:space="0" w:color="auto"/>
                        <w:right w:val="none" w:sz="0" w:space="0" w:color="auto"/>
                      </w:divBdr>
                    </w:div>
                  </w:divsChild>
                </w:div>
                <w:div w:id="1172378240">
                  <w:marLeft w:val="0"/>
                  <w:marRight w:val="0"/>
                  <w:marTop w:val="0"/>
                  <w:marBottom w:val="0"/>
                  <w:divBdr>
                    <w:top w:val="none" w:sz="0" w:space="0" w:color="auto"/>
                    <w:left w:val="none" w:sz="0" w:space="0" w:color="auto"/>
                    <w:bottom w:val="none" w:sz="0" w:space="0" w:color="auto"/>
                    <w:right w:val="none" w:sz="0" w:space="0" w:color="auto"/>
                  </w:divBdr>
                  <w:divsChild>
                    <w:div w:id="328365942">
                      <w:marLeft w:val="0"/>
                      <w:marRight w:val="0"/>
                      <w:marTop w:val="120"/>
                      <w:marBottom w:val="0"/>
                      <w:divBdr>
                        <w:top w:val="none" w:sz="0" w:space="0" w:color="auto"/>
                        <w:left w:val="none" w:sz="0" w:space="0" w:color="auto"/>
                        <w:bottom w:val="none" w:sz="0" w:space="0" w:color="auto"/>
                        <w:right w:val="none" w:sz="0" w:space="0" w:color="auto"/>
                      </w:divBdr>
                    </w:div>
                    <w:div w:id="19756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4940">
      <w:bodyDiv w:val="1"/>
      <w:marLeft w:val="0"/>
      <w:marRight w:val="0"/>
      <w:marTop w:val="0"/>
      <w:marBottom w:val="0"/>
      <w:divBdr>
        <w:top w:val="none" w:sz="0" w:space="0" w:color="auto"/>
        <w:left w:val="none" w:sz="0" w:space="0" w:color="auto"/>
        <w:bottom w:val="none" w:sz="0" w:space="0" w:color="auto"/>
        <w:right w:val="none" w:sz="0" w:space="0" w:color="auto"/>
      </w:divBdr>
    </w:div>
    <w:div w:id="1048067537">
      <w:bodyDiv w:val="1"/>
      <w:marLeft w:val="0"/>
      <w:marRight w:val="0"/>
      <w:marTop w:val="0"/>
      <w:marBottom w:val="0"/>
      <w:divBdr>
        <w:top w:val="none" w:sz="0" w:space="0" w:color="auto"/>
        <w:left w:val="none" w:sz="0" w:space="0" w:color="auto"/>
        <w:bottom w:val="none" w:sz="0" w:space="0" w:color="auto"/>
        <w:right w:val="none" w:sz="0" w:space="0" w:color="auto"/>
      </w:divBdr>
      <w:divsChild>
        <w:div w:id="106395778">
          <w:marLeft w:val="0"/>
          <w:marRight w:val="0"/>
          <w:marTop w:val="0"/>
          <w:marBottom w:val="0"/>
          <w:divBdr>
            <w:top w:val="none" w:sz="0" w:space="0" w:color="auto"/>
            <w:left w:val="none" w:sz="0" w:space="0" w:color="auto"/>
            <w:bottom w:val="none" w:sz="0" w:space="0" w:color="auto"/>
            <w:right w:val="none" w:sz="0" w:space="0" w:color="auto"/>
          </w:divBdr>
          <w:divsChild>
            <w:div w:id="1145926261">
              <w:marLeft w:val="0"/>
              <w:marRight w:val="0"/>
              <w:marTop w:val="0"/>
              <w:marBottom w:val="0"/>
              <w:divBdr>
                <w:top w:val="none" w:sz="0" w:space="0" w:color="auto"/>
                <w:left w:val="none" w:sz="0" w:space="0" w:color="auto"/>
                <w:bottom w:val="none" w:sz="0" w:space="0" w:color="auto"/>
                <w:right w:val="none" w:sz="0" w:space="0" w:color="auto"/>
              </w:divBdr>
              <w:divsChild>
                <w:div w:id="839664610">
                  <w:marLeft w:val="0"/>
                  <w:marRight w:val="0"/>
                  <w:marTop w:val="120"/>
                  <w:marBottom w:val="0"/>
                  <w:divBdr>
                    <w:top w:val="none" w:sz="0" w:space="0" w:color="auto"/>
                    <w:left w:val="none" w:sz="0" w:space="0" w:color="auto"/>
                    <w:bottom w:val="none" w:sz="0" w:space="0" w:color="auto"/>
                    <w:right w:val="none" w:sz="0" w:space="0" w:color="auto"/>
                  </w:divBdr>
                </w:div>
                <w:div w:id="1230457252">
                  <w:marLeft w:val="0"/>
                  <w:marRight w:val="0"/>
                  <w:marTop w:val="0"/>
                  <w:marBottom w:val="0"/>
                  <w:divBdr>
                    <w:top w:val="none" w:sz="0" w:space="0" w:color="auto"/>
                    <w:left w:val="none" w:sz="0" w:space="0" w:color="auto"/>
                    <w:bottom w:val="none" w:sz="0" w:space="0" w:color="auto"/>
                    <w:right w:val="none" w:sz="0" w:space="0" w:color="auto"/>
                  </w:divBdr>
                </w:div>
              </w:divsChild>
            </w:div>
            <w:div w:id="591285454">
              <w:marLeft w:val="0"/>
              <w:marRight w:val="0"/>
              <w:marTop w:val="0"/>
              <w:marBottom w:val="0"/>
              <w:divBdr>
                <w:top w:val="none" w:sz="0" w:space="0" w:color="auto"/>
                <w:left w:val="none" w:sz="0" w:space="0" w:color="auto"/>
                <w:bottom w:val="none" w:sz="0" w:space="0" w:color="auto"/>
                <w:right w:val="none" w:sz="0" w:space="0" w:color="auto"/>
              </w:divBdr>
              <w:divsChild>
                <w:div w:id="739333248">
                  <w:marLeft w:val="0"/>
                  <w:marRight w:val="0"/>
                  <w:marTop w:val="120"/>
                  <w:marBottom w:val="0"/>
                  <w:divBdr>
                    <w:top w:val="none" w:sz="0" w:space="0" w:color="auto"/>
                    <w:left w:val="none" w:sz="0" w:space="0" w:color="auto"/>
                    <w:bottom w:val="none" w:sz="0" w:space="0" w:color="auto"/>
                    <w:right w:val="none" w:sz="0" w:space="0" w:color="auto"/>
                  </w:divBdr>
                </w:div>
                <w:div w:id="1778596789">
                  <w:marLeft w:val="0"/>
                  <w:marRight w:val="0"/>
                  <w:marTop w:val="0"/>
                  <w:marBottom w:val="0"/>
                  <w:divBdr>
                    <w:top w:val="none" w:sz="0" w:space="0" w:color="auto"/>
                    <w:left w:val="none" w:sz="0" w:space="0" w:color="auto"/>
                    <w:bottom w:val="none" w:sz="0" w:space="0" w:color="auto"/>
                    <w:right w:val="none" w:sz="0" w:space="0" w:color="auto"/>
                  </w:divBdr>
                  <w:divsChild>
                    <w:div w:id="1573585410">
                      <w:marLeft w:val="0"/>
                      <w:marRight w:val="0"/>
                      <w:marTop w:val="0"/>
                      <w:marBottom w:val="0"/>
                      <w:divBdr>
                        <w:top w:val="none" w:sz="0" w:space="0" w:color="auto"/>
                        <w:left w:val="none" w:sz="0" w:space="0" w:color="auto"/>
                        <w:bottom w:val="none" w:sz="0" w:space="0" w:color="auto"/>
                        <w:right w:val="none" w:sz="0" w:space="0" w:color="auto"/>
                      </w:divBdr>
                      <w:divsChild>
                        <w:div w:id="1476215796">
                          <w:marLeft w:val="0"/>
                          <w:marRight w:val="0"/>
                          <w:marTop w:val="120"/>
                          <w:marBottom w:val="0"/>
                          <w:divBdr>
                            <w:top w:val="none" w:sz="0" w:space="0" w:color="auto"/>
                            <w:left w:val="none" w:sz="0" w:space="0" w:color="auto"/>
                            <w:bottom w:val="none" w:sz="0" w:space="0" w:color="auto"/>
                            <w:right w:val="none" w:sz="0" w:space="0" w:color="auto"/>
                          </w:divBdr>
                        </w:div>
                        <w:div w:id="211819311">
                          <w:marLeft w:val="0"/>
                          <w:marRight w:val="0"/>
                          <w:marTop w:val="0"/>
                          <w:marBottom w:val="0"/>
                          <w:divBdr>
                            <w:top w:val="none" w:sz="0" w:space="0" w:color="auto"/>
                            <w:left w:val="none" w:sz="0" w:space="0" w:color="auto"/>
                            <w:bottom w:val="none" w:sz="0" w:space="0" w:color="auto"/>
                            <w:right w:val="none" w:sz="0" w:space="0" w:color="auto"/>
                          </w:divBdr>
                        </w:div>
                      </w:divsChild>
                    </w:div>
                    <w:div w:id="188375767">
                      <w:marLeft w:val="0"/>
                      <w:marRight w:val="0"/>
                      <w:marTop w:val="0"/>
                      <w:marBottom w:val="0"/>
                      <w:divBdr>
                        <w:top w:val="none" w:sz="0" w:space="0" w:color="auto"/>
                        <w:left w:val="none" w:sz="0" w:space="0" w:color="auto"/>
                        <w:bottom w:val="none" w:sz="0" w:space="0" w:color="auto"/>
                        <w:right w:val="none" w:sz="0" w:space="0" w:color="auto"/>
                      </w:divBdr>
                      <w:divsChild>
                        <w:div w:id="147673176">
                          <w:marLeft w:val="0"/>
                          <w:marRight w:val="0"/>
                          <w:marTop w:val="120"/>
                          <w:marBottom w:val="0"/>
                          <w:divBdr>
                            <w:top w:val="none" w:sz="0" w:space="0" w:color="auto"/>
                            <w:left w:val="none" w:sz="0" w:space="0" w:color="auto"/>
                            <w:bottom w:val="none" w:sz="0" w:space="0" w:color="auto"/>
                            <w:right w:val="none" w:sz="0" w:space="0" w:color="auto"/>
                          </w:divBdr>
                        </w:div>
                        <w:div w:id="15689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85924">
              <w:marLeft w:val="0"/>
              <w:marRight w:val="0"/>
              <w:marTop w:val="0"/>
              <w:marBottom w:val="0"/>
              <w:divBdr>
                <w:top w:val="none" w:sz="0" w:space="0" w:color="auto"/>
                <w:left w:val="none" w:sz="0" w:space="0" w:color="auto"/>
                <w:bottom w:val="none" w:sz="0" w:space="0" w:color="auto"/>
                <w:right w:val="none" w:sz="0" w:space="0" w:color="auto"/>
              </w:divBdr>
              <w:divsChild>
                <w:div w:id="119496691">
                  <w:marLeft w:val="0"/>
                  <w:marRight w:val="0"/>
                  <w:marTop w:val="120"/>
                  <w:marBottom w:val="0"/>
                  <w:divBdr>
                    <w:top w:val="none" w:sz="0" w:space="0" w:color="auto"/>
                    <w:left w:val="none" w:sz="0" w:space="0" w:color="auto"/>
                    <w:bottom w:val="none" w:sz="0" w:space="0" w:color="auto"/>
                    <w:right w:val="none" w:sz="0" w:space="0" w:color="auto"/>
                  </w:divBdr>
                </w:div>
                <w:div w:id="266278016">
                  <w:marLeft w:val="0"/>
                  <w:marRight w:val="0"/>
                  <w:marTop w:val="0"/>
                  <w:marBottom w:val="0"/>
                  <w:divBdr>
                    <w:top w:val="none" w:sz="0" w:space="0" w:color="auto"/>
                    <w:left w:val="none" w:sz="0" w:space="0" w:color="auto"/>
                    <w:bottom w:val="none" w:sz="0" w:space="0" w:color="auto"/>
                    <w:right w:val="none" w:sz="0" w:space="0" w:color="auto"/>
                  </w:divBdr>
                </w:div>
              </w:divsChild>
            </w:div>
            <w:div w:id="271060963">
              <w:marLeft w:val="0"/>
              <w:marRight w:val="0"/>
              <w:marTop w:val="0"/>
              <w:marBottom w:val="0"/>
              <w:divBdr>
                <w:top w:val="none" w:sz="0" w:space="0" w:color="auto"/>
                <w:left w:val="none" w:sz="0" w:space="0" w:color="auto"/>
                <w:bottom w:val="none" w:sz="0" w:space="0" w:color="auto"/>
                <w:right w:val="none" w:sz="0" w:space="0" w:color="auto"/>
              </w:divBdr>
              <w:divsChild>
                <w:div w:id="159857303">
                  <w:marLeft w:val="0"/>
                  <w:marRight w:val="0"/>
                  <w:marTop w:val="120"/>
                  <w:marBottom w:val="0"/>
                  <w:divBdr>
                    <w:top w:val="none" w:sz="0" w:space="0" w:color="auto"/>
                    <w:left w:val="none" w:sz="0" w:space="0" w:color="auto"/>
                    <w:bottom w:val="none" w:sz="0" w:space="0" w:color="auto"/>
                    <w:right w:val="none" w:sz="0" w:space="0" w:color="auto"/>
                  </w:divBdr>
                </w:div>
                <w:div w:id="1195849802">
                  <w:marLeft w:val="0"/>
                  <w:marRight w:val="0"/>
                  <w:marTop w:val="0"/>
                  <w:marBottom w:val="0"/>
                  <w:divBdr>
                    <w:top w:val="none" w:sz="0" w:space="0" w:color="auto"/>
                    <w:left w:val="none" w:sz="0" w:space="0" w:color="auto"/>
                    <w:bottom w:val="none" w:sz="0" w:space="0" w:color="auto"/>
                    <w:right w:val="none" w:sz="0" w:space="0" w:color="auto"/>
                  </w:divBdr>
                </w:div>
              </w:divsChild>
            </w:div>
            <w:div w:id="122508087">
              <w:marLeft w:val="0"/>
              <w:marRight w:val="0"/>
              <w:marTop w:val="0"/>
              <w:marBottom w:val="0"/>
              <w:divBdr>
                <w:top w:val="none" w:sz="0" w:space="0" w:color="auto"/>
                <w:left w:val="none" w:sz="0" w:space="0" w:color="auto"/>
                <w:bottom w:val="none" w:sz="0" w:space="0" w:color="auto"/>
                <w:right w:val="none" w:sz="0" w:space="0" w:color="auto"/>
              </w:divBdr>
              <w:divsChild>
                <w:div w:id="152334262">
                  <w:marLeft w:val="0"/>
                  <w:marRight w:val="0"/>
                  <w:marTop w:val="120"/>
                  <w:marBottom w:val="0"/>
                  <w:divBdr>
                    <w:top w:val="none" w:sz="0" w:space="0" w:color="auto"/>
                    <w:left w:val="none" w:sz="0" w:space="0" w:color="auto"/>
                    <w:bottom w:val="none" w:sz="0" w:space="0" w:color="auto"/>
                    <w:right w:val="none" w:sz="0" w:space="0" w:color="auto"/>
                  </w:divBdr>
                </w:div>
                <w:div w:id="878396107">
                  <w:marLeft w:val="0"/>
                  <w:marRight w:val="0"/>
                  <w:marTop w:val="0"/>
                  <w:marBottom w:val="0"/>
                  <w:divBdr>
                    <w:top w:val="none" w:sz="0" w:space="0" w:color="auto"/>
                    <w:left w:val="none" w:sz="0" w:space="0" w:color="auto"/>
                    <w:bottom w:val="none" w:sz="0" w:space="0" w:color="auto"/>
                    <w:right w:val="none" w:sz="0" w:space="0" w:color="auto"/>
                  </w:divBdr>
                </w:div>
              </w:divsChild>
            </w:div>
            <w:div w:id="1079329160">
              <w:marLeft w:val="0"/>
              <w:marRight w:val="0"/>
              <w:marTop w:val="0"/>
              <w:marBottom w:val="0"/>
              <w:divBdr>
                <w:top w:val="none" w:sz="0" w:space="0" w:color="auto"/>
                <w:left w:val="none" w:sz="0" w:space="0" w:color="auto"/>
                <w:bottom w:val="none" w:sz="0" w:space="0" w:color="auto"/>
                <w:right w:val="none" w:sz="0" w:space="0" w:color="auto"/>
              </w:divBdr>
              <w:divsChild>
                <w:div w:id="2065828933">
                  <w:marLeft w:val="0"/>
                  <w:marRight w:val="0"/>
                  <w:marTop w:val="120"/>
                  <w:marBottom w:val="0"/>
                  <w:divBdr>
                    <w:top w:val="none" w:sz="0" w:space="0" w:color="auto"/>
                    <w:left w:val="none" w:sz="0" w:space="0" w:color="auto"/>
                    <w:bottom w:val="none" w:sz="0" w:space="0" w:color="auto"/>
                    <w:right w:val="none" w:sz="0" w:space="0" w:color="auto"/>
                  </w:divBdr>
                </w:div>
                <w:div w:id="990327686">
                  <w:marLeft w:val="0"/>
                  <w:marRight w:val="0"/>
                  <w:marTop w:val="0"/>
                  <w:marBottom w:val="0"/>
                  <w:divBdr>
                    <w:top w:val="none" w:sz="0" w:space="0" w:color="auto"/>
                    <w:left w:val="none" w:sz="0" w:space="0" w:color="auto"/>
                    <w:bottom w:val="none" w:sz="0" w:space="0" w:color="auto"/>
                    <w:right w:val="none" w:sz="0" w:space="0" w:color="auto"/>
                  </w:divBdr>
                </w:div>
              </w:divsChild>
            </w:div>
            <w:div w:id="1562322990">
              <w:marLeft w:val="0"/>
              <w:marRight w:val="0"/>
              <w:marTop w:val="0"/>
              <w:marBottom w:val="0"/>
              <w:divBdr>
                <w:top w:val="none" w:sz="0" w:space="0" w:color="auto"/>
                <w:left w:val="none" w:sz="0" w:space="0" w:color="auto"/>
                <w:bottom w:val="none" w:sz="0" w:space="0" w:color="auto"/>
                <w:right w:val="none" w:sz="0" w:space="0" w:color="auto"/>
              </w:divBdr>
              <w:divsChild>
                <w:div w:id="423654220">
                  <w:marLeft w:val="0"/>
                  <w:marRight w:val="0"/>
                  <w:marTop w:val="120"/>
                  <w:marBottom w:val="0"/>
                  <w:divBdr>
                    <w:top w:val="none" w:sz="0" w:space="0" w:color="auto"/>
                    <w:left w:val="none" w:sz="0" w:space="0" w:color="auto"/>
                    <w:bottom w:val="none" w:sz="0" w:space="0" w:color="auto"/>
                    <w:right w:val="none" w:sz="0" w:space="0" w:color="auto"/>
                  </w:divBdr>
                </w:div>
                <w:div w:id="2054112423">
                  <w:marLeft w:val="0"/>
                  <w:marRight w:val="0"/>
                  <w:marTop w:val="0"/>
                  <w:marBottom w:val="0"/>
                  <w:divBdr>
                    <w:top w:val="none" w:sz="0" w:space="0" w:color="auto"/>
                    <w:left w:val="none" w:sz="0" w:space="0" w:color="auto"/>
                    <w:bottom w:val="none" w:sz="0" w:space="0" w:color="auto"/>
                    <w:right w:val="none" w:sz="0" w:space="0" w:color="auto"/>
                  </w:divBdr>
                  <w:divsChild>
                    <w:div w:id="1783962639">
                      <w:marLeft w:val="0"/>
                      <w:marRight w:val="0"/>
                      <w:marTop w:val="0"/>
                      <w:marBottom w:val="0"/>
                      <w:divBdr>
                        <w:top w:val="none" w:sz="0" w:space="0" w:color="auto"/>
                        <w:left w:val="none" w:sz="0" w:space="0" w:color="auto"/>
                        <w:bottom w:val="none" w:sz="0" w:space="0" w:color="auto"/>
                        <w:right w:val="none" w:sz="0" w:space="0" w:color="auto"/>
                      </w:divBdr>
                      <w:divsChild>
                        <w:div w:id="1562011674">
                          <w:marLeft w:val="0"/>
                          <w:marRight w:val="0"/>
                          <w:marTop w:val="120"/>
                          <w:marBottom w:val="0"/>
                          <w:divBdr>
                            <w:top w:val="none" w:sz="0" w:space="0" w:color="auto"/>
                            <w:left w:val="none" w:sz="0" w:space="0" w:color="auto"/>
                            <w:bottom w:val="none" w:sz="0" w:space="0" w:color="auto"/>
                            <w:right w:val="none" w:sz="0" w:space="0" w:color="auto"/>
                          </w:divBdr>
                        </w:div>
                        <w:div w:id="1723551435">
                          <w:marLeft w:val="0"/>
                          <w:marRight w:val="0"/>
                          <w:marTop w:val="0"/>
                          <w:marBottom w:val="0"/>
                          <w:divBdr>
                            <w:top w:val="none" w:sz="0" w:space="0" w:color="auto"/>
                            <w:left w:val="none" w:sz="0" w:space="0" w:color="auto"/>
                            <w:bottom w:val="none" w:sz="0" w:space="0" w:color="auto"/>
                            <w:right w:val="none" w:sz="0" w:space="0" w:color="auto"/>
                          </w:divBdr>
                        </w:div>
                      </w:divsChild>
                    </w:div>
                    <w:div w:id="1016225568">
                      <w:marLeft w:val="0"/>
                      <w:marRight w:val="0"/>
                      <w:marTop w:val="0"/>
                      <w:marBottom w:val="0"/>
                      <w:divBdr>
                        <w:top w:val="none" w:sz="0" w:space="0" w:color="auto"/>
                        <w:left w:val="none" w:sz="0" w:space="0" w:color="auto"/>
                        <w:bottom w:val="none" w:sz="0" w:space="0" w:color="auto"/>
                        <w:right w:val="none" w:sz="0" w:space="0" w:color="auto"/>
                      </w:divBdr>
                      <w:divsChild>
                        <w:div w:id="230652328">
                          <w:marLeft w:val="0"/>
                          <w:marRight w:val="0"/>
                          <w:marTop w:val="120"/>
                          <w:marBottom w:val="0"/>
                          <w:divBdr>
                            <w:top w:val="none" w:sz="0" w:space="0" w:color="auto"/>
                            <w:left w:val="none" w:sz="0" w:space="0" w:color="auto"/>
                            <w:bottom w:val="none" w:sz="0" w:space="0" w:color="auto"/>
                            <w:right w:val="none" w:sz="0" w:space="0" w:color="auto"/>
                          </w:divBdr>
                        </w:div>
                        <w:div w:id="1337997751">
                          <w:marLeft w:val="0"/>
                          <w:marRight w:val="0"/>
                          <w:marTop w:val="0"/>
                          <w:marBottom w:val="0"/>
                          <w:divBdr>
                            <w:top w:val="none" w:sz="0" w:space="0" w:color="auto"/>
                            <w:left w:val="none" w:sz="0" w:space="0" w:color="auto"/>
                            <w:bottom w:val="none" w:sz="0" w:space="0" w:color="auto"/>
                            <w:right w:val="none" w:sz="0" w:space="0" w:color="auto"/>
                          </w:divBdr>
                        </w:div>
                      </w:divsChild>
                    </w:div>
                    <w:div w:id="856502086">
                      <w:marLeft w:val="0"/>
                      <w:marRight w:val="0"/>
                      <w:marTop w:val="0"/>
                      <w:marBottom w:val="0"/>
                      <w:divBdr>
                        <w:top w:val="none" w:sz="0" w:space="0" w:color="auto"/>
                        <w:left w:val="none" w:sz="0" w:space="0" w:color="auto"/>
                        <w:bottom w:val="none" w:sz="0" w:space="0" w:color="auto"/>
                        <w:right w:val="none" w:sz="0" w:space="0" w:color="auto"/>
                      </w:divBdr>
                      <w:divsChild>
                        <w:div w:id="2057007231">
                          <w:marLeft w:val="0"/>
                          <w:marRight w:val="0"/>
                          <w:marTop w:val="120"/>
                          <w:marBottom w:val="0"/>
                          <w:divBdr>
                            <w:top w:val="none" w:sz="0" w:space="0" w:color="auto"/>
                            <w:left w:val="none" w:sz="0" w:space="0" w:color="auto"/>
                            <w:bottom w:val="none" w:sz="0" w:space="0" w:color="auto"/>
                            <w:right w:val="none" w:sz="0" w:space="0" w:color="auto"/>
                          </w:divBdr>
                        </w:div>
                        <w:div w:id="1867716904">
                          <w:marLeft w:val="0"/>
                          <w:marRight w:val="0"/>
                          <w:marTop w:val="0"/>
                          <w:marBottom w:val="0"/>
                          <w:divBdr>
                            <w:top w:val="none" w:sz="0" w:space="0" w:color="auto"/>
                            <w:left w:val="none" w:sz="0" w:space="0" w:color="auto"/>
                            <w:bottom w:val="none" w:sz="0" w:space="0" w:color="auto"/>
                            <w:right w:val="none" w:sz="0" w:space="0" w:color="auto"/>
                          </w:divBdr>
                        </w:div>
                      </w:divsChild>
                    </w:div>
                    <w:div w:id="1903171008">
                      <w:marLeft w:val="0"/>
                      <w:marRight w:val="0"/>
                      <w:marTop w:val="0"/>
                      <w:marBottom w:val="0"/>
                      <w:divBdr>
                        <w:top w:val="none" w:sz="0" w:space="0" w:color="auto"/>
                        <w:left w:val="none" w:sz="0" w:space="0" w:color="auto"/>
                        <w:bottom w:val="none" w:sz="0" w:space="0" w:color="auto"/>
                        <w:right w:val="none" w:sz="0" w:space="0" w:color="auto"/>
                      </w:divBdr>
                      <w:divsChild>
                        <w:div w:id="331761408">
                          <w:marLeft w:val="0"/>
                          <w:marRight w:val="0"/>
                          <w:marTop w:val="120"/>
                          <w:marBottom w:val="0"/>
                          <w:divBdr>
                            <w:top w:val="none" w:sz="0" w:space="0" w:color="auto"/>
                            <w:left w:val="none" w:sz="0" w:space="0" w:color="auto"/>
                            <w:bottom w:val="none" w:sz="0" w:space="0" w:color="auto"/>
                            <w:right w:val="none" w:sz="0" w:space="0" w:color="auto"/>
                          </w:divBdr>
                        </w:div>
                        <w:div w:id="15852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265342">
      <w:bodyDiv w:val="1"/>
      <w:marLeft w:val="0"/>
      <w:marRight w:val="0"/>
      <w:marTop w:val="0"/>
      <w:marBottom w:val="0"/>
      <w:divBdr>
        <w:top w:val="none" w:sz="0" w:space="0" w:color="auto"/>
        <w:left w:val="none" w:sz="0" w:space="0" w:color="auto"/>
        <w:bottom w:val="none" w:sz="0" w:space="0" w:color="auto"/>
        <w:right w:val="none" w:sz="0" w:space="0" w:color="auto"/>
      </w:divBdr>
      <w:divsChild>
        <w:div w:id="1311444487">
          <w:marLeft w:val="0"/>
          <w:marRight w:val="0"/>
          <w:marTop w:val="0"/>
          <w:marBottom w:val="0"/>
          <w:divBdr>
            <w:top w:val="none" w:sz="0" w:space="0" w:color="auto"/>
            <w:left w:val="none" w:sz="0" w:space="0" w:color="auto"/>
            <w:bottom w:val="none" w:sz="0" w:space="0" w:color="auto"/>
            <w:right w:val="none" w:sz="0" w:space="0" w:color="auto"/>
          </w:divBdr>
        </w:div>
      </w:divsChild>
    </w:div>
    <w:div w:id="1054234548">
      <w:bodyDiv w:val="1"/>
      <w:marLeft w:val="0"/>
      <w:marRight w:val="0"/>
      <w:marTop w:val="0"/>
      <w:marBottom w:val="0"/>
      <w:divBdr>
        <w:top w:val="none" w:sz="0" w:space="0" w:color="auto"/>
        <w:left w:val="none" w:sz="0" w:space="0" w:color="auto"/>
        <w:bottom w:val="none" w:sz="0" w:space="0" w:color="auto"/>
        <w:right w:val="none" w:sz="0" w:space="0" w:color="auto"/>
      </w:divBdr>
    </w:div>
    <w:div w:id="1079716563">
      <w:bodyDiv w:val="1"/>
      <w:marLeft w:val="0"/>
      <w:marRight w:val="0"/>
      <w:marTop w:val="0"/>
      <w:marBottom w:val="0"/>
      <w:divBdr>
        <w:top w:val="none" w:sz="0" w:space="0" w:color="auto"/>
        <w:left w:val="none" w:sz="0" w:space="0" w:color="auto"/>
        <w:bottom w:val="none" w:sz="0" w:space="0" w:color="auto"/>
        <w:right w:val="none" w:sz="0" w:space="0" w:color="auto"/>
      </w:divBdr>
    </w:div>
    <w:div w:id="1101802222">
      <w:bodyDiv w:val="1"/>
      <w:marLeft w:val="0"/>
      <w:marRight w:val="0"/>
      <w:marTop w:val="0"/>
      <w:marBottom w:val="0"/>
      <w:divBdr>
        <w:top w:val="none" w:sz="0" w:space="0" w:color="auto"/>
        <w:left w:val="none" w:sz="0" w:space="0" w:color="auto"/>
        <w:bottom w:val="none" w:sz="0" w:space="0" w:color="auto"/>
        <w:right w:val="none" w:sz="0" w:space="0" w:color="auto"/>
      </w:divBdr>
      <w:divsChild>
        <w:div w:id="76943912">
          <w:marLeft w:val="0"/>
          <w:marRight w:val="0"/>
          <w:marTop w:val="0"/>
          <w:marBottom w:val="0"/>
          <w:divBdr>
            <w:top w:val="none" w:sz="0" w:space="0" w:color="auto"/>
            <w:left w:val="none" w:sz="0" w:space="0" w:color="auto"/>
            <w:bottom w:val="none" w:sz="0" w:space="0" w:color="auto"/>
            <w:right w:val="none" w:sz="0" w:space="0" w:color="auto"/>
          </w:divBdr>
          <w:divsChild>
            <w:div w:id="1885284765">
              <w:marLeft w:val="0"/>
              <w:marRight w:val="0"/>
              <w:marTop w:val="0"/>
              <w:marBottom w:val="0"/>
              <w:divBdr>
                <w:top w:val="none" w:sz="0" w:space="0" w:color="auto"/>
                <w:left w:val="none" w:sz="0" w:space="0" w:color="auto"/>
                <w:bottom w:val="none" w:sz="0" w:space="0" w:color="auto"/>
                <w:right w:val="none" w:sz="0" w:space="0" w:color="auto"/>
              </w:divBdr>
              <w:divsChild>
                <w:div w:id="15843391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5084856">
          <w:marLeft w:val="0"/>
          <w:marRight w:val="0"/>
          <w:marTop w:val="0"/>
          <w:marBottom w:val="0"/>
          <w:divBdr>
            <w:top w:val="none" w:sz="0" w:space="0" w:color="auto"/>
            <w:left w:val="none" w:sz="0" w:space="0" w:color="auto"/>
            <w:bottom w:val="none" w:sz="0" w:space="0" w:color="auto"/>
            <w:right w:val="none" w:sz="0" w:space="0" w:color="auto"/>
          </w:divBdr>
          <w:divsChild>
            <w:div w:id="909267468">
              <w:marLeft w:val="0"/>
              <w:marRight w:val="0"/>
              <w:marTop w:val="0"/>
              <w:marBottom w:val="0"/>
              <w:divBdr>
                <w:top w:val="none" w:sz="0" w:space="0" w:color="auto"/>
                <w:left w:val="none" w:sz="0" w:space="0" w:color="auto"/>
                <w:bottom w:val="none" w:sz="0" w:space="0" w:color="auto"/>
                <w:right w:val="none" w:sz="0" w:space="0" w:color="auto"/>
              </w:divBdr>
            </w:div>
          </w:divsChild>
        </w:div>
        <w:div w:id="1464618665">
          <w:marLeft w:val="0"/>
          <w:marRight w:val="0"/>
          <w:marTop w:val="0"/>
          <w:marBottom w:val="0"/>
          <w:divBdr>
            <w:top w:val="none" w:sz="0" w:space="0" w:color="auto"/>
            <w:left w:val="none" w:sz="0" w:space="0" w:color="auto"/>
            <w:bottom w:val="none" w:sz="0" w:space="0" w:color="auto"/>
            <w:right w:val="none" w:sz="0" w:space="0" w:color="auto"/>
          </w:divBdr>
          <w:divsChild>
            <w:div w:id="41248701">
              <w:marLeft w:val="0"/>
              <w:marRight w:val="0"/>
              <w:marTop w:val="0"/>
              <w:marBottom w:val="0"/>
              <w:divBdr>
                <w:top w:val="none" w:sz="0" w:space="0" w:color="auto"/>
                <w:left w:val="none" w:sz="0" w:space="0" w:color="auto"/>
                <w:bottom w:val="none" w:sz="0" w:space="0" w:color="auto"/>
                <w:right w:val="none" w:sz="0" w:space="0" w:color="auto"/>
              </w:divBdr>
              <w:divsChild>
                <w:div w:id="168494095">
                  <w:marLeft w:val="0"/>
                  <w:marRight w:val="0"/>
                  <w:marTop w:val="120"/>
                  <w:marBottom w:val="0"/>
                  <w:divBdr>
                    <w:top w:val="none" w:sz="0" w:space="0" w:color="auto"/>
                    <w:left w:val="none" w:sz="0" w:space="0" w:color="auto"/>
                    <w:bottom w:val="none" w:sz="0" w:space="0" w:color="auto"/>
                    <w:right w:val="none" w:sz="0" w:space="0" w:color="auto"/>
                  </w:divBdr>
                </w:div>
                <w:div w:id="186607203">
                  <w:marLeft w:val="0"/>
                  <w:marRight w:val="0"/>
                  <w:marTop w:val="120"/>
                  <w:marBottom w:val="0"/>
                  <w:divBdr>
                    <w:top w:val="none" w:sz="0" w:space="0" w:color="auto"/>
                    <w:left w:val="none" w:sz="0" w:space="0" w:color="auto"/>
                    <w:bottom w:val="none" w:sz="0" w:space="0" w:color="auto"/>
                    <w:right w:val="none" w:sz="0" w:space="0" w:color="auto"/>
                  </w:divBdr>
                </w:div>
                <w:div w:id="8850721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8045394">
      <w:bodyDiv w:val="1"/>
      <w:marLeft w:val="0"/>
      <w:marRight w:val="0"/>
      <w:marTop w:val="0"/>
      <w:marBottom w:val="0"/>
      <w:divBdr>
        <w:top w:val="none" w:sz="0" w:space="0" w:color="auto"/>
        <w:left w:val="none" w:sz="0" w:space="0" w:color="auto"/>
        <w:bottom w:val="none" w:sz="0" w:space="0" w:color="auto"/>
        <w:right w:val="none" w:sz="0" w:space="0" w:color="auto"/>
      </w:divBdr>
    </w:div>
    <w:div w:id="1115634480">
      <w:bodyDiv w:val="1"/>
      <w:marLeft w:val="0"/>
      <w:marRight w:val="0"/>
      <w:marTop w:val="0"/>
      <w:marBottom w:val="0"/>
      <w:divBdr>
        <w:top w:val="none" w:sz="0" w:space="0" w:color="auto"/>
        <w:left w:val="none" w:sz="0" w:space="0" w:color="auto"/>
        <w:bottom w:val="none" w:sz="0" w:space="0" w:color="auto"/>
        <w:right w:val="none" w:sz="0" w:space="0" w:color="auto"/>
      </w:divBdr>
    </w:div>
    <w:div w:id="1120228521">
      <w:bodyDiv w:val="1"/>
      <w:marLeft w:val="0"/>
      <w:marRight w:val="0"/>
      <w:marTop w:val="0"/>
      <w:marBottom w:val="0"/>
      <w:divBdr>
        <w:top w:val="none" w:sz="0" w:space="0" w:color="auto"/>
        <w:left w:val="none" w:sz="0" w:space="0" w:color="auto"/>
        <w:bottom w:val="none" w:sz="0" w:space="0" w:color="auto"/>
        <w:right w:val="none" w:sz="0" w:space="0" w:color="auto"/>
      </w:divBdr>
    </w:div>
    <w:div w:id="1121613799">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0"/>
          <w:marRight w:val="0"/>
          <w:marTop w:val="0"/>
          <w:marBottom w:val="0"/>
          <w:divBdr>
            <w:top w:val="none" w:sz="0" w:space="0" w:color="auto"/>
            <w:left w:val="none" w:sz="0" w:space="0" w:color="auto"/>
            <w:bottom w:val="none" w:sz="0" w:space="0" w:color="auto"/>
            <w:right w:val="none" w:sz="0" w:space="0" w:color="auto"/>
          </w:divBdr>
        </w:div>
      </w:divsChild>
    </w:div>
    <w:div w:id="1130513566">
      <w:bodyDiv w:val="1"/>
      <w:marLeft w:val="0"/>
      <w:marRight w:val="0"/>
      <w:marTop w:val="0"/>
      <w:marBottom w:val="0"/>
      <w:divBdr>
        <w:top w:val="none" w:sz="0" w:space="0" w:color="auto"/>
        <w:left w:val="none" w:sz="0" w:space="0" w:color="auto"/>
        <w:bottom w:val="none" w:sz="0" w:space="0" w:color="auto"/>
        <w:right w:val="none" w:sz="0" w:space="0" w:color="auto"/>
      </w:divBdr>
      <w:divsChild>
        <w:div w:id="23141653">
          <w:marLeft w:val="0"/>
          <w:marRight w:val="0"/>
          <w:marTop w:val="0"/>
          <w:marBottom w:val="0"/>
          <w:divBdr>
            <w:top w:val="none" w:sz="0" w:space="0" w:color="auto"/>
            <w:left w:val="none" w:sz="0" w:space="0" w:color="auto"/>
            <w:bottom w:val="none" w:sz="0" w:space="0" w:color="auto"/>
            <w:right w:val="none" w:sz="0" w:space="0" w:color="auto"/>
          </w:divBdr>
          <w:divsChild>
            <w:div w:id="1571379857">
              <w:marLeft w:val="0"/>
              <w:marRight w:val="0"/>
              <w:marTop w:val="0"/>
              <w:marBottom w:val="0"/>
              <w:divBdr>
                <w:top w:val="none" w:sz="0" w:space="0" w:color="auto"/>
                <w:left w:val="none" w:sz="0" w:space="0" w:color="auto"/>
                <w:bottom w:val="none" w:sz="0" w:space="0" w:color="auto"/>
                <w:right w:val="none" w:sz="0" w:space="0" w:color="auto"/>
              </w:divBdr>
              <w:divsChild>
                <w:div w:id="19403141">
                  <w:marLeft w:val="0"/>
                  <w:marRight w:val="0"/>
                  <w:marTop w:val="0"/>
                  <w:marBottom w:val="0"/>
                  <w:divBdr>
                    <w:top w:val="none" w:sz="0" w:space="0" w:color="auto"/>
                    <w:left w:val="none" w:sz="0" w:space="0" w:color="auto"/>
                    <w:bottom w:val="none" w:sz="0" w:space="0" w:color="auto"/>
                    <w:right w:val="none" w:sz="0" w:space="0" w:color="auto"/>
                  </w:divBdr>
                  <w:divsChild>
                    <w:div w:id="202711521">
                      <w:marLeft w:val="0"/>
                      <w:marRight w:val="0"/>
                      <w:marTop w:val="120"/>
                      <w:marBottom w:val="0"/>
                      <w:divBdr>
                        <w:top w:val="none" w:sz="0" w:space="0" w:color="auto"/>
                        <w:left w:val="none" w:sz="0" w:space="0" w:color="auto"/>
                        <w:bottom w:val="none" w:sz="0" w:space="0" w:color="auto"/>
                        <w:right w:val="none" w:sz="0" w:space="0" w:color="auto"/>
                      </w:divBdr>
                    </w:div>
                    <w:div w:id="1153107778">
                      <w:marLeft w:val="0"/>
                      <w:marRight w:val="0"/>
                      <w:marTop w:val="0"/>
                      <w:marBottom w:val="0"/>
                      <w:divBdr>
                        <w:top w:val="none" w:sz="0" w:space="0" w:color="auto"/>
                        <w:left w:val="none" w:sz="0" w:space="0" w:color="auto"/>
                        <w:bottom w:val="none" w:sz="0" w:space="0" w:color="auto"/>
                        <w:right w:val="none" w:sz="0" w:space="0" w:color="auto"/>
                      </w:divBdr>
                    </w:div>
                  </w:divsChild>
                </w:div>
                <w:div w:id="404500522">
                  <w:marLeft w:val="0"/>
                  <w:marRight w:val="0"/>
                  <w:marTop w:val="0"/>
                  <w:marBottom w:val="0"/>
                  <w:divBdr>
                    <w:top w:val="none" w:sz="0" w:space="0" w:color="auto"/>
                    <w:left w:val="none" w:sz="0" w:space="0" w:color="auto"/>
                    <w:bottom w:val="none" w:sz="0" w:space="0" w:color="auto"/>
                    <w:right w:val="none" w:sz="0" w:space="0" w:color="auto"/>
                  </w:divBdr>
                  <w:divsChild>
                    <w:div w:id="79908269">
                      <w:marLeft w:val="0"/>
                      <w:marRight w:val="0"/>
                      <w:marTop w:val="0"/>
                      <w:marBottom w:val="0"/>
                      <w:divBdr>
                        <w:top w:val="none" w:sz="0" w:space="0" w:color="auto"/>
                        <w:left w:val="none" w:sz="0" w:space="0" w:color="auto"/>
                        <w:bottom w:val="none" w:sz="0" w:space="0" w:color="auto"/>
                        <w:right w:val="none" w:sz="0" w:space="0" w:color="auto"/>
                      </w:divBdr>
                    </w:div>
                    <w:div w:id="1371226847">
                      <w:marLeft w:val="0"/>
                      <w:marRight w:val="0"/>
                      <w:marTop w:val="120"/>
                      <w:marBottom w:val="0"/>
                      <w:divBdr>
                        <w:top w:val="none" w:sz="0" w:space="0" w:color="auto"/>
                        <w:left w:val="none" w:sz="0" w:space="0" w:color="auto"/>
                        <w:bottom w:val="none" w:sz="0" w:space="0" w:color="auto"/>
                        <w:right w:val="none" w:sz="0" w:space="0" w:color="auto"/>
                      </w:divBdr>
                    </w:div>
                  </w:divsChild>
                </w:div>
                <w:div w:id="1375545332">
                  <w:marLeft w:val="0"/>
                  <w:marRight w:val="0"/>
                  <w:marTop w:val="0"/>
                  <w:marBottom w:val="0"/>
                  <w:divBdr>
                    <w:top w:val="none" w:sz="0" w:space="0" w:color="auto"/>
                    <w:left w:val="none" w:sz="0" w:space="0" w:color="auto"/>
                    <w:bottom w:val="none" w:sz="0" w:space="0" w:color="auto"/>
                    <w:right w:val="none" w:sz="0" w:space="0" w:color="auto"/>
                  </w:divBdr>
                  <w:divsChild>
                    <w:div w:id="923303033">
                      <w:marLeft w:val="0"/>
                      <w:marRight w:val="0"/>
                      <w:marTop w:val="0"/>
                      <w:marBottom w:val="0"/>
                      <w:divBdr>
                        <w:top w:val="none" w:sz="0" w:space="0" w:color="auto"/>
                        <w:left w:val="none" w:sz="0" w:space="0" w:color="auto"/>
                        <w:bottom w:val="none" w:sz="0" w:space="0" w:color="auto"/>
                        <w:right w:val="none" w:sz="0" w:space="0" w:color="auto"/>
                      </w:divBdr>
                    </w:div>
                    <w:div w:id="1540047551">
                      <w:marLeft w:val="0"/>
                      <w:marRight w:val="0"/>
                      <w:marTop w:val="120"/>
                      <w:marBottom w:val="0"/>
                      <w:divBdr>
                        <w:top w:val="none" w:sz="0" w:space="0" w:color="auto"/>
                        <w:left w:val="none" w:sz="0" w:space="0" w:color="auto"/>
                        <w:bottom w:val="none" w:sz="0" w:space="0" w:color="auto"/>
                        <w:right w:val="none" w:sz="0" w:space="0" w:color="auto"/>
                      </w:divBdr>
                    </w:div>
                  </w:divsChild>
                </w:div>
                <w:div w:id="1856575625">
                  <w:marLeft w:val="0"/>
                  <w:marRight w:val="0"/>
                  <w:marTop w:val="0"/>
                  <w:marBottom w:val="0"/>
                  <w:divBdr>
                    <w:top w:val="none" w:sz="0" w:space="0" w:color="auto"/>
                    <w:left w:val="none" w:sz="0" w:space="0" w:color="auto"/>
                    <w:bottom w:val="none" w:sz="0" w:space="0" w:color="auto"/>
                    <w:right w:val="none" w:sz="0" w:space="0" w:color="auto"/>
                  </w:divBdr>
                  <w:divsChild>
                    <w:div w:id="324671566">
                      <w:marLeft w:val="0"/>
                      <w:marRight w:val="0"/>
                      <w:marTop w:val="0"/>
                      <w:marBottom w:val="0"/>
                      <w:divBdr>
                        <w:top w:val="none" w:sz="0" w:space="0" w:color="auto"/>
                        <w:left w:val="none" w:sz="0" w:space="0" w:color="auto"/>
                        <w:bottom w:val="none" w:sz="0" w:space="0" w:color="auto"/>
                        <w:right w:val="none" w:sz="0" w:space="0" w:color="auto"/>
                      </w:divBdr>
                    </w:div>
                    <w:div w:id="91936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5321832">
          <w:marLeft w:val="0"/>
          <w:marRight w:val="0"/>
          <w:marTop w:val="0"/>
          <w:marBottom w:val="0"/>
          <w:divBdr>
            <w:top w:val="none" w:sz="0" w:space="0" w:color="auto"/>
            <w:left w:val="none" w:sz="0" w:space="0" w:color="auto"/>
            <w:bottom w:val="none" w:sz="0" w:space="0" w:color="auto"/>
            <w:right w:val="none" w:sz="0" w:space="0" w:color="auto"/>
          </w:divBdr>
          <w:divsChild>
            <w:div w:id="574633284">
              <w:marLeft w:val="0"/>
              <w:marRight w:val="0"/>
              <w:marTop w:val="0"/>
              <w:marBottom w:val="0"/>
              <w:divBdr>
                <w:top w:val="none" w:sz="0" w:space="0" w:color="auto"/>
                <w:left w:val="none" w:sz="0" w:space="0" w:color="auto"/>
                <w:bottom w:val="none" w:sz="0" w:space="0" w:color="auto"/>
                <w:right w:val="none" w:sz="0" w:space="0" w:color="auto"/>
              </w:divBdr>
            </w:div>
          </w:divsChild>
        </w:div>
        <w:div w:id="397871477">
          <w:marLeft w:val="0"/>
          <w:marRight w:val="0"/>
          <w:marTop w:val="0"/>
          <w:marBottom w:val="0"/>
          <w:divBdr>
            <w:top w:val="none" w:sz="0" w:space="0" w:color="auto"/>
            <w:left w:val="none" w:sz="0" w:space="0" w:color="auto"/>
            <w:bottom w:val="none" w:sz="0" w:space="0" w:color="auto"/>
            <w:right w:val="none" w:sz="0" w:space="0" w:color="auto"/>
          </w:divBdr>
          <w:divsChild>
            <w:div w:id="1583023835">
              <w:marLeft w:val="0"/>
              <w:marRight w:val="0"/>
              <w:marTop w:val="0"/>
              <w:marBottom w:val="0"/>
              <w:divBdr>
                <w:top w:val="none" w:sz="0" w:space="0" w:color="auto"/>
                <w:left w:val="none" w:sz="0" w:space="0" w:color="auto"/>
                <w:bottom w:val="none" w:sz="0" w:space="0" w:color="auto"/>
                <w:right w:val="none" w:sz="0" w:space="0" w:color="auto"/>
              </w:divBdr>
              <w:divsChild>
                <w:div w:id="633829797">
                  <w:marLeft w:val="0"/>
                  <w:marRight w:val="0"/>
                  <w:marTop w:val="0"/>
                  <w:marBottom w:val="0"/>
                  <w:divBdr>
                    <w:top w:val="none" w:sz="0" w:space="0" w:color="auto"/>
                    <w:left w:val="none" w:sz="0" w:space="0" w:color="auto"/>
                    <w:bottom w:val="none" w:sz="0" w:space="0" w:color="auto"/>
                    <w:right w:val="none" w:sz="0" w:space="0" w:color="auto"/>
                  </w:divBdr>
                  <w:divsChild>
                    <w:div w:id="212667434">
                      <w:marLeft w:val="0"/>
                      <w:marRight w:val="0"/>
                      <w:marTop w:val="0"/>
                      <w:marBottom w:val="0"/>
                      <w:divBdr>
                        <w:top w:val="none" w:sz="0" w:space="0" w:color="auto"/>
                        <w:left w:val="none" w:sz="0" w:space="0" w:color="auto"/>
                        <w:bottom w:val="none" w:sz="0" w:space="0" w:color="auto"/>
                        <w:right w:val="none" w:sz="0" w:space="0" w:color="auto"/>
                      </w:divBdr>
                    </w:div>
                    <w:div w:id="1632709572">
                      <w:marLeft w:val="0"/>
                      <w:marRight w:val="0"/>
                      <w:marTop w:val="120"/>
                      <w:marBottom w:val="0"/>
                      <w:divBdr>
                        <w:top w:val="none" w:sz="0" w:space="0" w:color="auto"/>
                        <w:left w:val="none" w:sz="0" w:space="0" w:color="auto"/>
                        <w:bottom w:val="none" w:sz="0" w:space="0" w:color="auto"/>
                        <w:right w:val="none" w:sz="0" w:space="0" w:color="auto"/>
                      </w:divBdr>
                    </w:div>
                  </w:divsChild>
                </w:div>
                <w:div w:id="781876445">
                  <w:marLeft w:val="0"/>
                  <w:marRight w:val="0"/>
                  <w:marTop w:val="0"/>
                  <w:marBottom w:val="0"/>
                  <w:divBdr>
                    <w:top w:val="none" w:sz="0" w:space="0" w:color="auto"/>
                    <w:left w:val="none" w:sz="0" w:space="0" w:color="auto"/>
                    <w:bottom w:val="none" w:sz="0" w:space="0" w:color="auto"/>
                    <w:right w:val="none" w:sz="0" w:space="0" w:color="auto"/>
                  </w:divBdr>
                  <w:divsChild>
                    <w:div w:id="1598126681">
                      <w:marLeft w:val="0"/>
                      <w:marRight w:val="0"/>
                      <w:marTop w:val="120"/>
                      <w:marBottom w:val="0"/>
                      <w:divBdr>
                        <w:top w:val="none" w:sz="0" w:space="0" w:color="auto"/>
                        <w:left w:val="none" w:sz="0" w:space="0" w:color="auto"/>
                        <w:bottom w:val="none" w:sz="0" w:space="0" w:color="auto"/>
                        <w:right w:val="none" w:sz="0" w:space="0" w:color="auto"/>
                      </w:divBdr>
                    </w:div>
                    <w:div w:id="1703283767">
                      <w:marLeft w:val="0"/>
                      <w:marRight w:val="0"/>
                      <w:marTop w:val="0"/>
                      <w:marBottom w:val="0"/>
                      <w:divBdr>
                        <w:top w:val="none" w:sz="0" w:space="0" w:color="auto"/>
                        <w:left w:val="none" w:sz="0" w:space="0" w:color="auto"/>
                        <w:bottom w:val="none" w:sz="0" w:space="0" w:color="auto"/>
                        <w:right w:val="none" w:sz="0" w:space="0" w:color="auto"/>
                      </w:divBdr>
                    </w:div>
                  </w:divsChild>
                </w:div>
                <w:div w:id="1248154392">
                  <w:marLeft w:val="0"/>
                  <w:marRight w:val="0"/>
                  <w:marTop w:val="0"/>
                  <w:marBottom w:val="0"/>
                  <w:divBdr>
                    <w:top w:val="none" w:sz="0" w:space="0" w:color="auto"/>
                    <w:left w:val="none" w:sz="0" w:space="0" w:color="auto"/>
                    <w:bottom w:val="none" w:sz="0" w:space="0" w:color="auto"/>
                    <w:right w:val="none" w:sz="0" w:space="0" w:color="auto"/>
                  </w:divBdr>
                  <w:divsChild>
                    <w:div w:id="1067726006">
                      <w:marLeft w:val="0"/>
                      <w:marRight w:val="0"/>
                      <w:marTop w:val="0"/>
                      <w:marBottom w:val="0"/>
                      <w:divBdr>
                        <w:top w:val="none" w:sz="0" w:space="0" w:color="auto"/>
                        <w:left w:val="none" w:sz="0" w:space="0" w:color="auto"/>
                        <w:bottom w:val="none" w:sz="0" w:space="0" w:color="auto"/>
                        <w:right w:val="none" w:sz="0" w:space="0" w:color="auto"/>
                      </w:divBdr>
                    </w:div>
                    <w:div w:id="1797407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53622466">
          <w:marLeft w:val="0"/>
          <w:marRight w:val="0"/>
          <w:marTop w:val="0"/>
          <w:marBottom w:val="0"/>
          <w:divBdr>
            <w:top w:val="none" w:sz="0" w:space="0" w:color="auto"/>
            <w:left w:val="none" w:sz="0" w:space="0" w:color="auto"/>
            <w:bottom w:val="none" w:sz="0" w:space="0" w:color="auto"/>
            <w:right w:val="none" w:sz="0" w:space="0" w:color="auto"/>
          </w:divBdr>
          <w:divsChild>
            <w:div w:id="1666477008">
              <w:marLeft w:val="0"/>
              <w:marRight w:val="0"/>
              <w:marTop w:val="0"/>
              <w:marBottom w:val="0"/>
              <w:divBdr>
                <w:top w:val="none" w:sz="0" w:space="0" w:color="auto"/>
                <w:left w:val="none" w:sz="0" w:space="0" w:color="auto"/>
                <w:bottom w:val="none" w:sz="0" w:space="0" w:color="auto"/>
                <w:right w:val="none" w:sz="0" w:space="0" w:color="auto"/>
              </w:divBdr>
            </w:div>
          </w:divsChild>
        </w:div>
        <w:div w:id="1351839526">
          <w:marLeft w:val="0"/>
          <w:marRight w:val="0"/>
          <w:marTop w:val="0"/>
          <w:marBottom w:val="0"/>
          <w:divBdr>
            <w:top w:val="none" w:sz="0" w:space="0" w:color="auto"/>
            <w:left w:val="none" w:sz="0" w:space="0" w:color="auto"/>
            <w:bottom w:val="none" w:sz="0" w:space="0" w:color="auto"/>
            <w:right w:val="none" w:sz="0" w:space="0" w:color="auto"/>
          </w:divBdr>
          <w:divsChild>
            <w:div w:id="521940070">
              <w:marLeft w:val="0"/>
              <w:marRight w:val="0"/>
              <w:marTop w:val="0"/>
              <w:marBottom w:val="0"/>
              <w:divBdr>
                <w:top w:val="none" w:sz="0" w:space="0" w:color="auto"/>
                <w:left w:val="none" w:sz="0" w:space="0" w:color="auto"/>
                <w:bottom w:val="none" w:sz="0" w:space="0" w:color="auto"/>
                <w:right w:val="none" w:sz="0" w:space="0" w:color="auto"/>
              </w:divBdr>
              <w:divsChild>
                <w:div w:id="665598397">
                  <w:marLeft w:val="0"/>
                  <w:marRight w:val="0"/>
                  <w:marTop w:val="120"/>
                  <w:marBottom w:val="0"/>
                  <w:divBdr>
                    <w:top w:val="none" w:sz="0" w:space="0" w:color="auto"/>
                    <w:left w:val="none" w:sz="0" w:space="0" w:color="auto"/>
                    <w:bottom w:val="none" w:sz="0" w:space="0" w:color="auto"/>
                    <w:right w:val="none" w:sz="0" w:space="0" w:color="auto"/>
                  </w:divBdr>
                </w:div>
                <w:div w:id="1185753302">
                  <w:marLeft w:val="0"/>
                  <w:marRight w:val="0"/>
                  <w:marTop w:val="120"/>
                  <w:marBottom w:val="0"/>
                  <w:divBdr>
                    <w:top w:val="none" w:sz="0" w:space="0" w:color="auto"/>
                    <w:left w:val="none" w:sz="0" w:space="0" w:color="auto"/>
                    <w:bottom w:val="none" w:sz="0" w:space="0" w:color="auto"/>
                    <w:right w:val="none" w:sz="0" w:space="0" w:color="auto"/>
                  </w:divBdr>
                </w:div>
                <w:div w:id="1399590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5011804">
          <w:marLeft w:val="0"/>
          <w:marRight w:val="0"/>
          <w:marTop w:val="0"/>
          <w:marBottom w:val="0"/>
          <w:divBdr>
            <w:top w:val="none" w:sz="0" w:space="0" w:color="auto"/>
            <w:left w:val="none" w:sz="0" w:space="0" w:color="auto"/>
            <w:bottom w:val="none" w:sz="0" w:space="0" w:color="auto"/>
            <w:right w:val="none" w:sz="0" w:space="0" w:color="auto"/>
          </w:divBdr>
          <w:divsChild>
            <w:div w:id="817264168">
              <w:marLeft w:val="0"/>
              <w:marRight w:val="0"/>
              <w:marTop w:val="0"/>
              <w:marBottom w:val="0"/>
              <w:divBdr>
                <w:top w:val="none" w:sz="0" w:space="0" w:color="auto"/>
                <w:left w:val="none" w:sz="0" w:space="0" w:color="auto"/>
                <w:bottom w:val="none" w:sz="0" w:space="0" w:color="auto"/>
                <w:right w:val="none" w:sz="0" w:space="0" w:color="auto"/>
              </w:divBdr>
            </w:div>
          </w:divsChild>
        </w:div>
        <w:div w:id="2029092767">
          <w:marLeft w:val="0"/>
          <w:marRight w:val="0"/>
          <w:marTop w:val="0"/>
          <w:marBottom w:val="0"/>
          <w:divBdr>
            <w:top w:val="none" w:sz="0" w:space="0" w:color="auto"/>
            <w:left w:val="none" w:sz="0" w:space="0" w:color="auto"/>
            <w:bottom w:val="none" w:sz="0" w:space="0" w:color="auto"/>
            <w:right w:val="none" w:sz="0" w:space="0" w:color="auto"/>
          </w:divBdr>
          <w:divsChild>
            <w:div w:id="12231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5950">
      <w:bodyDiv w:val="1"/>
      <w:marLeft w:val="0"/>
      <w:marRight w:val="0"/>
      <w:marTop w:val="0"/>
      <w:marBottom w:val="0"/>
      <w:divBdr>
        <w:top w:val="none" w:sz="0" w:space="0" w:color="auto"/>
        <w:left w:val="none" w:sz="0" w:space="0" w:color="auto"/>
        <w:bottom w:val="none" w:sz="0" w:space="0" w:color="auto"/>
        <w:right w:val="none" w:sz="0" w:space="0" w:color="auto"/>
      </w:divBdr>
    </w:div>
    <w:div w:id="1146051404">
      <w:bodyDiv w:val="1"/>
      <w:marLeft w:val="0"/>
      <w:marRight w:val="0"/>
      <w:marTop w:val="0"/>
      <w:marBottom w:val="0"/>
      <w:divBdr>
        <w:top w:val="none" w:sz="0" w:space="0" w:color="auto"/>
        <w:left w:val="none" w:sz="0" w:space="0" w:color="auto"/>
        <w:bottom w:val="none" w:sz="0" w:space="0" w:color="auto"/>
        <w:right w:val="none" w:sz="0" w:space="0" w:color="auto"/>
      </w:divBdr>
      <w:divsChild>
        <w:div w:id="716972416">
          <w:marLeft w:val="0"/>
          <w:marRight w:val="0"/>
          <w:marTop w:val="0"/>
          <w:marBottom w:val="0"/>
          <w:divBdr>
            <w:top w:val="none" w:sz="0" w:space="0" w:color="auto"/>
            <w:left w:val="none" w:sz="0" w:space="0" w:color="auto"/>
            <w:bottom w:val="none" w:sz="0" w:space="0" w:color="auto"/>
            <w:right w:val="none" w:sz="0" w:space="0" w:color="auto"/>
          </w:divBdr>
        </w:div>
        <w:div w:id="1210413219">
          <w:marLeft w:val="0"/>
          <w:marRight w:val="0"/>
          <w:marTop w:val="0"/>
          <w:marBottom w:val="0"/>
          <w:divBdr>
            <w:top w:val="none" w:sz="0" w:space="0" w:color="auto"/>
            <w:left w:val="none" w:sz="0" w:space="0" w:color="auto"/>
            <w:bottom w:val="none" w:sz="0" w:space="0" w:color="auto"/>
            <w:right w:val="none" w:sz="0" w:space="0" w:color="auto"/>
          </w:divBdr>
          <w:divsChild>
            <w:div w:id="9758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8128">
      <w:bodyDiv w:val="1"/>
      <w:marLeft w:val="0"/>
      <w:marRight w:val="0"/>
      <w:marTop w:val="0"/>
      <w:marBottom w:val="0"/>
      <w:divBdr>
        <w:top w:val="none" w:sz="0" w:space="0" w:color="auto"/>
        <w:left w:val="none" w:sz="0" w:space="0" w:color="auto"/>
        <w:bottom w:val="none" w:sz="0" w:space="0" w:color="auto"/>
        <w:right w:val="none" w:sz="0" w:space="0" w:color="auto"/>
      </w:divBdr>
      <w:divsChild>
        <w:div w:id="984165674">
          <w:marLeft w:val="0"/>
          <w:marRight w:val="0"/>
          <w:marTop w:val="0"/>
          <w:marBottom w:val="0"/>
          <w:divBdr>
            <w:top w:val="none" w:sz="0" w:space="0" w:color="auto"/>
            <w:left w:val="none" w:sz="0" w:space="0" w:color="auto"/>
            <w:bottom w:val="none" w:sz="0" w:space="0" w:color="auto"/>
            <w:right w:val="none" w:sz="0" w:space="0" w:color="auto"/>
          </w:divBdr>
          <w:divsChild>
            <w:div w:id="985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974">
      <w:bodyDiv w:val="1"/>
      <w:marLeft w:val="0"/>
      <w:marRight w:val="0"/>
      <w:marTop w:val="0"/>
      <w:marBottom w:val="0"/>
      <w:divBdr>
        <w:top w:val="none" w:sz="0" w:space="0" w:color="auto"/>
        <w:left w:val="none" w:sz="0" w:space="0" w:color="auto"/>
        <w:bottom w:val="none" w:sz="0" w:space="0" w:color="auto"/>
        <w:right w:val="none" w:sz="0" w:space="0" w:color="auto"/>
      </w:divBdr>
      <w:divsChild>
        <w:div w:id="823202246">
          <w:marLeft w:val="0"/>
          <w:marRight w:val="0"/>
          <w:marTop w:val="0"/>
          <w:marBottom w:val="0"/>
          <w:divBdr>
            <w:top w:val="none" w:sz="0" w:space="0" w:color="auto"/>
            <w:left w:val="none" w:sz="0" w:space="0" w:color="auto"/>
            <w:bottom w:val="none" w:sz="0" w:space="0" w:color="auto"/>
            <w:right w:val="none" w:sz="0" w:space="0" w:color="auto"/>
          </w:divBdr>
          <w:divsChild>
            <w:div w:id="1267495992">
              <w:marLeft w:val="0"/>
              <w:marRight w:val="0"/>
              <w:marTop w:val="0"/>
              <w:marBottom w:val="0"/>
              <w:divBdr>
                <w:top w:val="none" w:sz="0" w:space="0" w:color="auto"/>
                <w:left w:val="none" w:sz="0" w:space="0" w:color="auto"/>
                <w:bottom w:val="none" w:sz="0" w:space="0" w:color="auto"/>
                <w:right w:val="none" w:sz="0" w:space="0" w:color="auto"/>
              </w:divBdr>
            </w:div>
          </w:divsChild>
        </w:div>
        <w:div w:id="908460647">
          <w:marLeft w:val="0"/>
          <w:marRight w:val="0"/>
          <w:marTop w:val="0"/>
          <w:marBottom w:val="0"/>
          <w:divBdr>
            <w:top w:val="none" w:sz="0" w:space="0" w:color="auto"/>
            <w:left w:val="none" w:sz="0" w:space="0" w:color="auto"/>
            <w:bottom w:val="none" w:sz="0" w:space="0" w:color="auto"/>
            <w:right w:val="none" w:sz="0" w:space="0" w:color="auto"/>
          </w:divBdr>
          <w:divsChild>
            <w:div w:id="919486950">
              <w:marLeft w:val="0"/>
              <w:marRight w:val="0"/>
              <w:marTop w:val="0"/>
              <w:marBottom w:val="0"/>
              <w:divBdr>
                <w:top w:val="none" w:sz="0" w:space="0" w:color="auto"/>
                <w:left w:val="none" w:sz="0" w:space="0" w:color="auto"/>
                <w:bottom w:val="none" w:sz="0" w:space="0" w:color="auto"/>
                <w:right w:val="none" w:sz="0" w:space="0" w:color="auto"/>
              </w:divBdr>
              <w:divsChild>
                <w:div w:id="79066290">
                  <w:marLeft w:val="0"/>
                  <w:marRight w:val="0"/>
                  <w:marTop w:val="0"/>
                  <w:marBottom w:val="0"/>
                  <w:divBdr>
                    <w:top w:val="none" w:sz="0" w:space="0" w:color="auto"/>
                    <w:left w:val="none" w:sz="0" w:space="0" w:color="auto"/>
                    <w:bottom w:val="none" w:sz="0" w:space="0" w:color="auto"/>
                    <w:right w:val="none" w:sz="0" w:space="0" w:color="auto"/>
                  </w:divBdr>
                  <w:divsChild>
                    <w:div w:id="1264997608">
                      <w:marLeft w:val="0"/>
                      <w:marRight w:val="0"/>
                      <w:marTop w:val="120"/>
                      <w:marBottom w:val="0"/>
                      <w:divBdr>
                        <w:top w:val="none" w:sz="0" w:space="0" w:color="auto"/>
                        <w:left w:val="none" w:sz="0" w:space="0" w:color="auto"/>
                        <w:bottom w:val="none" w:sz="0" w:space="0" w:color="auto"/>
                        <w:right w:val="none" w:sz="0" w:space="0" w:color="auto"/>
                      </w:divBdr>
                    </w:div>
                    <w:div w:id="1478768167">
                      <w:marLeft w:val="0"/>
                      <w:marRight w:val="0"/>
                      <w:marTop w:val="0"/>
                      <w:marBottom w:val="0"/>
                      <w:divBdr>
                        <w:top w:val="none" w:sz="0" w:space="0" w:color="auto"/>
                        <w:left w:val="none" w:sz="0" w:space="0" w:color="auto"/>
                        <w:bottom w:val="none" w:sz="0" w:space="0" w:color="auto"/>
                        <w:right w:val="none" w:sz="0" w:space="0" w:color="auto"/>
                      </w:divBdr>
                    </w:div>
                  </w:divsChild>
                </w:div>
                <w:div w:id="560792041">
                  <w:marLeft w:val="0"/>
                  <w:marRight w:val="0"/>
                  <w:marTop w:val="0"/>
                  <w:marBottom w:val="0"/>
                  <w:divBdr>
                    <w:top w:val="none" w:sz="0" w:space="0" w:color="auto"/>
                    <w:left w:val="none" w:sz="0" w:space="0" w:color="auto"/>
                    <w:bottom w:val="none" w:sz="0" w:space="0" w:color="auto"/>
                    <w:right w:val="none" w:sz="0" w:space="0" w:color="auto"/>
                  </w:divBdr>
                  <w:divsChild>
                    <w:div w:id="819349877">
                      <w:marLeft w:val="0"/>
                      <w:marRight w:val="0"/>
                      <w:marTop w:val="0"/>
                      <w:marBottom w:val="0"/>
                      <w:divBdr>
                        <w:top w:val="none" w:sz="0" w:space="0" w:color="auto"/>
                        <w:left w:val="none" w:sz="0" w:space="0" w:color="auto"/>
                        <w:bottom w:val="none" w:sz="0" w:space="0" w:color="auto"/>
                        <w:right w:val="none" w:sz="0" w:space="0" w:color="auto"/>
                      </w:divBdr>
                      <w:divsChild>
                        <w:div w:id="602958426">
                          <w:marLeft w:val="0"/>
                          <w:marRight w:val="0"/>
                          <w:marTop w:val="0"/>
                          <w:marBottom w:val="0"/>
                          <w:divBdr>
                            <w:top w:val="none" w:sz="0" w:space="0" w:color="auto"/>
                            <w:left w:val="none" w:sz="0" w:space="0" w:color="auto"/>
                            <w:bottom w:val="none" w:sz="0" w:space="0" w:color="auto"/>
                            <w:right w:val="none" w:sz="0" w:space="0" w:color="auto"/>
                          </w:divBdr>
                          <w:divsChild>
                            <w:div w:id="1538589295">
                              <w:marLeft w:val="0"/>
                              <w:marRight w:val="0"/>
                              <w:marTop w:val="120"/>
                              <w:marBottom w:val="0"/>
                              <w:divBdr>
                                <w:top w:val="none" w:sz="0" w:space="0" w:color="auto"/>
                                <w:left w:val="none" w:sz="0" w:space="0" w:color="auto"/>
                                <w:bottom w:val="none" w:sz="0" w:space="0" w:color="auto"/>
                                <w:right w:val="none" w:sz="0" w:space="0" w:color="auto"/>
                              </w:divBdr>
                            </w:div>
                            <w:div w:id="1816486896">
                              <w:marLeft w:val="0"/>
                              <w:marRight w:val="0"/>
                              <w:marTop w:val="0"/>
                              <w:marBottom w:val="0"/>
                              <w:divBdr>
                                <w:top w:val="none" w:sz="0" w:space="0" w:color="auto"/>
                                <w:left w:val="none" w:sz="0" w:space="0" w:color="auto"/>
                                <w:bottom w:val="none" w:sz="0" w:space="0" w:color="auto"/>
                                <w:right w:val="none" w:sz="0" w:space="0" w:color="auto"/>
                              </w:divBdr>
                            </w:div>
                          </w:divsChild>
                        </w:div>
                        <w:div w:id="669985495">
                          <w:marLeft w:val="0"/>
                          <w:marRight w:val="0"/>
                          <w:marTop w:val="0"/>
                          <w:marBottom w:val="0"/>
                          <w:divBdr>
                            <w:top w:val="none" w:sz="0" w:space="0" w:color="auto"/>
                            <w:left w:val="none" w:sz="0" w:space="0" w:color="auto"/>
                            <w:bottom w:val="none" w:sz="0" w:space="0" w:color="auto"/>
                            <w:right w:val="none" w:sz="0" w:space="0" w:color="auto"/>
                          </w:divBdr>
                          <w:divsChild>
                            <w:div w:id="2318467">
                              <w:marLeft w:val="0"/>
                              <w:marRight w:val="0"/>
                              <w:marTop w:val="120"/>
                              <w:marBottom w:val="0"/>
                              <w:divBdr>
                                <w:top w:val="none" w:sz="0" w:space="0" w:color="auto"/>
                                <w:left w:val="none" w:sz="0" w:space="0" w:color="auto"/>
                                <w:bottom w:val="none" w:sz="0" w:space="0" w:color="auto"/>
                                <w:right w:val="none" w:sz="0" w:space="0" w:color="auto"/>
                              </w:divBdr>
                            </w:div>
                            <w:div w:id="377432485">
                              <w:marLeft w:val="0"/>
                              <w:marRight w:val="0"/>
                              <w:marTop w:val="0"/>
                              <w:marBottom w:val="0"/>
                              <w:divBdr>
                                <w:top w:val="none" w:sz="0" w:space="0" w:color="auto"/>
                                <w:left w:val="none" w:sz="0" w:space="0" w:color="auto"/>
                                <w:bottom w:val="none" w:sz="0" w:space="0" w:color="auto"/>
                                <w:right w:val="none" w:sz="0" w:space="0" w:color="auto"/>
                              </w:divBdr>
                            </w:div>
                          </w:divsChild>
                        </w:div>
                        <w:div w:id="713702198">
                          <w:marLeft w:val="0"/>
                          <w:marRight w:val="0"/>
                          <w:marTop w:val="0"/>
                          <w:marBottom w:val="0"/>
                          <w:divBdr>
                            <w:top w:val="none" w:sz="0" w:space="0" w:color="auto"/>
                            <w:left w:val="none" w:sz="0" w:space="0" w:color="auto"/>
                            <w:bottom w:val="none" w:sz="0" w:space="0" w:color="auto"/>
                            <w:right w:val="none" w:sz="0" w:space="0" w:color="auto"/>
                          </w:divBdr>
                          <w:divsChild>
                            <w:div w:id="568854977">
                              <w:marLeft w:val="0"/>
                              <w:marRight w:val="0"/>
                              <w:marTop w:val="0"/>
                              <w:marBottom w:val="0"/>
                              <w:divBdr>
                                <w:top w:val="none" w:sz="0" w:space="0" w:color="auto"/>
                                <w:left w:val="none" w:sz="0" w:space="0" w:color="auto"/>
                                <w:bottom w:val="none" w:sz="0" w:space="0" w:color="auto"/>
                                <w:right w:val="none" w:sz="0" w:space="0" w:color="auto"/>
                              </w:divBdr>
                            </w:div>
                            <w:div w:id="811823523">
                              <w:marLeft w:val="0"/>
                              <w:marRight w:val="0"/>
                              <w:marTop w:val="120"/>
                              <w:marBottom w:val="0"/>
                              <w:divBdr>
                                <w:top w:val="none" w:sz="0" w:space="0" w:color="auto"/>
                                <w:left w:val="none" w:sz="0" w:space="0" w:color="auto"/>
                                <w:bottom w:val="none" w:sz="0" w:space="0" w:color="auto"/>
                                <w:right w:val="none" w:sz="0" w:space="0" w:color="auto"/>
                              </w:divBdr>
                            </w:div>
                          </w:divsChild>
                        </w:div>
                        <w:div w:id="1417051539">
                          <w:marLeft w:val="0"/>
                          <w:marRight w:val="0"/>
                          <w:marTop w:val="0"/>
                          <w:marBottom w:val="0"/>
                          <w:divBdr>
                            <w:top w:val="none" w:sz="0" w:space="0" w:color="auto"/>
                            <w:left w:val="none" w:sz="0" w:space="0" w:color="auto"/>
                            <w:bottom w:val="none" w:sz="0" w:space="0" w:color="auto"/>
                            <w:right w:val="none" w:sz="0" w:space="0" w:color="auto"/>
                          </w:divBdr>
                          <w:divsChild>
                            <w:div w:id="879241475">
                              <w:marLeft w:val="0"/>
                              <w:marRight w:val="0"/>
                              <w:marTop w:val="120"/>
                              <w:marBottom w:val="0"/>
                              <w:divBdr>
                                <w:top w:val="none" w:sz="0" w:space="0" w:color="auto"/>
                                <w:left w:val="none" w:sz="0" w:space="0" w:color="auto"/>
                                <w:bottom w:val="none" w:sz="0" w:space="0" w:color="auto"/>
                                <w:right w:val="none" w:sz="0" w:space="0" w:color="auto"/>
                              </w:divBdr>
                            </w:div>
                            <w:div w:id="2116290893">
                              <w:marLeft w:val="0"/>
                              <w:marRight w:val="0"/>
                              <w:marTop w:val="0"/>
                              <w:marBottom w:val="0"/>
                              <w:divBdr>
                                <w:top w:val="none" w:sz="0" w:space="0" w:color="auto"/>
                                <w:left w:val="none" w:sz="0" w:space="0" w:color="auto"/>
                                <w:bottom w:val="none" w:sz="0" w:space="0" w:color="auto"/>
                                <w:right w:val="none" w:sz="0" w:space="0" w:color="auto"/>
                              </w:divBdr>
                            </w:div>
                          </w:divsChild>
                        </w:div>
                        <w:div w:id="2066371329">
                          <w:marLeft w:val="0"/>
                          <w:marRight w:val="0"/>
                          <w:marTop w:val="0"/>
                          <w:marBottom w:val="0"/>
                          <w:divBdr>
                            <w:top w:val="none" w:sz="0" w:space="0" w:color="auto"/>
                            <w:left w:val="none" w:sz="0" w:space="0" w:color="auto"/>
                            <w:bottom w:val="none" w:sz="0" w:space="0" w:color="auto"/>
                            <w:right w:val="none" w:sz="0" w:space="0" w:color="auto"/>
                          </w:divBdr>
                          <w:divsChild>
                            <w:div w:id="851064614">
                              <w:marLeft w:val="0"/>
                              <w:marRight w:val="0"/>
                              <w:marTop w:val="120"/>
                              <w:marBottom w:val="0"/>
                              <w:divBdr>
                                <w:top w:val="none" w:sz="0" w:space="0" w:color="auto"/>
                                <w:left w:val="none" w:sz="0" w:space="0" w:color="auto"/>
                                <w:bottom w:val="none" w:sz="0" w:space="0" w:color="auto"/>
                                <w:right w:val="none" w:sz="0" w:space="0" w:color="auto"/>
                              </w:divBdr>
                            </w:div>
                            <w:div w:id="1033504051">
                              <w:marLeft w:val="0"/>
                              <w:marRight w:val="0"/>
                              <w:marTop w:val="0"/>
                              <w:marBottom w:val="0"/>
                              <w:divBdr>
                                <w:top w:val="none" w:sz="0" w:space="0" w:color="auto"/>
                                <w:left w:val="none" w:sz="0" w:space="0" w:color="auto"/>
                                <w:bottom w:val="none" w:sz="0" w:space="0" w:color="auto"/>
                                <w:right w:val="none" w:sz="0" w:space="0" w:color="auto"/>
                              </w:divBdr>
                            </w:div>
                          </w:divsChild>
                        </w:div>
                        <w:div w:id="2102140254">
                          <w:marLeft w:val="0"/>
                          <w:marRight w:val="0"/>
                          <w:marTop w:val="0"/>
                          <w:marBottom w:val="0"/>
                          <w:divBdr>
                            <w:top w:val="none" w:sz="0" w:space="0" w:color="auto"/>
                            <w:left w:val="none" w:sz="0" w:space="0" w:color="auto"/>
                            <w:bottom w:val="none" w:sz="0" w:space="0" w:color="auto"/>
                            <w:right w:val="none" w:sz="0" w:space="0" w:color="auto"/>
                          </w:divBdr>
                          <w:divsChild>
                            <w:div w:id="78185268">
                              <w:marLeft w:val="0"/>
                              <w:marRight w:val="0"/>
                              <w:marTop w:val="0"/>
                              <w:marBottom w:val="0"/>
                              <w:divBdr>
                                <w:top w:val="none" w:sz="0" w:space="0" w:color="auto"/>
                                <w:left w:val="none" w:sz="0" w:space="0" w:color="auto"/>
                                <w:bottom w:val="none" w:sz="0" w:space="0" w:color="auto"/>
                                <w:right w:val="none" w:sz="0" w:space="0" w:color="auto"/>
                              </w:divBdr>
                            </w:div>
                            <w:div w:id="349142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4402480">
                      <w:marLeft w:val="0"/>
                      <w:marRight w:val="0"/>
                      <w:marTop w:val="120"/>
                      <w:marBottom w:val="0"/>
                      <w:divBdr>
                        <w:top w:val="none" w:sz="0" w:space="0" w:color="auto"/>
                        <w:left w:val="none" w:sz="0" w:space="0" w:color="auto"/>
                        <w:bottom w:val="none" w:sz="0" w:space="0" w:color="auto"/>
                        <w:right w:val="none" w:sz="0" w:space="0" w:color="auto"/>
                      </w:divBdr>
                    </w:div>
                  </w:divsChild>
                </w:div>
                <w:div w:id="1662661982">
                  <w:marLeft w:val="0"/>
                  <w:marRight w:val="0"/>
                  <w:marTop w:val="0"/>
                  <w:marBottom w:val="0"/>
                  <w:divBdr>
                    <w:top w:val="none" w:sz="0" w:space="0" w:color="auto"/>
                    <w:left w:val="none" w:sz="0" w:space="0" w:color="auto"/>
                    <w:bottom w:val="none" w:sz="0" w:space="0" w:color="auto"/>
                    <w:right w:val="none" w:sz="0" w:space="0" w:color="auto"/>
                  </w:divBdr>
                  <w:divsChild>
                    <w:div w:id="525103458">
                      <w:marLeft w:val="0"/>
                      <w:marRight w:val="0"/>
                      <w:marTop w:val="0"/>
                      <w:marBottom w:val="0"/>
                      <w:divBdr>
                        <w:top w:val="none" w:sz="0" w:space="0" w:color="auto"/>
                        <w:left w:val="none" w:sz="0" w:space="0" w:color="auto"/>
                        <w:bottom w:val="none" w:sz="0" w:space="0" w:color="auto"/>
                        <w:right w:val="none" w:sz="0" w:space="0" w:color="auto"/>
                      </w:divBdr>
                    </w:div>
                    <w:div w:id="1706249496">
                      <w:marLeft w:val="0"/>
                      <w:marRight w:val="0"/>
                      <w:marTop w:val="120"/>
                      <w:marBottom w:val="0"/>
                      <w:divBdr>
                        <w:top w:val="none" w:sz="0" w:space="0" w:color="auto"/>
                        <w:left w:val="none" w:sz="0" w:space="0" w:color="auto"/>
                        <w:bottom w:val="none" w:sz="0" w:space="0" w:color="auto"/>
                        <w:right w:val="none" w:sz="0" w:space="0" w:color="auto"/>
                      </w:divBdr>
                    </w:div>
                  </w:divsChild>
                </w:div>
                <w:div w:id="2143687319">
                  <w:marLeft w:val="0"/>
                  <w:marRight w:val="0"/>
                  <w:marTop w:val="0"/>
                  <w:marBottom w:val="0"/>
                  <w:divBdr>
                    <w:top w:val="none" w:sz="0" w:space="0" w:color="auto"/>
                    <w:left w:val="none" w:sz="0" w:space="0" w:color="auto"/>
                    <w:bottom w:val="none" w:sz="0" w:space="0" w:color="auto"/>
                    <w:right w:val="none" w:sz="0" w:space="0" w:color="auto"/>
                  </w:divBdr>
                  <w:divsChild>
                    <w:div w:id="1561556363">
                      <w:marLeft w:val="0"/>
                      <w:marRight w:val="0"/>
                      <w:marTop w:val="0"/>
                      <w:marBottom w:val="0"/>
                      <w:divBdr>
                        <w:top w:val="none" w:sz="0" w:space="0" w:color="auto"/>
                        <w:left w:val="none" w:sz="0" w:space="0" w:color="auto"/>
                        <w:bottom w:val="none" w:sz="0" w:space="0" w:color="auto"/>
                        <w:right w:val="none" w:sz="0" w:space="0" w:color="auto"/>
                      </w:divBdr>
                    </w:div>
                    <w:div w:id="21008264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46374921">
          <w:marLeft w:val="0"/>
          <w:marRight w:val="0"/>
          <w:marTop w:val="0"/>
          <w:marBottom w:val="0"/>
          <w:divBdr>
            <w:top w:val="none" w:sz="0" w:space="0" w:color="auto"/>
            <w:left w:val="none" w:sz="0" w:space="0" w:color="auto"/>
            <w:bottom w:val="none" w:sz="0" w:space="0" w:color="auto"/>
            <w:right w:val="none" w:sz="0" w:space="0" w:color="auto"/>
          </w:divBdr>
          <w:divsChild>
            <w:div w:id="531922604">
              <w:marLeft w:val="0"/>
              <w:marRight w:val="0"/>
              <w:marTop w:val="0"/>
              <w:marBottom w:val="0"/>
              <w:divBdr>
                <w:top w:val="none" w:sz="0" w:space="0" w:color="auto"/>
                <w:left w:val="none" w:sz="0" w:space="0" w:color="auto"/>
                <w:bottom w:val="none" w:sz="0" w:space="0" w:color="auto"/>
                <w:right w:val="none" w:sz="0" w:space="0" w:color="auto"/>
              </w:divBdr>
              <w:divsChild>
                <w:div w:id="1111171315">
                  <w:marLeft w:val="0"/>
                  <w:marRight w:val="0"/>
                  <w:marTop w:val="0"/>
                  <w:marBottom w:val="0"/>
                  <w:divBdr>
                    <w:top w:val="none" w:sz="0" w:space="0" w:color="auto"/>
                    <w:left w:val="none" w:sz="0" w:space="0" w:color="auto"/>
                    <w:bottom w:val="none" w:sz="0" w:space="0" w:color="auto"/>
                    <w:right w:val="none" w:sz="0" w:space="0" w:color="auto"/>
                  </w:divBdr>
                  <w:divsChild>
                    <w:div w:id="1116221135">
                      <w:marLeft w:val="0"/>
                      <w:marRight w:val="0"/>
                      <w:marTop w:val="0"/>
                      <w:marBottom w:val="0"/>
                      <w:divBdr>
                        <w:top w:val="none" w:sz="0" w:space="0" w:color="auto"/>
                        <w:left w:val="none" w:sz="0" w:space="0" w:color="auto"/>
                        <w:bottom w:val="none" w:sz="0" w:space="0" w:color="auto"/>
                        <w:right w:val="none" w:sz="0" w:space="0" w:color="auto"/>
                      </w:divBdr>
                    </w:div>
                    <w:div w:id="1202785551">
                      <w:marLeft w:val="0"/>
                      <w:marRight w:val="0"/>
                      <w:marTop w:val="120"/>
                      <w:marBottom w:val="0"/>
                      <w:divBdr>
                        <w:top w:val="none" w:sz="0" w:space="0" w:color="auto"/>
                        <w:left w:val="none" w:sz="0" w:space="0" w:color="auto"/>
                        <w:bottom w:val="none" w:sz="0" w:space="0" w:color="auto"/>
                        <w:right w:val="none" w:sz="0" w:space="0" w:color="auto"/>
                      </w:divBdr>
                    </w:div>
                  </w:divsChild>
                </w:div>
                <w:div w:id="1427192010">
                  <w:marLeft w:val="0"/>
                  <w:marRight w:val="0"/>
                  <w:marTop w:val="0"/>
                  <w:marBottom w:val="0"/>
                  <w:divBdr>
                    <w:top w:val="none" w:sz="0" w:space="0" w:color="auto"/>
                    <w:left w:val="none" w:sz="0" w:space="0" w:color="auto"/>
                    <w:bottom w:val="none" w:sz="0" w:space="0" w:color="auto"/>
                    <w:right w:val="none" w:sz="0" w:space="0" w:color="auto"/>
                  </w:divBdr>
                  <w:divsChild>
                    <w:div w:id="234439811">
                      <w:marLeft w:val="0"/>
                      <w:marRight w:val="0"/>
                      <w:marTop w:val="120"/>
                      <w:marBottom w:val="0"/>
                      <w:divBdr>
                        <w:top w:val="none" w:sz="0" w:space="0" w:color="auto"/>
                        <w:left w:val="none" w:sz="0" w:space="0" w:color="auto"/>
                        <w:bottom w:val="none" w:sz="0" w:space="0" w:color="auto"/>
                        <w:right w:val="none" w:sz="0" w:space="0" w:color="auto"/>
                      </w:divBdr>
                    </w:div>
                    <w:div w:id="17589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3907">
          <w:marLeft w:val="0"/>
          <w:marRight w:val="0"/>
          <w:marTop w:val="0"/>
          <w:marBottom w:val="0"/>
          <w:divBdr>
            <w:top w:val="none" w:sz="0" w:space="0" w:color="auto"/>
            <w:left w:val="none" w:sz="0" w:space="0" w:color="auto"/>
            <w:bottom w:val="none" w:sz="0" w:space="0" w:color="auto"/>
            <w:right w:val="none" w:sz="0" w:space="0" w:color="auto"/>
          </w:divBdr>
          <w:divsChild>
            <w:div w:id="19781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4954">
      <w:bodyDiv w:val="1"/>
      <w:marLeft w:val="0"/>
      <w:marRight w:val="0"/>
      <w:marTop w:val="0"/>
      <w:marBottom w:val="0"/>
      <w:divBdr>
        <w:top w:val="none" w:sz="0" w:space="0" w:color="auto"/>
        <w:left w:val="none" w:sz="0" w:space="0" w:color="auto"/>
        <w:bottom w:val="none" w:sz="0" w:space="0" w:color="auto"/>
        <w:right w:val="none" w:sz="0" w:space="0" w:color="auto"/>
      </w:divBdr>
      <w:divsChild>
        <w:div w:id="197089040">
          <w:marLeft w:val="0"/>
          <w:marRight w:val="0"/>
          <w:marTop w:val="0"/>
          <w:marBottom w:val="0"/>
          <w:divBdr>
            <w:top w:val="none" w:sz="0" w:space="0" w:color="auto"/>
            <w:left w:val="none" w:sz="0" w:space="0" w:color="auto"/>
            <w:bottom w:val="none" w:sz="0" w:space="0" w:color="auto"/>
            <w:right w:val="none" w:sz="0" w:space="0" w:color="auto"/>
          </w:divBdr>
          <w:divsChild>
            <w:div w:id="394285529">
              <w:marLeft w:val="0"/>
              <w:marRight w:val="0"/>
              <w:marTop w:val="0"/>
              <w:marBottom w:val="0"/>
              <w:divBdr>
                <w:top w:val="none" w:sz="0" w:space="0" w:color="auto"/>
                <w:left w:val="none" w:sz="0" w:space="0" w:color="auto"/>
                <w:bottom w:val="none" w:sz="0" w:space="0" w:color="auto"/>
                <w:right w:val="none" w:sz="0" w:space="0" w:color="auto"/>
              </w:divBdr>
              <w:divsChild>
                <w:div w:id="636027928">
                  <w:marLeft w:val="0"/>
                  <w:marRight w:val="0"/>
                  <w:marTop w:val="0"/>
                  <w:marBottom w:val="0"/>
                  <w:divBdr>
                    <w:top w:val="none" w:sz="0" w:space="0" w:color="auto"/>
                    <w:left w:val="none" w:sz="0" w:space="0" w:color="auto"/>
                    <w:bottom w:val="none" w:sz="0" w:space="0" w:color="auto"/>
                    <w:right w:val="none" w:sz="0" w:space="0" w:color="auto"/>
                  </w:divBdr>
                  <w:divsChild>
                    <w:div w:id="504511993">
                      <w:marLeft w:val="0"/>
                      <w:marRight w:val="0"/>
                      <w:marTop w:val="0"/>
                      <w:marBottom w:val="0"/>
                      <w:divBdr>
                        <w:top w:val="none" w:sz="0" w:space="0" w:color="auto"/>
                        <w:left w:val="none" w:sz="0" w:space="0" w:color="auto"/>
                        <w:bottom w:val="none" w:sz="0" w:space="0" w:color="auto"/>
                        <w:right w:val="none" w:sz="0" w:space="0" w:color="auto"/>
                      </w:divBdr>
                    </w:div>
                    <w:div w:id="1778909965">
                      <w:marLeft w:val="0"/>
                      <w:marRight w:val="0"/>
                      <w:marTop w:val="120"/>
                      <w:marBottom w:val="0"/>
                      <w:divBdr>
                        <w:top w:val="none" w:sz="0" w:space="0" w:color="auto"/>
                        <w:left w:val="none" w:sz="0" w:space="0" w:color="auto"/>
                        <w:bottom w:val="none" w:sz="0" w:space="0" w:color="auto"/>
                        <w:right w:val="none" w:sz="0" w:space="0" w:color="auto"/>
                      </w:divBdr>
                    </w:div>
                  </w:divsChild>
                </w:div>
                <w:div w:id="885988620">
                  <w:marLeft w:val="0"/>
                  <w:marRight w:val="0"/>
                  <w:marTop w:val="0"/>
                  <w:marBottom w:val="0"/>
                  <w:divBdr>
                    <w:top w:val="none" w:sz="0" w:space="0" w:color="auto"/>
                    <w:left w:val="none" w:sz="0" w:space="0" w:color="auto"/>
                    <w:bottom w:val="none" w:sz="0" w:space="0" w:color="auto"/>
                    <w:right w:val="none" w:sz="0" w:space="0" w:color="auto"/>
                  </w:divBdr>
                  <w:divsChild>
                    <w:div w:id="678460421">
                      <w:marLeft w:val="0"/>
                      <w:marRight w:val="0"/>
                      <w:marTop w:val="120"/>
                      <w:marBottom w:val="0"/>
                      <w:divBdr>
                        <w:top w:val="none" w:sz="0" w:space="0" w:color="auto"/>
                        <w:left w:val="none" w:sz="0" w:space="0" w:color="auto"/>
                        <w:bottom w:val="none" w:sz="0" w:space="0" w:color="auto"/>
                        <w:right w:val="none" w:sz="0" w:space="0" w:color="auto"/>
                      </w:divBdr>
                    </w:div>
                    <w:div w:id="1927030815">
                      <w:marLeft w:val="0"/>
                      <w:marRight w:val="0"/>
                      <w:marTop w:val="0"/>
                      <w:marBottom w:val="0"/>
                      <w:divBdr>
                        <w:top w:val="none" w:sz="0" w:space="0" w:color="auto"/>
                        <w:left w:val="none" w:sz="0" w:space="0" w:color="auto"/>
                        <w:bottom w:val="none" w:sz="0" w:space="0" w:color="auto"/>
                        <w:right w:val="none" w:sz="0" w:space="0" w:color="auto"/>
                      </w:divBdr>
                    </w:div>
                  </w:divsChild>
                </w:div>
                <w:div w:id="1116292554">
                  <w:marLeft w:val="0"/>
                  <w:marRight w:val="0"/>
                  <w:marTop w:val="0"/>
                  <w:marBottom w:val="0"/>
                  <w:divBdr>
                    <w:top w:val="none" w:sz="0" w:space="0" w:color="auto"/>
                    <w:left w:val="none" w:sz="0" w:space="0" w:color="auto"/>
                    <w:bottom w:val="none" w:sz="0" w:space="0" w:color="auto"/>
                    <w:right w:val="none" w:sz="0" w:space="0" w:color="auto"/>
                  </w:divBdr>
                  <w:divsChild>
                    <w:div w:id="1494495065">
                      <w:marLeft w:val="0"/>
                      <w:marRight w:val="0"/>
                      <w:marTop w:val="120"/>
                      <w:marBottom w:val="0"/>
                      <w:divBdr>
                        <w:top w:val="none" w:sz="0" w:space="0" w:color="auto"/>
                        <w:left w:val="none" w:sz="0" w:space="0" w:color="auto"/>
                        <w:bottom w:val="none" w:sz="0" w:space="0" w:color="auto"/>
                        <w:right w:val="none" w:sz="0" w:space="0" w:color="auto"/>
                      </w:divBdr>
                    </w:div>
                    <w:div w:id="2125733051">
                      <w:marLeft w:val="0"/>
                      <w:marRight w:val="0"/>
                      <w:marTop w:val="0"/>
                      <w:marBottom w:val="0"/>
                      <w:divBdr>
                        <w:top w:val="none" w:sz="0" w:space="0" w:color="auto"/>
                        <w:left w:val="none" w:sz="0" w:space="0" w:color="auto"/>
                        <w:bottom w:val="none" w:sz="0" w:space="0" w:color="auto"/>
                        <w:right w:val="none" w:sz="0" w:space="0" w:color="auto"/>
                      </w:divBdr>
                    </w:div>
                  </w:divsChild>
                </w:div>
                <w:div w:id="1211724312">
                  <w:marLeft w:val="0"/>
                  <w:marRight w:val="0"/>
                  <w:marTop w:val="0"/>
                  <w:marBottom w:val="0"/>
                  <w:divBdr>
                    <w:top w:val="none" w:sz="0" w:space="0" w:color="auto"/>
                    <w:left w:val="none" w:sz="0" w:space="0" w:color="auto"/>
                    <w:bottom w:val="none" w:sz="0" w:space="0" w:color="auto"/>
                    <w:right w:val="none" w:sz="0" w:space="0" w:color="auto"/>
                  </w:divBdr>
                  <w:divsChild>
                    <w:div w:id="1653021424">
                      <w:marLeft w:val="0"/>
                      <w:marRight w:val="0"/>
                      <w:marTop w:val="12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70844">
          <w:marLeft w:val="0"/>
          <w:marRight w:val="0"/>
          <w:marTop w:val="0"/>
          <w:marBottom w:val="0"/>
          <w:divBdr>
            <w:top w:val="none" w:sz="0" w:space="0" w:color="auto"/>
            <w:left w:val="none" w:sz="0" w:space="0" w:color="auto"/>
            <w:bottom w:val="none" w:sz="0" w:space="0" w:color="auto"/>
            <w:right w:val="none" w:sz="0" w:space="0" w:color="auto"/>
          </w:divBdr>
          <w:divsChild>
            <w:div w:id="1290238883">
              <w:marLeft w:val="0"/>
              <w:marRight w:val="0"/>
              <w:marTop w:val="0"/>
              <w:marBottom w:val="0"/>
              <w:divBdr>
                <w:top w:val="none" w:sz="0" w:space="0" w:color="auto"/>
                <w:left w:val="none" w:sz="0" w:space="0" w:color="auto"/>
                <w:bottom w:val="none" w:sz="0" w:space="0" w:color="auto"/>
                <w:right w:val="none" w:sz="0" w:space="0" w:color="auto"/>
              </w:divBdr>
            </w:div>
          </w:divsChild>
        </w:div>
        <w:div w:id="1699158980">
          <w:marLeft w:val="0"/>
          <w:marRight w:val="0"/>
          <w:marTop w:val="0"/>
          <w:marBottom w:val="0"/>
          <w:divBdr>
            <w:top w:val="none" w:sz="0" w:space="0" w:color="auto"/>
            <w:left w:val="none" w:sz="0" w:space="0" w:color="auto"/>
            <w:bottom w:val="none" w:sz="0" w:space="0" w:color="auto"/>
            <w:right w:val="none" w:sz="0" w:space="0" w:color="auto"/>
          </w:divBdr>
          <w:divsChild>
            <w:div w:id="944770525">
              <w:marLeft w:val="0"/>
              <w:marRight w:val="0"/>
              <w:marTop w:val="0"/>
              <w:marBottom w:val="0"/>
              <w:divBdr>
                <w:top w:val="none" w:sz="0" w:space="0" w:color="auto"/>
                <w:left w:val="none" w:sz="0" w:space="0" w:color="auto"/>
                <w:bottom w:val="none" w:sz="0" w:space="0" w:color="auto"/>
                <w:right w:val="none" w:sz="0" w:space="0" w:color="auto"/>
              </w:divBdr>
            </w:div>
          </w:divsChild>
        </w:div>
        <w:div w:id="1944337694">
          <w:marLeft w:val="0"/>
          <w:marRight w:val="0"/>
          <w:marTop w:val="0"/>
          <w:marBottom w:val="0"/>
          <w:divBdr>
            <w:top w:val="none" w:sz="0" w:space="0" w:color="auto"/>
            <w:left w:val="none" w:sz="0" w:space="0" w:color="auto"/>
            <w:bottom w:val="none" w:sz="0" w:space="0" w:color="auto"/>
            <w:right w:val="none" w:sz="0" w:space="0" w:color="auto"/>
          </w:divBdr>
          <w:divsChild>
            <w:div w:id="4157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6912">
      <w:bodyDiv w:val="1"/>
      <w:marLeft w:val="0"/>
      <w:marRight w:val="0"/>
      <w:marTop w:val="0"/>
      <w:marBottom w:val="0"/>
      <w:divBdr>
        <w:top w:val="none" w:sz="0" w:space="0" w:color="auto"/>
        <w:left w:val="none" w:sz="0" w:space="0" w:color="auto"/>
        <w:bottom w:val="none" w:sz="0" w:space="0" w:color="auto"/>
        <w:right w:val="none" w:sz="0" w:space="0" w:color="auto"/>
      </w:divBdr>
      <w:divsChild>
        <w:div w:id="718630595">
          <w:marLeft w:val="0"/>
          <w:marRight w:val="0"/>
          <w:marTop w:val="0"/>
          <w:marBottom w:val="0"/>
          <w:divBdr>
            <w:top w:val="none" w:sz="0" w:space="0" w:color="auto"/>
            <w:left w:val="none" w:sz="0" w:space="0" w:color="auto"/>
            <w:bottom w:val="none" w:sz="0" w:space="0" w:color="auto"/>
            <w:right w:val="none" w:sz="0" w:space="0" w:color="auto"/>
          </w:divBdr>
          <w:divsChild>
            <w:div w:id="1456093619">
              <w:marLeft w:val="0"/>
              <w:marRight w:val="0"/>
              <w:marTop w:val="0"/>
              <w:marBottom w:val="0"/>
              <w:divBdr>
                <w:top w:val="none" w:sz="0" w:space="0" w:color="auto"/>
                <w:left w:val="none" w:sz="0" w:space="0" w:color="auto"/>
                <w:bottom w:val="none" w:sz="0" w:space="0" w:color="auto"/>
                <w:right w:val="none" w:sz="0" w:space="0" w:color="auto"/>
              </w:divBdr>
              <w:divsChild>
                <w:div w:id="1075861716">
                  <w:marLeft w:val="0"/>
                  <w:marRight w:val="0"/>
                  <w:marTop w:val="120"/>
                  <w:marBottom w:val="0"/>
                  <w:divBdr>
                    <w:top w:val="none" w:sz="0" w:space="0" w:color="auto"/>
                    <w:left w:val="none" w:sz="0" w:space="0" w:color="auto"/>
                    <w:bottom w:val="none" w:sz="0" w:space="0" w:color="auto"/>
                    <w:right w:val="none" w:sz="0" w:space="0" w:color="auto"/>
                  </w:divBdr>
                </w:div>
                <w:div w:id="1529952322">
                  <w:marLeft w:val="0"/>
                  <w:marRight w:val="0"/>
                  <w:marTop w:val="0"/>
                  <w:marBottom w:val="0"/>
                  <w:divBdr>
                    <w:top w:val="none" w:sz="0" w:space="0" w:color="auto"/>
                    <w:left w:val="none" w:sz="0" w:space="0" w:color="auto"/>
                    <w:bottom w:val="none" w:sz="0" w:space="0" w:color="auto"/>
                    <w:right w:val="none" w:sz="0" w:space="0" w:color="auto"/>
                  </w:divBdr>
                </w:div>
              </w:divsChild>
            </w:div>
            <w:div w:id="1560088194">
              <w:marLeft w:val="0"/>
              <w:marRight w:val="0"/>
              <w:marTop w:val="0"/>
              <w:marBottom w:val="0"/>
              <w:divBdr>
                <w:top w:val="none" w:sz="0" w:space="0" w:color="auto"/>
                <w:left w:val="none" w:sz="0" w:space="0" w:color="auto"/>
                <w:bottom w:val="none" w:sz="0" w:space="0" w:color="auto"/>
                <w:right w:val="none" w:sz="0" w:space="0" w:color="auto"/>
              </w:divBdr>
              <w:divsChild>
                <w:div w:id="567420696">
                  <w:marLeft w:val="0"/>
                  <w:marRight w:val="0"/>
                  <w:marTop w:val="0"/>
                  <w:marBottom w:val="0"/>
                  <w:divBdr>
                    <w:top w:val="none" w:sz="0" w:space="0" w:color="auto"/>
                    <w:left w:val="none" w:sz="0" w:space="0" w:color="auto"/>
                    <w:bottom w:val="none" w:sz="0" w:space="0" w:color="auto"/>
                    <w:right w:val="none" w:sz="0" w:space="0" w:color="auto"/>
                  </w:divBdr>
                </w:div>
                <w:div w:id="6186820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1132888">
          <w:marLeft w:val="0"/>
          <w:marRight w:val="0"/>
          <w:marTop w:val="120"/>
          <w:marBottom w:val="0"/>
          <w:divBdr>
            <w:top w:val="none" w:sz="0" w:space="0" w:color="auto"/>
            <w:left w:val="none" w:sz="0" w:space="0" w:color="auto"/>
            <w:bottom w:val="none" w:sz="0" w:space="0" w:color="auto"/>
            <w:right w:val="none" w:sz="0" w:space="0" w:color="auto"/>
          </w:divBdr>
        </w:div>
      </w:divsChild>
    </w:div>
    <w:div w:id="1180242814">
      <w:bodyDiv w:val="1"/>
      <w:marLeft w:val="0"/>
      <w:marRight w:val="0"/>
      <w:marTop w:val="0"/>
      <w:marBottom w:val="0"/>
      <w:divBdr>
        <w:top w:val="none" w:sz="0" w:space="0" w:color="auto"/>
        <w:left w:val="none" w:sz="0" w:space="0" w:color="auto"/>
        <w:bottom w:val="none" w:sz="0" w:space="0" w:color="auto"/>
        <w:right w:val="none" w:sz="0" w:space="0" w:color="auto"/>
      </w:divBdr>
      <w:divsChild>
        <w:div w:id="742532944">
          <w:marLeft w:val="0"/>
          <w:marRight w:val="0"/>
          <w:marTop w:val="0"/>
          <w:marBottom w:val="0"/>
          <w:divBdr>
            <w:top w:val="none" w:sz="0" w:space="0" w:color="auto"/>
            <w:left w:val="none" w:sz="0" w:space="0" w:color="auto"/>
            <w:bottom w:val="none" w:sz="0" w:space="0" w:color="auto"/>
            <w:right w:val="none" w:sz="0" w:space="0" w:color="auto"/>
          </w:divBdr>
        </w:div>
      </w:divsChild>
    </w:div>
    <w:div w:id="1183782561">
      <w:bodyDiv w:val="1"/>
      <w:marLeft w:val="0"/>
      <w:marRight w:val="0"/>
      <w:marTop w:val="0"/>
      <w:marBottom w:val="0"/>
      <w:divBdr>
        <w:top w:val="none" w:sz="0" w:space="0" w:color="auto"/>
        <w:left w:val="none" w:sz="0" w:space="0" w:color="auto"/>
        <w:bottom w:val="none" w:sz="0" w:space="0" w:color="auto"/>
        <w:right w:val="none" w:sz="0" w:space="0" w:color="auto"/>
      </w:divBdr>
      <w:divsChild>
        <w:div w:id="367220726">
          <w:marLeft w:val="600"/>
          <w:marRight w:val="0"/>
          <w:marTop w:val="0"/>
          <w:marBottom w:val="0"/>
          <w:divBdr>
            <w:top w:val="none" w:sz="0" w:space="0" w:color="auto"/>
            <w:left w:val="none" w:sz="0" w:space="0" w:color="auto"/>
            <w:bottom w:val="none" w:sz="0" w:space="0" w:color="auto"/>
            <w:right w:val="none" w:sz="0" w:space="0" w:color="auto"/>
          </w:divBdr>
        </w:div>
        <w:div w:id="618343652">
          <w:marLeft w:val="600"/>
          <w:marRight w:val="0"/>
          <w:marTop w:val="0"/>
          <w:marBottom w:val="0"/>
          <w:divBdr>
            <w:top w:val="none" w:sz="0" w:space="0" w:color="auto"/>
            <w:left w:val="none" w:sz="0" w:space="0" w:color="auto"/>
            <w:bottom w:val="none" w:sz="0" w:space="0" w:color="auto"/>
            <w:right w:val="none" w:sz="0" w:space="0" w:color="auto"/>
          </w:divBdr>
        </w:div>
        <w:div w:id="1203399349">
          <w:marLeft w:val="720"/>
          <w:marRight w:val="0"/>
          <w:marTop w:val="0"/>
          <w:marBottom w:val="0"/>
          <w:divBdr>
            <w:top w:val="none" w:sz="0" w:space="0" w:color="auto"/>
            <w:left w:val="none" w:sz="0" w:space="0" w:color="auto"/>
            <w:bottom w:val="none" w:sz="0" w:space="0" w:color="auto"/>
            <w:right w:val="none" w:sz="0" w:space="0" w:color="auto"/>
          </w:divBdr>
        </w:div>
      </w:divsChild>
    </w:div>
    <w:div w:id="1184049180">
      <w:bodyDiv w:val="1"/>
      <w:marLeft w:val="0"/>
      <w:marRight w:val="0"/>
      <w:marTop w:val="0"/>
      <w:marBottom w:val="0"/>
      <w:divBdr>
        <w:top w:val="none" w:sz="0" w:space="0" w:color="auto"/>
        <w:left w:val="none" w:sz="0" w:space="0" w:color="auto"/>
        <w:bottom w:val="none" w:sz="0" w:space="0" w:color="auto"/>
        <w:right w:val="none" w:sz="0" w:space="0" w:color="auto"/>
      </w:divBdr>
    </w:div>
    <w:div w:id="1185753524">
      <w:bodyDiv w:val="1"/>
      <w:marLeft w:val="0"/>
      <w:marRight w:val="0"/>
      <w:marTop w:val="0"/>
      <w:marBottom w:val="0"/>
      <w:divBdr>
        <w:top w:val="none" w:sz="0" w:space="0" w:color="auto"/>
        <w:left w:val="none" w:sz="0" w:space="0" w:color="auto"/>
        <w:bottom w:val="none" w:sz="0" w:space="0" w:color="auto"/>
        <w:right w:val="none" w:sz="0" w:space="0" w:color="auto"/>
      </w:divBdr>
    </w:div>
    <w:div w:id="1191410826">
      <w:bodyDiv w:val="1"/>
      <w:marLeft w:val="0"/>
      <w:marRight w:val="0"/>
      <w:marTop w:val="0"/>
      <w:marBottom w:val="0"/>
      <w:divBdr>
        <w:top w:val="none" w:sz="0" w:space="0" w:color="auto"/>
        <w:left w:val="none" w:sz="0" w:space="0" w:color="auto"/>
        <w:bottom w:val="none" w:sz="0" w:space="0" w:color="auto"/>
        <w:right w:val="none" w:sz="0" w:space="0" w:color="auto"/>
      </w:divBdr>
    </w:div>
    <w:div w:id="1201474254">
      <w:bodyDiv w:val="1"/>
      <w:marLeft w:val="0"/>
      <w:marRight w:val="0"/>
      <w:marTop w:val="0"/>
      <w:marBottom w:val="0"/>
      <w:divBdr>
        <w:top w:val="none" w:sz="0" w:space="0" w:color="auto"/>
        <w:left w:val="none" w:sz="0" w:space="0" w:color="auto"/>
        <w:bottom w:val="none" w:sz="0" w:space="0" w:color="auto"/>
        <w:right w:val="none" w:sz="0" w:space="0" w:color="auto"/>
      </w:divBdr>
    </w:div>
    <w:div w:id="1204710785">
      <w:bodyDiv w:val="1"/>
      <w:marLeft w:val="0"/>
      <w:marRight w:val="0"/>
      <w:marTop w:val="0"/>
      <w:marBottom w:val="0"/>
      <w:divBdr>
        <w:top w:val="none" w:sz="0" w:space="0" w:color="auto"/>
        <w:left w:val="none" w:sz="0" w:space="0" w:color="auto"/>
        <w:bottom w:val="none" w:sz="0" w:space="0" w:color="auto"/>
        <w:right w:val="none" w:sz="0" w:space="0" w:color="auto"/>
      </w:divBdr>
      <w:divsChild>
        <w:div w:id="2112626992">
          <w:marLeft w:val="0"/>
          <w:marRight w:val="0"/>
          <w:marTop w:val="0"/>
          <w:marBottom w:val="0"/>
          <w:divBdr>
            <w:top w:val="none" w:sz="0" w:space="0" w:color="auto"/>
            <w:left w:val="none" w:sz="0" w:space="0" w:color="auto"/>
            <w:bottom w:val="none" w:sz="0" w:space="0" w:color="auto"/>
            <w:right w:val="none" w:sz="0" w:space="0" w:color="auto"/>
          </w:divBdr>
          <w:divsChild>
            <w:div w:id="302275747">
              <w:marLeft w:val="0"/>
              <w:marRight w:val="0"/>
              <w:marTop w:val="0"/>
              <w:marBottom w:val="0"/>
              <w:divBdr>
                <w:top w:val="none" w:sz="0" w:space="0" w:color="auto"/>
                <w:left w:val="none" w:sz="0" w:space="0" w:color="auto"/>
                <w:bottom w:val="none" w:sz="0" w:space="0" w:color="auto"/>
                <w:right w:val="none" w:sz="0" w:space="0" w:color="auto"/>
              </w:divBdr>
              <w:divsChild>
                <w:div w:id="273445861">
                  <w:marLeft w:val="0"/>
                  <w:marRight w:val="0"/>
                  <w:marTop w:val="120"/>
                  <w:marBottom w:val="0"/>
                  <w:divBdr>
                    <w:top w:val="none" w:sz="0" w:space="0" w:color="auto"/>
                    <w:left w:val="none" w:sz="0" w:space="0" w:color="auto"/>
                    <w:bottom w:val="none" w:sz="0" w:space="0" w:color="auto"/>
                    <w:right w:val="none" w:sz="0" w:space="0" w:color="auto"/>
                  </w:divBdr>
                </w:div>
                <w:div w:id="1320620020">
                  <w:marLeft w:val="0"/>
                  <w:marRight w:val="0"/>
                  <w:marTop w:val="0"/>
                  <w:marBottom w:val="0"/>
                  <w:divBdr>
                    <w:top w:val="none" w:sz="0" w:space="0" w:color="auto"/>
                    <w:left w:val="none" w:sz="0" w:space="0" w:color="auto"/>
                    <w:bottom w:val="none" w:sz="0" w:space="0" w:color="auto"/>
                    <w:right w:val="none" w:sz="0" w:space="0" w:color="auto"/>
                  </w:divBdr>
                </w:div>
              </w:divsChild>
            </w:div>
            <w:div w:id="980577074">
              <w:marLeft w:val="0"/>
              <w:marRight w:val="0"/>
              <w:marTop w:val="0"/>
              <w:marBottom w:val="0"/>
              <w:divBdr>
                <w:top w:val="none" w:sz="0" w:space="0" w:color="auto"/>
                <w:left w:val="none" w:sz="0" w:space="0" w:color="auto"/>
                <w:bottom w:val="none" w:sz="0" w:space="0" w:color="auto"/>
                <w:right w:val="none" w:sz="0" w:space="0" w:color="auto"/>
              </w:divBdr>
              <w:divsChild>
                <w:div w:id="484931600">
                  <w:marLeft w:val="0"/>
                  <w:marRight w:val="0"/>
                  <w:marTop w:val="0"/>
                  <w:marBottom w:val="0"/>
                  <w:divBdr>
                    <w:top w:val="none" w:sz="0" w:space="0" w:color="auto"/>
                    <w:left w:val="none" w:sz="0" w:space="0" w:color="auto"/>
                    <w:bottom w:val="none" w:sz="0" w:space="0" w:color="auto"/>
                    <w:right w:val="none" w:sz="0" w:space="0" w:color="auto"/>
                  </w:divBdr>
                </w:div>
                <w:div w:id="1915775411">
                  <w:marLeft w:val="0"/>
                  <w:marRight w:val="0"/>
                  <w:marTop w:val="120"/>
                  <w:marBottom w:val="0"/>
                  <w:divBdr>
                    <w:top w:val="none" w:sz="0" w:space="0" w:color="auto"/>
                    <w:left w:val="none" w:sz="0" w:space="0" w:color="auto"/>
                    <w:bottom w:val="none" w:sz="0" w:space="0" w:color="auto"/>
                    <w:right w:val="none" w:sz="0" w:space="0" w:color="auto"/>
                  </w:divBdr>
                </w:div>
              </w:divsChild>
            </w:div>
            <w:div w:id="2044283839">
              <w:marLeft w:val="0"/>
              <w:marRight w:val="0"/>
              <w:marTop w:val="0"/>
              <w:marBottom w:val="0"/>
              <w:divBdr>
                <w:top w:val="none" w:sz="0" w:space="0" w:color="auto"/>
                <w:left w:val="none" w:sz="0" w:space="0" w:color="auto"/>
                <w:bottom w:val="none" w:sz="0" w:space="0" w:color="auto"/>
                <w:right w:val="none" w:sz="0" w:space="0" w:color="auto"/>
              </w:divBdr>
              <w:divsChild>
                <w:div w:id="116460248">
                  <w:marLeft w:val="0"/>
                  <w:marRight w:val="0"/>
                  <w:marTop w:val="120"/>
                  <w:marBottom w:val="0"/>
                  <w:divBdr>
                    <w:top w:val="none" w:sz="0" w:space="0" w:color="auto"/>
                    <w:left w:val="none" w:sz="0" w:space="0" w:color="auto"/>
                    <w:bottom w:val="none" w:sz="0" w:space="0" w:color="auto"/>
                    <w:right w:val="none" w:sz="0" w:space="0" w:color="auto"/>
                  </w:divBdr>
                </w:div>
                <w:div w:id="204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9226">
      <w:bodyDiv w:val="1"/>
      <w:marLeft w:val="0"/>
      <w:marRight w:val="0"/>
      <w:marTop w:val="0"/>
      <w:marBottom w:val="0"/>
      <w:divBdr>
        <w:top w:val="none" w:sz="0" w:space="0" w:color="auto"/>
        <w:left w:val="none" w:sz="0" w:space="0" w:color="auto"/>
        <w:bottom w:val="none" w:sz="0" w:space="0" w:color="auto"/>
        <w:right w:val="none" w:sz="0" w:space="0" w:color="auto"/>
      </w:divBdr>
      <w:divsChild>
        <w:div w:id="880441047">
          <w:marLeft w:val="0"/>
          <w:marRight w:val="0"/>
          <w:marTop w:val="0"/>
          <w:marBottom w:val="0"/>
          <w:divBdr>
            <w:top w:val="none" w:sz="0" w:space="0" w:color="auto"/>
            <w:left w:val="none" w:sz="0" w:space="0" w:color="auto"/>
            <w:bottom w:val="none" w:sz="0" w:space="0" w:color="auto"/>
            <w:right w:val="none" w:sz="0" w:space="0" w:color="auto"/>
          </w:divBdr>
        </w:div>
      </w:divsChild>
    </w:div>
    <w:div w:id="1220550777">
      <w:bodyDiv w:val="1"/>
      <w:marLeft w:val="0"/>
      <w:marRight w:val="0"/>
      <w:marTop w:val="0"/>
      <w:marBottom w:val="0"/>
      <w:divBdr>
        <w:top w:val="none" w:sz="0" w:space="0" w:color="auto"/>
        <w:left w:val="none" w:sz="0" w:space="0" w:color="auto"/>
        <w:bottom w:val="none" w:sz="0" w:space="0" w:color="auto"/>
        <w:right w:val="none" w:sz="0" w:space="0" w:color="auto"/>
      </w:divBdr>
    </w:div>
    <w:div w:id="1221794054">
      <w:bodyDiv w:val="1"/>
      <w:marLeft w:val="0"/>
      <w:marRight w:val="0"/>
      <w:marTop w:val="0"/>
      <w:marBottom w:val="0"/>
      <w:divBdr>
        <w:top w:val="none" w:sz="0" w:space="0" w:color="auto"/>
        <w:left w:val="none" w:sz="0" w:space="0" w:color="auto"/>
        <w:bottom w:val="none" w:sz="0" w:space="0" w:color="auto"/>
        <w:right w:val="none" w:sz="0" w:space="0" w:color="auto"/>
      </w:divBdr>
    </w:div>
    <w:div w:id="1222601177">
      <w:bodyDiv w:val="1"/>
      <w:marLeft w:val="0"/>
      <w:marRight w:val="0"/>
      <w:marTop w:val="0"/>
      <w:marBottom w:val="0"/>
      <w:divBdr>
        <w:top w:val="none" w:sz="0" w:space="0" w:color="auto"/>
        <w:left w:val="none" w:sz="0" w:space="0" w:color="auto"/>
        <w:bottom w:val="none" w:sz="0" w:space="0" w:color="auto"/>
        <w:right w:val="none" w:sz="0" w:space="0" w:color="auto"/>
      </w:divBdr>
      <w:divsChild>
        <w:div w:id="771781398">
          <w:marLeft w:val="0"/>
          <w:marRight w:val="0"/>
          <w:marTop w:val="0"/>
          <w:marBottom w:val="0"/>
          <w:divBdr>
            <w:top w:val="none" w:sz="0" w:space="0" w:color="auto"/>
            <w:left w:val="none" w:sz="0" w:space="0" w:color="auto"/>
            <w:bottom w:val="none" w:sz="0" w:space="0" w:color="auto"/>
            <w:right w:val="none" w:sz="0" w:space="0" w:color="auto"/>
          </w:divBdr>
          <w:divsChild>
            <w:div w:id="1357001699">
              <w:marLeft w:val="0"/>
              <w:marRight w:val="0"/>
              <w:marTop w:val="0"/>
              <w:marBottom w:val="0"/>
              <w:divBdr>
                <w:top w:val="none" w:sz="0" w:space="0" w:color="auto"/>
                <w:left w:val="none" w:sz="0" w:space="0" w:color="auto"/>
                <w:bottom w:val="none" w:sz="0" w:space="0" w:color="auto"/>
                <w:right w:val="none" w:sz="0" w:space="0" w:color="auto"/>
              </w:divBdr>
              <w:divsChild>
                <w:div w:id="891112532">
                  <w:marLeft w:val="0"/>
                  <w:marRight w:val="0"/>
                  <w:marTop w:val="0"/>
                  <w:marBottom w:val="0"/>
                  <w:divBdr>
                    <w:top w:val="none" w:sz="0" w:space="0" w:color="auto"/>
                    <w:left w:val="none" w:sz="0" w:space="0" w:color="auto"/>
                    <w:bottom w:val="none" w:sz="0" w:space="0" w:color="auto"/>
                    <w:right w:val="none" w:sz="0" w:space="0" w:color="auto"/>
                  </w:divBdr>
                  <w:divsChild>
                    <w:div w:id="963004906">
                      <w:marLeft w:val="0"/>
                      <w:marRight w:val="0"/>
                      <w:marTop w:val="0"/>
                      <w:marBottom w:val="0"/>
                      <w:divBdr>
                        <w:top w:val="none" w:sz="0" w:space="0" w:color="auto"/>
                        <w:left w:val="none" w:sz="0" w:space="0" w:color="auto"/>
                        <w:bottom w:val="none" w:sz="0" w:space="0" w:color="auto"/>
                        <w:right w:val="none" w:sz="0" w:space="0" w:color="auto"/>
                      </w:divBdr>
                    </w:div>
                    <w:div w:id="1697846445">
                      <w:marLeft w:val="0"/>
                      <w:marRight w:val="0"/>
                      <w:marTop w:val="120"/>
                      <w:marBottom w:val="0"/>
                      <w:divBdr>
                        <w:top w:val="none" w:sz="0" w:space="0" w:color="auto"/>
                        <w:left w:val="none" w:sz="0" w:space="0" w:color="auto"/>
                        <w:bottom w:val="none" w:sz="0" w:space="0" w:color="auto"/>
                        <w:right w:val="none" w:sz="0" w:space="0" w:color="auto"/>
                      </w:divBdr>
                    </w:div>
                  </w:divsChild>
                </w:div>
                <w:div w:id="1528520086">
                  <w:marLeft w:val="0"/>
                  <w:marRight w:val="0"/>
                  <w:marTop w:val="0"/>
                  <w:marBottom w:val="0"/>
                  <w:divBdr>
                    <w:top w:val="none" w:sz="0" w:space="0" w:color="auto"/>
                    <w:left w:val="none" w:sz="0" w:space="0" w:color="auto"/>
                    <w:bottom w:val="none" w:sz="0" w:space="0" w:color="auto"/>
                    <w:right w:val="none" w:sz="0" w:space="0" w:color="auto"/>
                  </w:divBdr>
                  <w:divsChild>
                    <w:div w:id="754089087">
                      <w:marLeft w:val="0"/>
                      <w:marRight w:val="0"/>
                      <w:marTop w:val="120"/>
                      <w:marBottom w:val="0"/>
                      <w:divBdr>
                        <w:top w:val="none" w:sz="0" w:space="0" w:color="auto"/>
                        <w:left w:val="none" w:sz="0" w:space="0" w:color="auto"/>
                        <w:bottom w:val="none" w:sz="0" w:space="0" w:color="auto"/>
                        <w:right w:val="none" w:sz="0" w:space="0" w:color="auto"/>
                      </w:divBdr>
                    </w:div>
                    <w:div w:id="10256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3682">
          <w:marLeft w:val="0"/>
          <w:marRight w:val="0"/>
          <w:marTop w:val="0"/>
          <w:marBottom w:val="0"/>
          <w:divBdr>
            <w:top w:val="none" w:sz="0" w:space="0" w:color="auto"/>
            <w:left w:val="none" w:sz="0" w:space="0" w:color="auto"/>
            <w:bottom w:val="none" w:sz="0" w:space="0" w:color="auto"/>
            <w:right w:val="none" w:sz="0" w:space="0" w:color="auto"/>
          </w:divBdr>
          <w:divsChild>
            <w:div w:id="905608579">
              <w:marLeft w:val="0"/>
              <w:marRight w:val="0"/>
              <w:marTop w:val="0"/>
              <w:marBottom w:val="0"/>
              <w:divBdr>
                <w:top w:val="none" w:sz="0" w:space="0" w:color="auto"/>
                <w:left w:val="none" w:sz="0" w:space="0" w:color="auto"/>
                <w:bottom w:val="none" w:sz="0" w:space="0" w:color="auto"/>
                <w:right w:val="none" w:sz="0" w:space="0" w:color="auto"/>
              </w:divBdr>
              <w:divsChild>
                <w:div w:id="1492331868">
                  <w:marLeft w:val="0"/>
                  <w:marRight w:val="0"/>
                  <w:marTop w:val="0"/>
                  <w:marBottom w:val="0"/>
                  <w:divBdr>
                    <w:top w:val="none" w:sz="0" w:space="0" w:color="auto"/>
                    <w:left w:val="none" w:sz="0" w:space="0" w:color="auto"/>
                    <w:bottom w:val="none" w:sz="0" w:space="0" w:color="auto"/>
                    <w:right w:val="none" w:sz="0" w:space="0" w:color="auto"/>
                  </w:divBdr>
                  <w:divsChild>
                    <w:div w:id="14422911">
                      <w:marLeft w:val="0"/>
                      <w:marRight w:val="0"/>
                      <w:marTop w:val="120"/>
                      <w:marBottom w:val="0"/>
                      <w:divBdr>
                        <w:top w:val="none" w:sz="0" w:space="0" w:color="auto"/>
                        <w:left w:val="none" w:sz="0" w:space="0" w:color="auto"/>
                        <w:bottom w:val="none" w:sz="0" w:space="0" w:color="auto"/>
                        <w:right w:val="none" w:sz="0" w:space="0" w:color="auto"/>
                      </w:divBdr>
                    </w:div>
                    <w:div w:id="1989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90314">
          <w:marLeft w:val="0"/>
          <w:marRight w:val="0"/>
          <w:marTop w:val="0"/>
          <w:marBottom w:val="0"/>
          <w:divBdr>
            <w:top w:val="none" w:sz="0" w:space="0" w:color="auto"/>
            <w:left w:val="none" w:sz="0" w:space="0" w:color="auto"/>
            <w:bottom w:val="none" w:sz="0" w:space="0" w:color="auto"/>
            <w:right w:val="none" w:sz="0" w:space="0" w:color="auto"/>
          </w:divBdr>
          <w:divsChild>
            <w:div w:id="7844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5181">
      <w:bodyDiv w:val="1"/>
      <w:marLeft w:val="0"/>
      <w:marRight w:val="0"/>
      <w:marTop w:val="0"/>
      <w:marBottom w:val="0"/>
      <w:divBdr>
        <w:top w:val="none" w:sz="0" w:space="0" w:color="auto"/>
        <w:left w:val="none" w:sz="0" w:space="0" w:color="auto"/>
        <w:bottom w:val="none" w:sz="0" w:space="0" w:color="auto"/>
        <w:right w:val="none" w:sz="0" w:space="0" w:color="auto"/>
      </w:divBdr>
    </w:div>
    <w:div w:id="1231380848">
      <w:bodyDiv w:val="1"/>
      <w:marLeft w:val="0"/>
      <w:marRight w:val="0"/>
      <w:marTop w:val="0"/>
      <w:marBottom w:val="0"/>
      <w:divBdr>
        <w:top w:val="none" w:sz="0" w:space="0" w:color="auto"/>
        <w:left w:val="none" w:sz="0" w:space="0" w:color="auto"/>
        <w:bottom w:val="none" w:sz="0" w:space="0" w:color="auto"/>
        <w:right w:val="none" w:sz="0" w:space="0" w:color="auto"/>
      </w:divBdr>
      <w:divsChild>
        <w:div w:id="42170968">
          <w:marLeft w:val="0"/>
          <w:marRight w:val="0"/>
          <w:marTop w:val="0"/>
          <w:marBottom w:val="0"/>
          <w:divBdr>
            <w:top w:val="none" w:sz="0" w:space="0" w:color="auto"/>
            <w:left w:val="none" w:sz="0" w:space="0" w:color="auto"/>
            <w:bottom w:val="none" w:sz="0" w:space="0" w:color="auto"/>
            <w:right w:val="none" w:sz="0" w:space="0" w:color="auto"/>
          </w:divBdr>
          <w:divsChild>
            <w:div w:id="407313854">
              <w:marLeft w:val="0"/>
              <w:marRight w:val="0"/>
              <w:marTop w:val="0"/>
              <w:marBottom w:val="0"/>
              <w:divBdr>
                <w:top w:val="none" w:sz="0" w:space="0" w:color="auto"/>
                <w:left w:val="none" w:sz="0" w:space="0" w:color="auto"/>
                <w:bottom w:val="none" w:sz="0" w:space="0" w:color="auto"/>
                <w:right w:val="none" w:sz="0" w:space="0" w:color="auto"/>
              </w:divBdr>
              <w:divsChild>
                <w:div w:id="72169659">
                  <w:marLeft w:val="0"/>
                  <w:marRight w:val="0"/>
                  <w:marTop w:val="0"/>
                  <w:marBottom w:val="0"/>
                  <w:divBdr>
                    <w:top w:val="none" w:sz="0" w:space="0" w:color="auto"/>
                    <w:left w:val="none" w:sz="0" w:space="0" w:color="auto"/>
                    <w:bottom w:val="none" w:sz="0" w:space="0" w:color="auto"/>
                    <w:right w:val="none" w:sz="0" w:space="0" w:color="auto"/>
                  </w:divBdr>
                  <w:divsChild>
                    <w:div w:id="593712801">
                      <w:marLeft w:val="0"/>
                      <w:marRight w:val="0"/>
                      <w:marTop w:val="0"/>
                      <w:marBottom w:val="0"/>
                      <w:divBdr>
                        <w:top w:val="none" w:sz="0" w:space="0" w:color="auto"/>
                        <w:left w:val="none" w:sz="0" w:space="0" w:color="auto"/>
                        <w:bottom w:val="none" w:sz="0" w:space="0" w:color="auto"/>
                        <w:right w:val="none" w:sz="0" w:space="0" w:color="auto"/>
                      </w:divBdr>
                    </w:div>
                    <w:div w:id="996374240">
                      <w:marLeft w:val="0"/>
                      <w:marRight w:val="0"/>
                      <w:marTop w:val="120"/>
                      <w:marBottom w:val="0"/>
                      <w:divBdr>
                        <w:top w:val="none" w:sz="0" w:space="0" w:color="auto"/>
                        <w:left w:val="none" w:sz="0" w:space="0" w:color="auto"/>
                        <w:bottom w:val="none" w:sz="0" w:space="0" w:color="auto"/>
                        <w:right w:val="none" w:sz="0" w:space="0" w:color="auto"/>
                      </w:divBdr>
                    </w:div>
                  </w:divsChild>
                </w:div>
                <w:div w:id="1372607271">
                  <w:marLeft w:val="0"/>
                  <w:marRight w:val="0"/>
                  <w:marTop w:val="0"/>
                  <w:marBottom w:val="0"/>
                  <w:divBdr>
                    <w:top w:val="none" w:sz="0" w:space="0" w:color="auto"/>
                    <w:left w:val="none" w:sz="0" w:space="0" w:color="auto"/>
                    <w:bottom w:val="none" w:sz="0" w:space="0" w:color="auto"/>
                    <w:right w:val="none" w:sz="0" w:space="0" w:color="auto"/>
                  </w:divBdr>
                  <w:divsChild>
                    <w:div w:id="42028099">
                      <w:marLeft w:val="0"/>
                      <w:marRight w:val="0"/>
                      <w:marTop w:val="0"/>
                      <w:marBottom w:val="0"/>
                      <w:divBdr>
                        <w:top w:val="none" w:sz="0" w:space="0" w:color="auto"/>
                        <w:left w:val="none" w:sz="0" w:space="0" w:color="auto"/>
                        <w:bottom w:val="none" w:sz="0" w:space="0" w:color="auto"/>
                        <w:right w:val="none" w:sz="0" w:space="0" w:color="auto"/>
                      </w:divBdr>
                    </w:div>
                    <w:div w:id="1832982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3757082">
              <w:marLeft w:val="0"/>
              <w:marRight w:val="0"/>
              <w:marTop w:val="120"/>
              <w:marBottom w:val="0"/>
              <w:divBdr>
                <w:top w:val="none" w:sz="0" w:space="0" w:color="auto"/>
                <w:left w:val="none" w:sz="0" w:space="0" w:color="auto"/>
                <w:bottom w:val="none" w:sz="0" w:space="0" w:color="auto"/>
                <w:right w:val="none" w:sz="0" w:space="0" w:color="auto"/>
              </w:divBdr>
            </w:div>
          </w:divsChild>
        </w:div>
        <w:div w:id="55469789">
          <w:marLeft w:val="0"/>
          <w:marRight w:val="0"/>
          <w:marTop w:val="0"/>
          <w:marBottom w:val="0"/>
          <w:divBdr>
            <w:top w:val="none" w:sz="0" w:space="0" w:color="auto"/>
            <w:left w:val="none" w:sz="0" w:space="0" w:color="auto"/>
            <w:bottom w:val="none" w:sz="0" w:space="0" w:color="auto"/>
            <w:right w:val="none" w:sz="0" w:space="0" w:color="auto"/>
          </w:divBdr>
          <w:divsChild>
            <w:div w:id="1293711354">
              <w:marLeft w:val="0"/>
              <w:marRight w:val="0"/>
              <w:marTop w:val="120"/>
              <w:marBottom w:val="0"/>
              <w:divBdr>
                <w:top w:val="none" w:sz="0" w:space="0" w:color="auto"/>
                <w:left w:val="none" w:sz="0" w:space="0" w:color="auto"/>
                <w:bottom w:val="none" w:sz="0" w:space="0" w:color="auto"/>
                <w:right w:val="none" w:sz="0" w:space="0" w:color="auto"/>
              </w:divBdr>
            </w:div>
            <w:div w:id="1311322095">
              <w:marLeft w:val="0"/>
              <w:marRight w:val="0"/>
              <w:marTop w:val="0"/>
              <w:marBottom w:val="0"/>
              <w:divBdr>
                <w:top w:val="none" w:sz="0" w:space="0" w:color="auto"/>
                <w:left w:val="none" w:sz="0" w:space="0" w:color="auto"/>
                <w:bottom w:val="none" w:sz="0" w:space="0" w:color="auto"/>
                <w:right w:val="none" w:sz="0" w:space="0" w:color="auto"/>
              </w:divBdr>
            </w:div>
          </w:divsChild>
        </w:div>
        <w:div w:id="674577911">
          <w:marLeft w:val="0"/>
          <w:marRight w:val="0"/>
          <w:marTop w:val="0"/>
          <w:marBottom w:val="0"/>
          <w:divBdr>
            <w:top w:val="none" w:sz="0" w:space="0" w:color="auto"/>
            <w:left w:val="none" w:sz="0" w:space="0" w:color="auto"/>
            <w:bottom w:val="none" w:sz="0" w:space="0" w:color="auto"/>
            <w:right w:val="none" w:sz="0" w:space="0" w:color="auto"/>
          </w:divBdr>
          <w:divsChild>
            <w:div w:id="452947056">
              <w:marLeft w:val="0"/>
              <w:marRight w:val="0"/>
              <w:marTop w:val="120"/>
              <w:marBottom w:val="0"/>
              <w:divBdr>
                <w:top w:val="none" w:sz="0" w:space="0" w:color="auto"/>
                <w:left w:val="none" w:sz="0" w:space="0" w:color="auto"/>
                <w:bottom w:val="none" w:sz="0" w:space="0" w:color="auto"/>
                <w:right w:val="none" w:sz="0" w:space="0" w:color="auto"/>
              </w:divBdr>
            </w:div>
            <w:div w:id="880360627">
              <w:marLeft w:val="0"/>
              <w:marRight w:val="0"/>
              <w:marTop w:val="0"/>
              <w:marBottom w:val="0"/>
              <w:divBdr>
                <w:top w:val="none" w:sz="0" w:space="0" w:color="auto"/>
                <w:left w:val="none" w:sz="0" w:space="0" w:color="auto"/>
                <w:bottom w:val="none" w:sz="0" w:space="0" w:color="auto"/>
                <w:right w:val="none" w:sz="0" w:space="0" w:color="auto"/>
              </w:divBdr>
            </w:div>
          </w:divsChild>
        </w:div>
        <w:div w:id="846098482">
          <w:marLeft w:val="0"/>
          <w:marRight w:val="0"/>
          <w:marTop w:val="0"/>
          <w:marBottom w:val="0"/>
          <w:divBdr>
            <w:top w:val="none" w:sz="0" w:space="0" w:color="auto"/>
            <w:left w:val="none" w:sz="0" w:space="0" w:color="auto"/>
            <w:bottom w:val="none" w:sz="0" w:space="0" w:color="auto"/>
            <w:right w:val="none" w:sz="0" w:space="0" w:color="auto"/>
          </w:divBdr>
          <w:divsChild>
            <w:div w:id="747532454">
              <w:marLeft w:val="0"/>
              <w:marRight w:val="0"/>
              <w:marTop w:val="0"/>
              <w:marBottom w:val="0"/>
              <w:divBdr>
                <w:top w:val="none" w:sz="0" w:space="0" w:color="auto"/>
                <w:left w:val="none" w:sz="0" w:space="0" w:color="auto"/>
                <w:bottom w:val="none" w:sz="0" w:space="0" w:color="auto"/>
                <w:right w:val="none" w:sz="0" w:space="0" w:color="auto"/>
              </w:divBdr>
            </w:div>
            <w:div w:id="866139358">
              <w:marLeft w:val="0"/>
              <w:marRight w:val="0"/>
              <w:marTop w:val="120"/>
              <w:marBottom w:val="0"/>
              <w:divBdr>
                <w:top w:val="none" w:sz="0" w:space="0" w:color="auto"/>
                <w:left w:val="none" w:sz="0" w:space="0" w:color="auto"/>
                <w:bottom w:val="none" w:sz="0" w:space="0" w:color="auto"/>
                <w:right w:val="none" w:sz="0" w:space="0" w:color="auto"/>
              </w:divBdr>
            </w:div>
          </w:divsChild>
        </w:div>
        <w:div w:id="851647648">
          <w:marLeft w:val="0"/>
          <w:marRight w:val="0"/>
          <w:marTop w:val="0"/>
          <w:marBottom w:val="0"/>
          <w:divBdr>
            <w:top w:val="none" w:sz="0" w:space="0" w:color="auto"/>
            <w:left w:val="none" w:sz="0" w:space="0" w:color="auto"/>
            <w:bottom w:val="none" w:sz="0" w:space="0" w:color="auto"/>
            <w:right w:val="none" w:sz="0" w:space="0" w:color="auto"/>
          </w:divBdr>
          <w:divsChild>
            <w:div w:id="1624188882">
              <w:marLeft w:val="0"/>
              <w:marRight w:val="0"/>
              <w:marTop w:val="0"/>
              <w:marBottom w:val="0"/>
              <w:divBdr>
                <w:top w:val="none" w:sz="0" w:space="0" w:color="auto"/>
                <w:left w:val="none" w:sz="0" w:space="0" w:color="auto"/>
                <w:bottom w:val="none" w:sz="0" w:space="0" w:color="auto"/>
                <w:right w:val="none" w:sz="0" w:space="0" w:color="auto"/>
              </w:divBdr>
            </w:div>
            <w:div w:id="1652059113">
              <w:marLeft w:val="0"/>
              <w:marRight w:val="0"/>
              <w:marTop w:val="120"/>
              <w:marBottom w:val="0"/>
              <w:divBdr>
                <w:top w:val="none" w:sz="0" w:space="0" w:color="auto"/>
                <w:left w:val="none" w:sz="0" w:space="0" w:color="auto"/>
                <w:bottom w:val="none" w:sz="0" w:space="0" w:color="auto"/>
                <w:right w:val="none" w:sz="0" w:space="0" w:color="auto"/>
              </w:divBdr>
            </w:div>
          </w:divsChild>
        </w:div>
        <w:div w:id="1198588962">
          <w:marLeft w:val="0"/>
          <w:marRight w:val="0"/>
          <w:marTop w:val="0"/>
          <w:marBottom w:val="0"/>
          <w:divBdr>
            <w:top w:val="none" w:sz="0" w:space="0" w:color="auto"/>
            <w:left w:val="none" w:sz="0" w:space="0" w:color="auto"/>
            <w:bottom w:val="none" w:sz="0" w:space="0" w:color="auto"/>
            <w:right w:val="none" w:sz="0" w:space="0" w:color="auto"/>
          </w:divBdr>
          <w:divsChild>
            <w:div w:id="886716967">
              <w:marLeft w:val="0"/>
              <w:marRight w:val="0"/>
              <w:marTop w:val="120"/>
              <w:marBottom w:val="0"/>
              <w:divBdr>
                <w:top w:val="none" w:sz="0" w:space="0" w:color="auto"/>
                <w:left w:val="none" w:sz="0" w:space="0" w:color="auto"/>
                <w:bottom w:val="none" w:sz="0" w:space="0" w:color="auto"/>
                <w:right w:val="none" w:sz="0" w:space="0" w:color="auto"/>
              </w:divBdr>
            </w:div>
            <w:div w:id="938753167">
              <w:marLeft w:val="0"/>
              <w:marRight w:val="0"/>
              <w:marTop w:val="0"/>
              <w:marBottom w:val="0"/>
              <w:divBdr>
                <w:top w:val="none" w:sz="0" w:space="0" w:color="auto"/>
                <w:left w:val="none" w:sz="0" w:space="0" w:color="auto"/>
                <w:bottom w:val="none" w:sz="0" w:space="0" w:color="auto"/>
                <w:right w:val="none" w:sz="0" w:space="0" w:color="auto"/>
              </w:divBdr>
              <w:divsChild>
                <w:div w:id="1648050485">
                  <w:marLeft w:val="0"/>
                  <w:marRight w:val="0"/>
                  <w:marTop w:val="0"/>
                  <w:marBottom w:val="0"/>
                  <w:divBdr>
                    <w:top w:val="none" w:sz="0" w:space="0" w:color="auto"/>
                    <w:left w:val="none" w:sz="0" w:space="0" w:color="auto"/>
                    <w:bottom w:val="none" w:sz="0" w:space="0" w:color="auto"/>
                    <w:right w:val="none" w:sz="0" w:space="0" w:color="auto"/>
                  </w:divBdr>
                  <w:divsChild>
                    <w:div w:id="877663519">
                      <w:marLeft w:val="0"/>
                      <w:marRight w:val="0"/>
                      <w:marTop w:val="0"/>
                      <w:marBottom w:val="0"/>
                      <w:divBdr>
                        <w:top w:val="none" w:sz="0" w:space="0" w:color="auto"/>
                        <w:left w:val="none" w:sz="0" w:space="0" w:color="auto"/>
                        <w:bottom w:val="none" w:sz="0" w:space="0" w:color="auto"/>
                        <w:right w:val="none" w:sz="0" w:space="0" w:color="auto"/>
                      </w:divBdr>
                    </w:div>
                    <w:div w:id="1346789354">
                      <w:marLeft w:val="0"/>
                      <w:marRight w:val="0"/>
                      <w:marTop w:val="120"/>
                      <w:marBottom w:val="0"/>
                      <w:divBdr>
                        <w:top w:val="none" w:sz="0" w:space="0" w:color="auto"/>
                        <w:left w:val="none" w:sz="0" w:space="0" w:color="auto"/>
                        <w:bottom w:val="none" w:sz="0" w:space="0" w:color="auto"/>
                        <w:right w:val="none" w:sz="0" w:space="0" w:color="auto"/>
                      </w:divBdr>
                    </w:div>
                  </w:divsChild>
                </w:div>
                <w:div w:id="1844777587">
                  <w:marLeft w:val="0"/>
                  <w:marRight w:val="0"/>
                  <w:marTop w:val="0"/>
                  <w:marBottom w:val="0"/>
                  <w:divBdr>
                    <w:top w:val="none" w:sz="0" w:space="0" w:color="auto"/>
                    <w:left w:val="none" w:sz="0" w:space="0" w:color="auto"/>
                    <w:bottom w:val="none" w:sz="0" w:space="0" w:color="auto"/>
                    <w:right w:val="none" w:sz="0" w:space="0" w:color="auto"/>
                  </w:divBdr>
                  <w:divsChild>
                    <w:div w:id="478377965">
                      <w:marLeft w:val="0"/>
                      <w:marRight w:val="0"/>
                      <w:marTop w:val="0"/>
                      <w:marBottom w:val="0"/>
                      <w:divBdr>
                        <w:top w:val="none" w:sz="0" w:space="0" w:color="auto"/>
                        <w:left w:val="none" w:sz="0" w:space="0" w:color="auto"/>
                        <w:bottom w:val="none" w:sz="0" w:space="0" w:color="auto"/>
                        <w:right w:val="none" w:sz="0" w:space="0" w:color="auto"/>
                      </w:divBdr>
                    </w:div>
                    <w:div w:id="2059426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2196815">
          <w:marLeft w:val="0"/>
          <w:marRight w:val="0"/>
          <w:marTop w:val="0"/>
          <w:marBottom w:val="0"/>
          <w:divBdr>
            <w:top w:val="none" w:sz="0" w:space="0" w:color="auto"/>
            <w:left w:val="none" w:sz="0" w:space="0" w:color="auto"/>
            <w:bottom w:val="none" w:sz="0" w:space="0" w:color="auto"/>
            <w:right w:val="none" w:sz="0" w:space="0" w:color="auto"/>
          </w:divBdr>
          <w:divsChild>
            <w:div w:id="1877039350">
              <w:marLeft w:val="0"/>
              <w:marRight w:val="0"/>
              <w:marTop w:val="120"/>
              <w:marBottom w:val="0"/>
              <w:divBdr>
                <w:top w:val="none" w:sz="0" w:space="0" w:color="auto"/>
                <w:left w:val="none" w:sz="0" w:space="0" w:color="auto"/>
                <w:bottom w:val="none" w:sz="0" w:space="0" w:color="auto"/>
                <w:right w:val="none" w:sz="0" w:space="0" w:color="auto"/>
              </w:divBdr>
            </w:div>
            <w:div w:id="2137134343">
              <w:marLeft w:val="0"/>
              <w:marRight w:val="0"/>
              <w:marTop w:val="0"/>
              <w:marBottom w:val="0"/>
              <w:divBdr>
                <w:top w:val="none" w:sz="0" w:space="0" w:color="auto"/>
                <w:left w:val="none" w:sz="0" w:space="0" w:color="auto"/>
                <w:bottom w:val="none" w:sz="0" w:space="0" w:color="auto"/>
                <w:right w:val="none" w:sz="0" w:space="0" w:color="auto"/>
              </w:divBdr>
            </w:div>
          </w:divsChild>
        </w:div>
        <w:div w:id="1264995900">
          <w:marLeft w:val="0"/>
          <w:marRight w:val="0"/>
          <w:marTop w:val="0"/>
          <w:marBottom w:val="0"/>
          <w:divBdr>
            <w:top w:val="none" w:sz="0" w:space="0" w:color="auto"/>
            <w:left w:val="none" w:sz="0" w:space="0" w:color="auto"/>
            <w:bottom w:val="none" w:sz="0" w:space="0" w:color="auto"/>
            <w:right w:val="none" w:sz="0" w:space="0" w:color="auto"/>
          </w:divBdr>
          <w:divsChild>
            <w:div w:id="261374842">
              <w:marLeft w:val="0"/>
              <w:marRight w:val="0"/>
              <w:marTop w:val="120"/>
              <w:marBottom w:val="0"/>
              <w:divBdr>
                <w:top w:val="none" w:sz="0" w:space="0" w:color="auto"/>
                <w:left w:val="none" w:sz="0" w:space="0" w:color="auto"/>
                <w:bottom w:val="none" w:sz="0" w:space="0" w:color="auto"/>
                <w:right w:val="none" w:sz="0" w:space="0" w:color="auto"/>
              </w:divBdr>
            </w:div>
            <w:div w:id="1178236087">
              <w:marLeft w:val="0"/>
              <w:marRight w:val="0"/>
              <w:marTop w:val="0"/>
              <w:marBottom w:val="0"/>
              <w:divBdr>
                <w:top w:val="none" w:sz="0" w:space="0" w:color="auto"/>
                <w:left w:val="none" w:sz="0" w:space="0" w:color="auto"/>
                <w:bottom w:val="none" w:sz="0" w:space="0" w:color="auto"/>
                <w:right w:val="none" w:sz="0" w:space="0" w:color="auto"/>
              </w:divBdr>
            </w:div>
          </w:divsChild>
        </w:div>
        <w:div w:id="1475218968">
          <w:marLeft w:val="0"/>
          <w:marRight w:val="0"/>
          <w:marTop w:val="0"/>
          <w:marBottom w:val="0"/>
          <w:divBdr>
            <w:top w:val="none" w:sz="0" w:space="0" w:color="auto"/>
            <w:left w:val="none" w:sz="0" w:space="0" w:color="auto"/>
            <w:bottom w:val="none" w:sz="0" w:space="0" w:color="auto"/>
            <w:right w:val="none" w:sz="0" w:space="0" w:color="auto"/>
          </w:divBdr>
          <w:divsChild>
            <w:div w:id="940574339">
              <w:marLeft w:val="0"/>
              <w:marRight w:val="0"/>
              <w:marTop w:val="0"/>
              <w:marBottom w:val="0"/>
              <w:divBdr>
                <w:top w:val="none" w:sz="0" w:space="0" w:color="auto"/>
                <w:left w:val="none" w:sz="0" w:space="0" w:color="auto"/>
                <w:bottom w:val="none" w:sz="0" w:space="0" w:color="auto"/>
                <w:right w:val="none" w:sz="0" w:space="0" w:color="auto"/>
              </w:divBdr>
            </w:div>
            <w:div w:id="1523515917">
              <w:marLeft w:val="0"/>
              <w:marRight w:val="0"/>
              <w:marTop w:val="120"/>
              <w:marBottom w:val="0"/>
              <w:divBdr>
                <w:top w:val="none" w:sz="0" w:space="0" w:color="auto"/>
                <w:left w:val="none" w:sz="0" w:space="0" w:color="auto"/>
                <w:bottom w:val="none" w:sz="0" w:space="0" w:color="auto"/>
                <w:right w:val="none" w:sz="0" w:space="0" w:color="auto"/>
              </w:divBdr>
            </w:div>
          </w:divsChild>
        </w:div>
        <w:div w:id="1566985388">
          <w:marLeft w:val="0"/>
          <w:marRight w:val="0"/>
          <w:marTop w:val="0"/>
          <w:marBottom w:val="0"/>
          <w:divBdr>
            <w:top w:val="none" w:sz="0" w:space="0" w:color="auto"/>
            <w:left w:val="none" w:sz="0" w:space="0" w:color="auto"/>
            <w:bottom w:val="none" w:sz="0" w:space="0" w:color="auto"/>
            <w:right w:val="none" w:sz="0" w:space="0" w:color="auto"/>
          </w:divBdr>
          <w:divsChild>
            <w:div w:id="445930101">
              <w:marLeft w:val="0"/>
              <w:marRight w:val="0"/>
              <w:marTop w:val="0"/>
              <w:marBottom w:val="0"/>
              <w:divBdr>
                <w:top w:val="none" w:sz="0" w:space="0" w:color="auto"/>
                <w:left w:val="none" w:sz="0" w:space="0" w:color="auto"/>
                <w:bottom w:val="none" w:sz="0" w:space="0" w:color="auto"/>
                <w:right w:val="none" w:sz="0" w:space="0" w:color="auto"/>
              </w:divBdr>
              <w:divsChild>
                <w:div w:id="43720990">
                  <w:marLeft w:val="0"/>
                  <w:marRight w:val="0"/>
                  <w:marTop w:val="0"/>
                  <w:marBottom w:val="0"/>
                  <w:divBdr>
                    <w:top w:val="none" w:sz="0" w:space="0" w:color="auto"/>
                    <w:left w:val="none" w:sz="0" w:space="0" w:color="auto"/>
                    <w:bottom w:val="none" w:sz="0" w:space="0" w:color="auto"/>
                    <w:right w:val="none" w:sz="0" w:space="0" w:color="auto"/>
                  </w:divBdr>
                  <w:divsChild>
                    <w:div w:id="1187720741">
                      <w:marLeft w:val="0"/>
                      <w:marRight w:val="0"/>
                      <w:marTop w:val="120"/>
                      <w:marBottom w:val="0"/>
                      <w:divBdr>
                        <w:top w:val="none" w:sz="0" w:space="0" w:color="auto"/>
                        <w:left w:val="none" w:sz="0" w:space="0" w:color="auto"/>
                        <w:bottom w:val="none" w:sz="0" w:space="0" w:color="auto"/>
                        <w:right w:val="none" w:sz="0" w:space="0" w:color="auto"/>
                      </w:divBdr>
                    </w:div>
                    <w:div w:id="1525098555">
                      <w:marLeft w:val="0"/>
                      <w:marRight w:val="0"/>
                      <w:marTop w:val="0"/>
                      <w:marBottom w:val="0"/>
                      <w:divBdr>
                        <w:top w:val="none" w:sz="0" w:space="0" w:color="auto"/>
                        <w:left w:val="none" w:sz="0" w:space="0" w:color="auto"/>
                        <w:bottom w:val="none" w:sz="0" w:space="0" w:color="auto"/>
                        <w:right w:val="none" w:sz="0" w:space="0" w:color="auto"/>
                      </w:divBdr>
                    </w:div>
                  </w:divsChild>
                </w:div>
                <w:div w:id="520171337">
                  <w:marLeft w:val="0"/>
                  <w:marRight w:val="0"/>
                  <w:marTop w:val="0"/>
                  <w:marBottom w:val="0"/>
                  <w:divBdr>
                    <w:top w:val="none" w:sz="0" w:space="0" w:color="auto"/>
                    <w:left w:val="none" w:sz="0" w:space="0" w:color="auto"/>
                    <w:bottom w:val="none" w:sz="0" w:space="0" w:color="auto"/>
                    <w:right w:val="none" w:sz="0" w:space="0" w:color="auto"/>
                  </w:divBdr>
                  <w:divsChild>
                    <w:div w:id="87043569">
                      <w:marLeft w:val="0"/>
                      <w:marRight w:val="0"/>
                      <w:marTop w:val="0"/>
                      <w:marBottom w:val="0"/>
                      <w:divBdr>
                        <w:top w:val="none" w:sz="0" w:space="0" w:color="auto"/>
                        <w:left w:val="none" w:sz="0" w:space="0" w:color="auto"/>
                        <w:bottom w:val="none" w:sz="0" w:space="0" w:color="auto"/>
                        <w:right w:val="none" w:sz="0" w:space="0" w:color="auto"/>
                      </w:divBdr>
                    </w:div>
                    <w:div w:id="481045957">
                      <w:marLeft w:val="0"/>
                      <w:marRight w:val="0"/>
                      <w:marTop w:val="120"/>
                      <w:marBottom w:val="0"/>
                      <w:divBdr>
                        <w:top w:val="none" w:sz="0" w:space="0" w:color="auto"/>
                        <w:left w:val="none" w:sz="0" w:space="0" w:color="auto"/>
                        <w:bottom w:val="none" w:sz="0" w:space="0" w:color="auto"/>
                        <w:right w:val="none" w:sz="0" w:space="0" w:color="auto"/>
                      </w:divBdr>
                    </w:div>
                  </w:divsChild>
                </w:div>
                <w:div w:id="550383006">
                  <w:marLeft w:val="0"/>
                  <w:marRight w:val="0"/>
                  <w:marTop w:val="0"/>
                  <w:marBottom w:val="0"/>
                  <w:divBdr>
                    <w:top w:val="none" w:sz="0" w:space="0" w:color="auto"/>
                    <w:left w:val="none" w:sz="0" w:space="0" w:color="auto"/>
                    <w:bottom w:val="none" w:sz="0" w:space="0" w:color="auto"/>
                    <w:right w:val="none" w:sz="0" w:space="0" w:color="auto"/>
                  </w:divBdr>
                  <w:divsChild>
                    <w:div w:id="139079596">
                      <w:marLeft w:val="0"/>
                      <w:marRight w:val="0"/>
                      <w:marTop w:val="120"/>
                      <w:marBottom w:val="0"/>
                      <w:divBdr>
                        <w:top w:val="none" w:sz="0" w:space="0" w:color="auto"/>
                        <w:left w:val="none" w:sz="0" w:space="0" w:color="auto"/>
                        <w:bottom w:val="none" w:sz="0" w:space="0" w:color="auto"/>
                        <w:right w:val="none" w:sz="0" w:space="0" w:color="auto"/>
                      </w:divBdr>
                    </w:div>
                    <w:div w:id="2011104784">
                      <w:marLeft w:val="0"/>
                      <w:marRight w:val="0"/>
                      <w:marTop w:val="0"/>
                      <w:marBottom w:val="0"/>
                      <w:divBdr>
                        <w:top w:val="none" w:sz="0" w:space="0" w:color="auto"/>
                        <w:left w:val="none" w:sz="0" w:space="0" w:color="auto"/>
                        <w:bottom w:val="none" w:sz="0" w:space="0" w:color="auto"/>
                        <w:right w:val="none" w:sz="0" w:space="0" w:color="auto"/>
                      </w:divBdr>
                    </w:div>
                  </w:divsChild>
                </w:div>
                <w:div w:id="1031106182">
                  <w:marLeft w:val="0"/>
                  <w:marRight w:val="0"/>
                  <w:marTop w:val="0"/>
                  <w:marBottom w:val="0"/>
                  <w:divBdr>
                    <w:top w:val="none" w:sz="0" w:space="0" w:color="auto"/>
                    <w:left w:val="none" w:sz="0" w:space="0" w:color="auto"/>
                    <w:bottom w:val="none" w:sz="0" w:space="0" w:color="auto"/>
                    <w:right w:val="none" w:sz="0" w:space="0" w:color="auto"/>
                  </w:divBdr>
                  <w:divsChild>
                    <w:div w:id="775053061">
                      <w:marLeft w:val="0"/>
                      <w:marRight w:val="0"/>
                      <w:marTop w:val="120"/>
                      <w:marBottom w:val="0"/>
                      <w:divBdr>
                        <w:top w:val="none" w:sz="0" w:space="0" w:color="auto"/>
                        <w:left w:val="none" w:sz="0" w:space="0" w:color="auto"/>
                        <w:bottom w:val="none" w:sz="0" w:space="0" w:color="auto"/>
                        <w:right w:val="none" w:sz="0" w:space="0" w:color="auto"/>
                      </w:divBdr>
                    </w:div>
                    <w:div w:id="18830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7953">
              <w:marLeft w:val="0"/>
              <w:marRight w:val="0"/>
              <w:marTop w:val="120"/>
              <w:marBottom w:val="0"/>
              <w:divBdr>
                <w:top w:val="none" w:sz="0" w:space="0" w:color="auto"/>
                <w:left w:val="none" w:sz="0" w:space="0" w:color="auto"/>
                <w:bottom w:val="none" w:sz="0" w:space="0" w:color="auto"/>
                <w:right w:val="none" w:sz="0" w:space="0" w:color="auto"/>
              </w:divBdr>
            </w:div>
          </w:divsChild>
        </w:div>
        <w:div w:id="2074809212">
          <w:marLeft w:val="0"/>
          <w:marRight w:val="0"/>
          <w:marTop w:val="0"/>
          <w:marBottom w:val="0"/>
          <w:divBdr>
            <w:top w:val="none" w:sz="0" w:space="0" w:color="auto"/>
            <w:left w:val="none" w:sz="0" w:space="0" w:color="auto"/>
            <w:bottom w:val="none" w:sz="0" w:space="0" w:color="auto"/>
            <w:right w:val="none" w:sz="0" w:space="0" w:color="auto"/>
          </w:divBdr>
          <w:divsChild>
            <w:div w:id="1108281995">
              <w:marLeft w:val="0"/>
              <w:marRight w:val="0"/>
              <w:marTop w:val="0"/>
              <w:marBottom w:val="0"/>
              <w:divBdr>
                <w:top w:val="none" w:sz="0" w:space="0" w:color="auto"/>
                <w:left w:val="none" w:sz="0" w:space="0" w:color="auto"/>
                <w:bottom w:val="none" w:sz="0" w:space="0" w:color="auto"/>
                <w:right w:val="none" w:sz="0" w:space="0" w:color="auto"/>
              </w:divBdr>
            </w:div>
            <w:div w:id="2009946050">
              <w:marLeft w:val="0"/>
              <w:marRight w:val="0"/>
              <w:marTop w:val="120"/>
              <w:marBottom w:val="0"/>
              <w:divBdr>
                <w:top w:val="none" w:sz="0" w:space="0" w:color="auto"/>
                <w:left w:val="none" w:sz="0" w:space="0" w:color="auto"/>
                <w:bottom w:val="none" w:sz="0" w:space="0" w:color="auto"/>
                <w:right w:val="none" w:sz="0" w:space="0" w:color="auto"/>
              </w:divBdr>
            </w:div>
          </w:divsChild>
        </w:div>
        <w:div w:id="2109688866">
          <w:marLeft w:val="0"/>
          <w:marRight w:val="0"/>
          <w:marTop w:val="0"/>
          <w:marBottom w:val="0"/>
          <w:divBdr>
            <w:top w:val="none" w:sz="0" w:space="0" w:color="auto"/>
            <w:left w:val="none" w:sz="0" w:space="0" w:color="auto"/>
            <w:bottom w:val="none" w:sz="0" w:space="0" w:color="auto"/>
            <w:right w:val="none" w:sz="0" w:space="0" w:color="auto"/>
          </w:divBdr>
          <w:divsChild>
            <w:div w:id="634677355">
              <w:marLeft w:val="0"/>
              <w:marRight w:val="0"/>
              <w:marTop w:val="0"/>
              <w:marBottom w:val="0"/>
              <w:divBdr>
                <w:top w:val="none" w:sz="0" w:space="0" w:color="auto"/>
                <w:left w:val="none" w:sz="0" w:space="0" w:color="auto"/>
                <w:bottom w:val="none" w:sz="0" w:space="0" w:color="auto"/>
                <w:right w:val="none" w:sz="0" w:space="0" w:color="auto"/>
              </w:divBdr>
            </w:div>
            <w:div w:id="18615822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3933163">
      <w:bodyDiv w:val="1"/>
      <w:marLeft w:val="0"/>
      <w:marRight w:val="0"/>
      <w:marTop w:val="0"/>
      <w:marBottom w:val="0"/>
      <w:divBdr>
        <w:top w:val="none" w:sz="0" w:space="0" w:color="auto"/>
        <w:left w:val="none" w:sz="0" w:space="0" w:color="auto"/>
        <w:bottom w:val="none" w:sz="0" w:space="0" w:color="auto"/>
        <w:right w:val="none" w:sz="0" w:space="0" w:color="auto"/>
      </w:divBdr>
      <w:divsChild>
        <w:div w:id="268053907">
          <w:marLeft w:val="0"/>
          <w:marRight w:val="0"/>
          <w:marTop w:val="120"/>
          <w:marBottom w:val="0"/>
          <w:divBdr>
            <w:top w:val="none" w:sz="0" w:space="0" w:color="auto"/>
            <w:left w:val="none" w:sz="0" w:space="0" w:color="auto"/>
            <w:bottom w:val="none" w:sz="0" w:space="0" w:color="auto"/>
            <w:right w:val="none" w:sz="0" w:space="0" w:color="auto"/>
          </w:divBdr>
        </w:div>
        <w:div w:id="2043820745">
          <w:marLeft w:val="0"/>
          <w:marRight w:val="0"/>
          <w:marTop w:val="0"/>
          <w:marBottom w:val="0"/>
          <w:divBdr>
            <w:top w:val="none" w:sz="0" w:space="0" w:color="auto"/>
            <w:left w:val="none" w:sz="0" w:space="0" w:color="auto"/>
            <w:bottom w:val="none" w:sz="0" w:space="0" w:color="auto"/>
            <w:right w:val="none" w:sz="0" w:space="0" w:color="auto"/>
          </w:divBdr>
        </w:div>
      </w:divsChild>
    </w:div>
    <w:div w:id="1240671044">
      <w:bodyDiv w:val="1"/>
      <w:marLeft w:val="0"/>
      <w:marRight w:val="0"/>
      <w:marTop w:val="0"/>
      <w:marBottom w:val="0"/>
      <w:divBdr>
        <w:top w:val="none" w:sz="0" w:space="0" w:color="auto"/>
        <w:left w:val="none" w:sz="0" w:space="0" w:color="auto"/>
        <w:bottom w:val="none" w:sz="0" w:space="0" w:color="auto"/>
        <w:right w:val="none" w:sz="0" w:space="0" w:color="auto"/>
      </w:divBdr>
      <w:divsChild>
        <w:div w:id="229778797">
          <w:marLeft w:val="0"/>
          <w:marRight w:val="0"/>
          <w:marTop w:val="0"/>
          <w:marBottom w:val="0"/>
          <w:divBdr>
            <w:top w:val="none" w:sz="0" w:space="0" w:color="auto"/>
            <w:left w:val="none" w:sz="0" w:space="0" w:color="auto"/>
            <w:bottom w:val="none" w:sz="0" w:space="0" w:color="auto"/>
            <w:right w:val="none" w:sz="0" w:space="0" w:color="auto"/>
          </w:divBdr>
          <w:divsChild>
            <w:div w:id="957102853">
              <w:marLeft w:val="0"/>
              <w:marRight w:val="0"/>
              <w:marTop w:val="120"/>
              <w:marBottom w:val="0"/>
              <w:divBdr>
                <w:top w:val="none" w:sz="0" w:space="0" w:color="auto"/>
                <w:left w:val="none" w:sz="0" w:space="0" w:color="auto"/>
                <w:bottom w:val="none" w:sz="0" w:space="0" w:color="auto"/>
                <w:right w:val="none" w:sz="0" w:space="0" w:color="auto"/>
              </w:divBdr>
            </w:div>
            <w:div w:id="15299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8995">
      <w:bodyDiv w:val="1"/>
      <w:marLeft w:val="0"/>
      <w:marRight w:val="0"/>
      <w:marTop w:val="0"/>
      <w:marBottom w:val="0"/>
      <w:divBdr>
        <w:top w:val="none" w:sz="0" w:space="0" w:color="auto"/>
        <w:left w:val="none" w:sz="0" w:space="0" w:color="auto"/>
        <w:bottom w:val="none" w:sz="0" w:space="0" w:color="auto"/>
        <w:right w:val="none" w:sz="0" w:space="0" w:color="auto"/>
      </w:divBdr>
      <w:divsChild>
        <w:div w:id="459348772">
          <w:marLeft w:val="0"/>
          <w:marRight w:val="0"/>
          <w:marTop w:val="0"/>
          <w:marBottom w:val="0"/>
          <w:divBdr>
            <w:top w:val="none" w:sz="0" w:space="0" w:color="auto"/>
            <w:left w:val="none" w:sz="0" w:space="0" w:color="auto"/>
            <w:bottom w:val="none" w:sz="0" w:space="0" w:color="auto"/>
            <w:right w:val="none" w:sz="0" w:space="0" w:color="auto"/>
          </w:divBdr>
          <w:divsChild>
            <w:div w:id="4197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3788">
      <w:bodyDiv w:val="1"/>
      <w:marLeft w:val="0"/>
      <w:marRight w:val="0"/>
      <w:marTop w:val="0"/>
      <w:marBottom w:val="0"/>
      <w:divBdr>
        <w:top w:val="none" w:sz="0" w:space="0" w:color="auto"/>
        <w:left w:val="none" w:sz="0" w:space="0" w:color="auto"/>
        <w:bottom w:val="none" w:sz="0" w:space="0" w:color="auto"/>
        <w:right w:val="none" w:sz="0" w:space="0" w:color="auto"/>
      </w:divBdr>
      <w:divsChild>
        <w:div w:id="1584071215">
          <w:marLeft w:val="0"/>
          <w:marRight w:val="0"/>
          <w:marTop w:val="0"/>
          <w:marBottom w:val="0"/>
          <w:divBdr>
            <w:top w:val="none" w:sz="0" w:space="0" w:color="auto"/>
            <w:left w:val="none" w:sz="0" w:space="0" w:color="auto"/>
            <w:bottom w:val="none" w:sz="0" w:space="0" w:color="auto"/>
            <w:right w:val="none" w:sz="0" w:space="0" w:color="auto"/>
          </w:divBdr>
          <w:divsChild>
            <w:div w:id="798255898">
              <w:marLeft w:val="0"/>
              <w:marRight w:val="0"/>
              <w:marTop w:val="0"/>
              <w:marBottom w:val="0"/>
              <w:divBdr>
                <w:top w:val="none" w:sz="0" w:space="0" w:color="auto"/>
                <w:left w:val="none" w:sz="0" w:space="0" w:color="auto"/>
                <w:bottom w:val="none" w:sz="0" w:space="0" w:color="auto"/>
                <w:right w:val="none" w:sz="0" w:space="0" w:color="auto"/>
              </w:divBdr>
            </w:div>
          </w:divsChild>
        </w:div>
        <w:div w:id="1806967270">
          <w:marLeft w:val="0"/>
          <w:marRight w:val="0"/>
          <w:marTop w:val="0"/>
          <w:marBottom w:val="0"/>
          <w:divBdr>
            <w:top w:val="none" w:sz="0" w:space="0" w:color="auto"/>
            <w:left w:val="none" w:sz="0" w:space="0" w:color="auto"/>
            <w:bottom w:val="none" w:sz="0" w:space="0" w:color="auto"/>
            <w:right w:val="none" w:sz="0" w:space="0" w:color="auto"/>
          </w:divBdr>
          <w:divsChild>
            <w:div w:id="1102141959">
              <w:marLeft w:val="0"/>
              <w:marRight w:val="0"/>
              <w:marTop w:val="0"/>
              <w:marBottom w:val="0"/>
              <w:divBdr>
                <w:top w:val="none" w:sz="0" w:space="0" w:color="auto"/>
                <w:left w:val="none" w:sz="0" w:space="0" w:color="auto"/>
                <w:bottom w:val="none" w:sz="0" w:space="0" w:color="auto"/>
                <w:right w:val="none" w:sz="0" w:space="0" w:color="auto"/>
              </w:divBdr>
            </w:div>
          </w:divsChild>
        </w:div>
        <w:div w:id="1818568765">
          <w:marLeft w:val="0"/>
          <w:marRight w:val="0"/>
          <w:marTop w:val="0"/>
          <w:marBottom w:val="0"/>
          <w:divBdr>
            <w:top w:val="none" w:sz="0" w:space="0" w:color="auto"/>
            <w:left w:val="none" w:sz="0" w:space="0" w:color="auto"/>
            <w:bottom w:val="none" w:sz="0" w:space="0" w:color="auto"/>
            <w:right w:val="none" w:sz="0" w:space="0" w:color="auto"/>
          </w:divBdr>
          <w:divsChild>
            <w:div w:id="862665391">
              <w:marLeft w:val="0"/>
              <w:marRight w:val="0"/>
              <w:marTop w:val="0"/>
              <w:marBottom w:val="0"/>
              <w:divBdr>
                <w:top w:val="none" w:sz="0" w:space="0" w:color="auto"/>
                <w:left w:val="none" w:sz="0" w:space="0" w:color="auto"/>
                <w:bottom w:val="none" w:sz="0" w:space="0" w:color="auto"/>
                <w:right w:val="none" w:sz="0" w:space="0" w:color="auto"/>
              </w:divBdr>
              <w:divsChild>
                <w:div w:id="1000620491">
                  <w:marLeft w:val="0"/>
                  <w:marRight w:val="0"/>
                  <w:marTop w:val="0"/>
                  <w:marBottom w:val="0"/>
                  <w:divBdr>
                    <w:top w:val="none" w:sz="0" w:space="0" w:color="auto"/>
                    <w:left w:val="none" w:sz="0" w:space="0" w:color="auto"/>
                    <w:bottom w:val="none" w:sz="0" w:space="0" w:color="auto"/>
                    <w:right w:val="none" w:sz="0" w:space="0" w:color="auto"/>
                  </w:divBdr>
                  <w:divsChild>
                    <w:div w:id="299389355">
                      <w:marLeft w:val="0"/>
                      <w:marRight w:val="0"/>
                      <w:marTop w:val="120"/>
                      <w:marBottom w:val="0"/>
                      <w:divBdr>
                        <w:top w:val="none" w:sz="0" w:space="0" w:color="auto"/>
                        <w:left w:val="none" w:sz="0" w:space="0" w:color="auto"/>
                        <w:bottom w:val="none" w:sz="0" w:space="0" w:color="auto"/>
                        <w:right w:val="none" w:sz="0" w:space="0" w:color="auto"/>
                      </w:divBdr>
                    </w:div>
                    <w:div w:id="465659779">
                      <w:marLeft w:val="0"/>
                      <w:marRight w:val="0"/>
                      <w:marTop w:val="0"/>
                      <w:marBottom w:val="0"/>
                      <w:divBdr>
                        <w:top w:val="none" w:sz="0" w:space="0" w:color="auto"/>
                        <w:left w:val="none" w:sz="0" w:space="0" w:color="auto"/>
                        <w:bottom w:val="none" w:sz="0" w:space="0" w:color="auto"/>
                        <w:right w:val="none" w:sz="0" w:space="0" w:color="auto"/>
                      </w:divBdr>
                    </w:div>
                  </w:divsChild>
                </w:div>
                <w:div w:id="1094740487">
                  <w:marLeft w:val="0"/>
                  <w:marRight w:val="0"/>
                  <w:marTop w:val="0"/>
                  <w:marBottom w:val="0"/>
                  <w:divBdr>
                    <w:top w:val="none" w:sz="0" w:space="0" w:color="auto"/>
                    <w:left w:val="none" w:sz="0" w:space="0" w:color="auto"/>
                    <w:bottom w:val="none" w:sz="0" w:space="0" w:color="auto"/>
                    <w:right w:val="none" w:sz="0" w:space="0" w:color="auto"/>
                  </w:divBdr>
                  <w:divsChild>
                    <w:div w:id="851378983">
                      <w:marLeft w:val="0"/>
                      <w:marRight w:val="0"/>
                      <w:marTop w:val="120"/>
                      <w:marBottom w:val="0"/>
                      <w:divBdr>
                        <w:top w:val="none" w:sz="0" w:space="0" w:color="auto"/>
                        <w:left w:val="none" w:sz="0" w:space="0" w:color="auto"/>
                        <w:bottom w:val="none" w:sz="0" w:space="0" w:color="auto"/>
                        <w:right w:val="none" w:sz="0" w:space="0" w:color="auto"/>
                      </w:divBdr>
                    </w:div>
                    <w:div w:id="1737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24924">
      <w:bodyDiv w:val="1"/>
      <w:marLeft w:val="0"/>
      <w:marRight w:val="0"/>
      <w:marTop w:val="0"/>
      <w:marBottom w:val="0"/>
      <w:divBdr>
        <w:top w:val="none" w:sz="0" w:space="0" w:color="auto"/>
        <w:left w:val="none" w:sz="0" w:space="0" w:color="auto"/>
        <w:bottom w:val="none" w:sz="0" w:space="0" w:color="auto"/>
        <w:right w:val="none" w:sz="0" w:space="0" w:color="auto"/>
      </w:divBdr>
      <w:divsChild>
        <w:div w:id="25521033">
          <w:marLeft w:val="0"/>
          <w:marRight w:val="0"/>
          <w:marTop w:val="0"/>
          <w:marBottom w:val="0"/>
          <w:divBdr>
            <w:top w:val="none" w:sz="0" w:space="0" w:color="auto"/>
            <w:left w:val="none" w:sz="0" w:space="0" w:color="auto"/>
            <w:bottom w:val="none" w:sz="0" w:space="0" w:color="auto"/>
            <w:right w:val="none" w:sz="0" w:space="0" w:color="auto"/>
          </w:divBdr>
          <w:divsChild>
            <w:div w:id="450170054">
              <w:marLeft w:val="0"/>
              <w:marRight w:val="0"/>
              <w:marTop w:val="0"/>
              <w:marBottom w:val="0"/>
              <w:divBdr>
                <w:top w:val="none" w:sz="0" w:space="0" w:color="auto"/>
                <w:left w:val="none" w:sz="0" w:space="0" w:color="auto"/>
                <w:bottom w:val="none" w:sz="0" w:space="0" w:color="auto"/>
                <w:right w:val="none" w:sz="0" w:space="0" w:color="auto"/>
              </w:divBdr>
            </w:div>
          </w:divsChild>
        </w:div>
        <w:div w:id="287205614">
          <w:marLeft w:val="0"/>
          <w:marRight w:val="0"/>
          <w:marTop w:val="0"/>
          <w:marBottom w:val="0"/>
          <w:divBdr>
            <w:top w:val="none" w:sz="0" w:space="0" w:color="auto"/>
            <w:left w:val="none" w:sz="0" w:space="0" w:color="auto"/>
            <w:bottom w:val="none" w:sz="0" w:space="0" w:color="auto"/>
            <w:right w:val="none" w:sz="0" w:space="0" w:color="auto"/>
          </w:divBdr>
          <w:divsChild>
            <w:div w:id="561216304">
              <w:marLeft w:val="0"/>
              <w:marRight w:val="0"/>
              <w:marTop w:val="0"/>
              <w:marBottom w:val="0"/>
              <w:divBdr>
                <w:top w:val="none" w:sz="0" w:space="0" w:color="auto"/>
                <w:left w:val="none" w:sz="0" w:space="0" w:color="auto"/>
                <w:bottom w:val="none" w:sz="0" w:space="0" w:color="auto"/>
                <w:right w:val="none" w:sz="0" w:space="0" w:color="auto"/>
              </w:divBdr>
              <w:divsChild>
                <w:div w:id="614676702">
                  <w:marLeft w:val="0"/>
                  <w:marRight w:val="0"/>
                  <w:marTop w:val="0"/>
                  <w:marBottom w:val="0"/>
                  <w:divBdr>
                    <w:top w:val="none" w:sz="0" w:space="0" w:color="auto"/>
                    <w:left w:val="none" w:sz="0" w:space="0" w:color="auto"/>
                    <w:bottom w:val="none" w:sz="0" w:space="0" w:color="auto"/>
                    <w:right w:val="none" w:sz="0" w:space="0" w:color="auto"/>
                  </w:divBdr>
                  <w:divsChild>
                    <w:div w:id="83887902">
                      <w:marLeft w:val="0"/>
                      <w:marRight w:val="0"/>
                      <w:marTop w:val="120"/>
                      <w:marBottom w:val="0"/>
                      <w:divBdr>
                        <w:top w:val="none" w:sz="0" w:space="0" w:color="auto"/>
                        <w:left w:val="none" w:sz="0" w:space="0" w:color="auto"/>
                        <w:bottom w:val="none" w:sz="0" w:space="0" w:color="auto"/>
                        <w:right w:val="none" w:sz="0" w:space="0" w:color="auto"/>
                      </w:divBdr>
                    </w:div>
                    <w:div w:id="436753752">
                      <w:marLeft w:val="0"/>
                      <w:marRight w:val="0"/>
                      <w:marTop w:val="0"/>
                      <w:marBottom w:val="0"/>
                      <w:divBdr>
                        <w:top w:val="none" w:sz="0" w:space="0" w:color="auto"/>
                        <w:left w:val="none" w:sz="0" w:space="0" w:color="auto"/>
                        <w:bottom w:val="none" w:sz="0" w:space="0" w:color="auto"/>
                        <w:right w:val="none" w:sz="0" w:space="0" w:color="auto"/>
                      </w:divBdr>
                    </w:div>
                  </w:divsChild>
                </w:div>
                <w:div w:id="806095109">
                  <w:marLeft w:val="0"/>
                  <w:marRight w:val="0"/>
                  <w:marTop w:val="0"/>
                  <w:marBottom w:val="0"/>
                  <w:divBdr>
                    <w:top w:val="none" w:sz="0" w:space="0" w:color="auto"/>
                    <w:left w:val="none" w:sz="0" w:space="0" w:color="auto"/>
                    <w:bottom w:val="none" w:sz="0" w:space="0" w:color="auto"/>
                    <w:right w:val="none" w:sz="0" w:space="0" w:color="auto"/>
                  </w:divBdr>
                  <w:divsChild>
                    <w:div w:id="1067801148">
                      <w:marLeft w:val="0"/>
                      <w:marRight w:val="0"/>
                      <w:marTop w:val="120"/>
                      <w:marBottom w:val="0"/>
                      <w:divBdr>
                        <w:top w:val="none" w:sz="0" w:space="0" w:color="auto"/>
                        <w:left w:val="none" w:sz="0" w:space="0" w:color="auto"/>
                        <w:bottom w:val="none" w:sz="0" w:space="0" w:color="auto"/>
                        <w:right w:val="none" w:sz="0" w:space="0" w:color="auto"/>
                      </w:divBdr>
                    </w:div>
                    <w:div w:id="1189948760">
                      <w:marLeft w:val="0"/>
                      <w:marRight w:val="0"/>
                      <w:marTop w:val="0"/>
                      <w:marBottom w:val="0"/>
                      <w:divBdr>
                        <w:top w:val="none" w:sz="0" w:space="0" w:color="auto"/>
                        <w:left w:val="none" w:sz="0" w:space="0" w:color="auto"/>
                        <w:bottom w:val="none" w:sz="0" w:space="0" w:color="auto"/>
                        <w:right w:val="none" w:sz="0" w:space="0" w:color="auto"/>
                      </w:divBdr>
                    </w:div>
                  </w:divsChild>
                </w:div>
                <w:div w:id="1238252068">
                  <w:marLeft w:val="0"/>
                  <w:marRight w:val="0"/>
                  <w:marTop w:val="0"/>
                  <w:marBottom w:val="0"/>
                  <w:divBdr>
                    <w:top w:val="none" w:sz="0" w:space="0" w:color="auto"/>
                    <w:left w:val="none" w:sz="0" w:space="0" w:color="auto"/>
                    <w:bottom w:val="none" w:sz="0" w:space="0" w:color="auto"/>
                    <w:right w:val="none" w:sz="0" w:space="0" w:color="auto"/>
                  </w:divBdr>
                  <w:divsChild>
                    <w:div w:id="1174219624">
                      <w:marLeft w:val="0"/>
                      <w:marRight w:val="0"/>
                      <w:marTop w:val="0"/>
                      <w:marBottom w:val="0"/>
                      <w:divBdr>
                        <w:top w:val="none" w:sz="0" w:space="0" w:color="auto"/>
                        <w:left w:val="none" w:sz="0" w:space="0" w:color="auto"/>
                        <w:bottom w:val="none" w:sz="0" w:space="0" w:color="auto"/>
                        <w:right w:val="none" w:sz="0" w:space="0" w:color="auto"/>
                      </w:divBdr>
                    </w:div>
                    <w:div w:id="21015571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06464866">
          <w:marLeft w:val="0"/>
          <w:marRight w:val="0"/>
          <w:marTop w:val="0"/>
          <w:marBottom w:val="0"/>
          <w:divBdr>
            <w:top w:val="none" w:sz="0" w:space="0" w:color="auto"/>
            <w:left w:val="none" w:sz="0" w:space="0" w:color="auto"/>
            <w:bottom w:val="none" w:sz="0" w:space="0" w:color="auto"/>
            <w:right w:val="none" w:sz="0" w:space="0" w:color="auto"/>
          </w:divBdr>
          <w:divsChild>
            <w:div w:id="455683596">
              <w:marLeft w:val="0"/>
              <w:marRight w:val="0"/>
              <w:marTop w:val="0"/>
              <w:marBottom w:val="0"/>
              <w:divBdr>
                <w:top w:val="none" w:sz="0" w:space="0" w:color="auto"/>
                <w:left w:val="none" w:sz="0" w:space="0" w:color="auto"/>
                <w:bottom w:val="none" w:sz="0" w:space="0" w:color="auto"/>
                <w:right w:val="none" w:sz="0" w:space="0" w:color="auto"/>
              </w:divBdr>
              <w:divsChild>
                <w:div w:id="812022026">
                  <w:marLeft w:val="0"/>
                  <w:marRight w:val="0"/>
                  <w:marTop w:val="0"/>
                  <w:marBottom w:val="0"/>
                  <w:divBdr>
                    <w:top w:val="none" w:sz="0" w:space="0" w:color="auto"/>
                    <w:left w:val="none" w:sz="0" w:space="0" w:color="auto"/>
                    <w:bottom w:val="none" w:sz="0" w:space="0" w:color="auto"/>
                    <w:right w:val="none" w:sz="0" w:space="0" w:color="auto"/>
                  </w:divBdr>
                  <w:divsChild>
                    <w:div w:id="796685625">
                      <w:marLeft w:val="0"/>
                      <w:marRight w:val="0"/>
                      <w:marTop w:val="120"/>
                      <w:marBottom w:val="0"/>
                      <w:divBdr>
                        <w:top w:val="none" w:sz="0" w:space="0" w:color="auto"/>
                        <w:left w:val="none" w:sz="0" w:space="0" w:color="auto"/>
                        <w:bottom w:val="none" w:sz="0" w:space="0" w:color="auto"/>
                        <w:right w:val="none" w:sz="0" w:space="0" w:color="auto"/>
                      </w:divBdr>
                    </w:div>
                    <w:div w:id="1076129801">
                      <w:marLeft w:val="0"/>
                      <w:marRight w:val="0"/>
                      <w:marTop w:val="0"/>
                      <w:marBottom w:val="0"/>
                      <w:divBdr>
                        <w:top w:val="none" w:sz="0" w:space="0" w:color="auto"/>
                        <w:left w:val="none" w:sz="0" w:space="0" w:color="auto"/>
                        <w:bottom w:val="none" w:sz="0" w:space="0" w:color="auto"/>
                        <w:right w:val="none" w:sz="0" w:space="0" w:color="auto"/>
                      </w:divBdr>
                    </w:div>
                  </w:divsChild>
                </w:div>
                <w:div w:id="1422143179">
                  <w:marLeft w:val="0"/>
                  <w:marRight w:val="0"/>
                  <w:marTop w:val="0"/>
                  <w:marBottom w:val="0"/>
                  <w:divBdr>
                    <w:top w:val="none" w:sz="0" w:space="0" w:color="auto"/>
                    <w:left w:val="none" w:sz="0" w:space="0" w:color="auto"/>
                    <w:bottom w:val="none" w:sz="0" w:space="0" w:color="auto"/>
                    <w:right w:val="none" w:sz="0" w:space="0" w:color="auto"/>
                  </w:divBdr>
                  <w:divsChild>
                    <w:div w:id="1415009322">
                      <w:marLeft w:val="0"/>
                      <w:marRight w:val="0"/>
                      <w:marTop w:val="120"/>
                      <w:marBottom w:val="0"/>
                      <w:divBdr>
                        <w:top w:val="none" w:sz="0" w:space="0" w:color="auto"/>
                        <w:left w:val="none" w:sz="0" w:space="0" w:color="auto"/>
                        <w:bottom w:val="none" w:sz="0" w:space="0" w:color="auto"/>
                        <w:right w:val="none" w:sz="0" w:space="0" w:color="auto"/>
                      </w:divBdr>
                    </w:div>
                    <w:div w:id="1987123764">
                      <w:marLeft w:val="0"/>
                      <w:marRight w:val="0"/>
                      <w:marTop w:val="0"/>
                      <w:marBottom w:val="0"/>
                      <w:divBdr>
                        <w:top w:val="none" w:sz="0" w:space="0" w:color="auto"/>
                        <w:left w:val="none" w:sz="0" w:space="0" w:color="auto"/>
                        <w:bottom w:val="none" w:sz="0" w:space="0" w:color="auto"/>
                        <w:right w:val="none" w:sz="0" w:space="0" w:color="auto"/>
                      </w:divBdr>
                    </w:div>
                  </w:divsChild>
                </w:div>
                <w:div w:id="2078437305">
                  <w:marLeft w:val="0"/>
                  <w:marRight w:val="0"/>
                  <w:marTop w:val="0"/>
                  <w:marBottom w:val="0"/>
                  <w:divBdr>
                    <w:top w:val="none" w:sz="0" w:space="0" w:color="auto"/>
                    <w:left w:val="none" w:sz="0" w:space="0" w:color="auto"/>
                    <w:bottom w:val="none" w:sz="0" w:space="0" w:color="auto"/>
                    <w:right w:val="none" w:sz="0" w:space="0" w:color="auto"/>
                  </w:divBdr>
                  <w:divsChild>
                    <w:div w:id="803306714">
                      <w:marLeft w:val="0"/>
                      <w:marRight w:val="0"/>
                      <w:marTop w:val="120"/>
                      <w:marBottom w:val="0"/>
                      <w:divBdr>
                        <w:top w:val="none" w:sz="0" w:space="0" w:color="auto"/>
                        <w:left w:val="none" w:sz="0" w:space="0" w:color="auto"/>
                        <w:bottom w:val="none" w:sz="0" w:space="0" w:color="auto"/>
                        <w:right w:val="none" w:sz="0" w:space="0" w:color="auto"/>
                      </w:divBdr>
                    </w:div>
                    <w:div w:id="15032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0835">
          <w:marLeft w:val="0"/>
          <w:marRight w:val="0"/>
          <w:marTop w:val="0"/>
          <w:marBottom w:val="0"/>
          <w:divBdr>
            <w:top w:val="none" w:sz="0" w:space="0" w:color="auto"/>
            <w:left w:val="none" w:sz="0" w:space="0" w:color="auto"/>
            <w:bottom w:val="none" w:sz="0" w:space="0" w:color="auto"/>
            <w:right w:val="none" w:sz="0" w:space="0" w:color="auto"/>
          </w:divBdr>
          <w:divsChild>
            <w:div w:id="1313368069">
              <w:marLeft w:val="0"/>
              <w:marRight w:val="0"/>
              <w:marTop w:val="0"/>
              <w:marBottom w:val="0"/>
              <w:divBdr>
                <w:top w:val="none" w:sz="0" w:space="0" w:color="auto"/>
                <w:left w:val="none" w:sz="0" w:space="0" w:color="auto"/>
                <w:bottom w:val="none" w:sz="0" w:space="0" w:color="auto"/>
                <w:right w:val="none" w:sz="0" w:space="0" w:color="auto"/>
              </w:divBdr>
            </w:div>
          </w:divsChild>
        </w:div>
        <w:div w:id="1027173012">
          <w:marLeft w:val="0"/>
          <w:marRight w:val="0"/>
          <w:marTop w:val="0"/>
          <w:marBottom w:val="0"/>
          <w:divBdr>
            <w:top w:val="none" w:sz="0" w:space="0" w:color="auto"/>
            <w:left w:val="none" w:sz="0" w:space="0" w:color="auto"/>
            <w:bottom w:val="none" w:sz="0" w:space="0" w:color="auto"/>
            <w:right w:val="none" w:sz="0" w:space="0" w:color="auto"/>
          </w:divBdr>
          <w:divsChild>
            <w:div w:id="633369413">
              <w:marLeft w:val="0"/>
              <w:marRight w:val="0"/>
              <w:marTop w:val="0"/>
              <w:marBottom w:val="0"/>
              <w:divBdr>
                <w:top w:val="none" w:sz="0" w:space="0" w:color="auto"/>
                <w:left w:val="none" w:sz="0" w:space="0" w:color="auto"/>
                <w:bottom w:val="none" w:sz="0" w:space="0" w:color="auto"/>
                <w:right w:val="none" w:sz="0" w:space="0" w:color="auto"/>
              </w:divBdr>
              <w:divsChild>
                <w:div w:id="1369768118">
                  <w:marLeft w:val="0"/>
                  <w:marRight w:val="0"/>
                  <w:marTop w:val="0"/>
                  <w:marBottom w:val="0"/>
                  <w:divBdr>
                    <w:top w:val="none" w:sz="0" w:space="0" w:color="auto"/>
                    <w:left w:val="none" w:sz="0" w:space="0" w:color="auto"/>
                    <w:bottom w:val="none" w:sz="0" w:space="0" w:color="auto"/>
                    <w:right w:val="none" w:sz="0" w:space="0" w:color="auto"/>
                  </w:divBdr>
                  <w:divsChild>
                    <w:div w:id="185565038">
                      <w:marLeft w:val="0"/>
                      <w:marRight w:val="0"/>
                      <w:marTop w:val="0"/>
                      <w:marBottom w:val="0"/>
                      <w:divBdr>
                        <w:top w:val="none" w:sz="0" w:space="0" w:color="auto"/>
                        <w:left w:val="none" w:sz="0" w:space="0" w:color="auto"/>
                        <w:bottom w:val="none" w:sz="0" w:space="0" w:color="auto"/>
                        <w:right w:val="none" w:sz="0" w:space="0" w:color="auto"/>
                      </w:divBdr>
                    </w:div>
                    <w:div w:id="1878421949">
                      <w:marLeft w:val="0"/>
                      <w:marRight w:val="0"/>
                      <w:marTop w:val="120"/>
                      <w:marBottom w:val="0"/>
                      <w:divBdr>
                        <w:top w:val="none" w:sz="0" w:space="0" w:color="auto"/>
                        <w:left w:val="none" w:sz="0" w:space="0" w:color="auto"/>
                        <w:bottom w:val="none" w:sz="0" w:space="0" w:color="auto"/>
                        <w:right w:val="none" w:sz="0" w:space="0" w:color="auto"/>
                      </w:divBdr>
                    </w:div>
                  </w:divsChild>
                </w:div>
                <w:div w:id="2144997945">
                  <w:marLeft w:val="0"/>
                  <w:marRight w:val="0"/>
                  <w:marTop w:val="0"/>
                  <w:marBottom w:val="0"/>
                  <w:divBdr>
                    <w:top w:val="none" w:sz="0" w:space="0" w:color="auto"/>
                    <w:left w:val="none" w:sz="0" w:space="0" w:color="auto"/>
                    <w:bottom w:val="none" w:sz="0" w:space="0" w:color="auto"/>
                    <w:right w:val="none" w:sz="0" w:space="0" w:color="auto"/>
                  </w:divBdr>
                  <w:divsChild>
                    <w:div w:id="1263299765">
                      <w:marLeft w:val="0"/>
                      <w:marRight w:val="0"/>
                      <w:marTop w:val="0"/>
                      <w:marBottom w:val="0"/>
                      <w:divBdr>
                        <w:top w:val="none" w:sz="0" w:space="0" w:color="auto"/>
                        <w:left w:val="none" w:sz="0" w:space="0" w:color="auto"/>
                        <w:bottom w:val="none" w:sz="0" w:space="0" w:color="auto"/>
                        <w:right w:val="none" w:sz="0" w:space="0" w:color="auto"/>
                      </w:divBdr>
                    </w:div>
                    <w:div w:id="14017157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66032577">
          <w:marLeft w:val="0"/>
          <w:marRight w:val="0"/>
          <w:marTop w:val="0"/>
          <w:marBottom w:val="0"/>
          <w:divBdr>
            <w:top w:val="none" w:sz="0" w:space="0" w:color="auto"/>
            <w:left w:val="none" w:sz="0" w:space="0" w:color="auto"/>
            <w:bottom w:val="none" w:sz="0" w:space="0" w:color="auto"/>
            <w:right w:val="none" w:sz="0" w:space="0" w:color="auto"/>
          </w:divBdr>
          <w:divsChild>
            <w:div w:id="1290666566">
              <w:marLeft w:val="0"/>
              <w:marRight w:val="0"/>
              <w:marTop w:val="0"/>
              <w:marBottom w:val="0"/>
              <w:divBdr>
                <w:top w:val="none" w:sz="0" w:space="0" w:color="auto"/>
                <w:left w:val="none" w:sz="0" w:space="0" w:color="auto"/>
                <w:bottom w:val="none" w:sz="0" w:space="0" w:color="auto"/>
                <w:right w:val="none" w:sz="0" w:space="0" w:color="auto"/>
              </w:divBdr>
              <w:divsChild>
                <w:div w:id="14156500">
                  <w:marLeft w:val="0"/>
                  <w:marRight w:val="0"/>
                  <w:marTop w:val="0"/>
                  <w:marBottom w:val="0"/>
                  <w:divBdr>
                    <w:top w:val="none" w:sz="0" w:space="0" w:color="auto"/>
                    <w:left w:val="none" w:sz="0" w:space="0" w:color="auto"/>
                    <w:bottom w:val="none" w:sz="0" w:space="0" w:color="auto"/>
                    <w:right w:val="none" w:sz="0" w:space="0" w:color="auto"/>
                  </w:divBdr>
                  <w:divsChild>
                    <w:div w:id="87042144">
                      <w:marLeft w:val="0"/>
                      <w:marRight w:val="0"/>
                      <w:marTop w:val="0"/>
                      <w:marBottom w:val="0"/>
                      <w:divBdr>
                        <w:top w:val="none" w:sz="0" w:space="0" w:color="auto"/>
                        <w:left w:val="none" w:sz="0" w:space="0" w:color="auto"/>
                        <w:bottom w:val="none" w:sz="0" w:space="0" w:color="auto"/>
                        <w:right w:val="none" w:sz="0" w:space="0" w:color="auto"/>
                      </w:divBdr>
                    </w:div>
                    <w:div w:id="249051524">
                      <w:marLeft w:val="0"/>
                      <w:marRight w:val="0"/>
                      <w:marTop w:val="120"/>
                      <w:marBottom w:val="0"/>
                      <w:divBdr>
                        <w:top w:val="none" w:sz="0" w:space="0" w:color="auto"/>
                        <w:left w:val="none" w:sz="0" w:space="0" w:color="auto"/>
                        <w:bottom w:val="none" w:sz="0" w:space="0" w:color="auto"/>
                        <w:right w:val="none" w:sz="0" w:space="0" w:color="auto"/>
                      </w:divBdr>
                    </w:div>
                  </w:divsChild>
                </w:div>
                <w:div w:id="498890238">
                  <w:marLeft w:val="0"/>
                  <w:marRight w:val="0"/>
                  <w:marTop w:val="0"/>
                  <w:marBottom w:val="0"/>
                  <w:divBdr>
                    <w:top w:val="none" w:sz="0" w:space="0" w:color="auto"/>
                    <w:left w:val="none" w:sz="0" w:space="0" w:color="auto"/>
                    <w:bottom w:val="none" w:sz="0" w:space="0" w:color="auto"/>
                    <w:right w:val="none" w:sz="0" w:space="0" w:color="auto"/>
                  </w:divBdr>
                  <w:divsChild>
                    <w:div w:id="1998459852">
                      <w:marLeft w:val="0"/>
                      <w:marRight w:val="0"/>
                      <w:marTop w:val="120"/>
                      <w:marBottom w:val="0"/>
                      <w:divBdr>
                        <w:top w:val="none" w:sz="0" w:space="0" w:color="auto"/>
                        <w:left w:val="none" w:sz="0" w:space="0" w:color="auto"/>
                        <w:bottom w:val="none" w:sz="0" w:space="0" w:color="auto"/>
                        <w:right w:val="none" w:sz="0" w:space="0" w:color="auto"/>
                      </w:divBdr>
                    </w:div>
                    <w:div w:id="2122261390">
                      <w:marLeft w:val="0"/>
                      <w:marRight w:val="0"/>
                      <w:marTop w:val="0"/>
                      <w:marBottom w:val="0"/>
                      <w:divBdr>
                        <w:top w:val="none" w:sz="0" w:space="0" w:color="auto"/>
                        <w:left w:val="none" w:sz="0" w:space="0" w:color="auto"/>
                        <w:bottom w:val="none" w:sz="0" w:space="0" w:color="auto"/>
                        <w:right w:val="none" w:sz="0" w:space="0" w:color="auto"/>
                      </w:divBdr>
                    </w:div>
                  </w:divsChild>
                </w:div>
                <w:div w:id="975910244">
                  <w:marLeft w:val="0"/>
                  <w:marRight w:val="0"/>
                  <w:marTop w:val="0"/>
                  <w:marBottom w:val="0"/>
                  <w:divBdr>
                    <w:top w:val="none" w:sz="0" w:space="0" w:color="auto"/>
                    <w:left w:val="none" w:sz="0" w:space="0" w:color="auto"/>
                    <w:bottom w:val="none" w:sz="0" w:space="0" w:color="auto"/>
                    <w:right w:val="none" w:sz="0" w:space="0" w:color="auto"/>
                  </w:divBdr>
                  <w:divsChild>
                    <w:div w:id="560217621">
                      <w:marLeft w:val="0"/>
                      <w:marRight w:val="0"/>
                      <w:marTop w:val="120"/>
                      <w:marBottom w:val="0"/>
                      <w:divBdr>
                        <w:top w:val="none" w:sz="0" w:space="0" w:color="auto"/>
                        <w:left w:val="none" w:sz="0" w:space="0" w:color="auto"/>
                        <w:bottom w:val="none" w:sz="0" w:space="0" w:color="auto"/>
                        <w:right w:val="none" w:sz="0" w:space="0" w:color="auto"/>
                      </w:divBdr>
                    </w:div>
                    <w:div w:id="1360082816">
                      <w:marLeft w:val="0"/>
                      <w:marRight w:val="0"/>
                      <w:marTop w:val="0"/>
                      <w:marBottom w:val="0"/>
                      <w:divBdr>
                        <w:top w:val="none" w:sz="0" w:space="0" w:color="auto"/>
                        <w:left w:val="none" w:sz="0" w:space="0" w:color="auto"/>
                        <w:bottom w:val="none" w:sz="0" w:space="0" w:color="auto"/>
                        <w:right w:val="none" w:sz="0" w:space="0" w:color="auto"/>
                      </w:divBdr>
                    </w:div>
                  </w:divsChild>
                </w:div>
                <w:div w:id="1321928224">
                  <w:marLeft w:val="0"/>
                  <w:marRight w:val="0"/>
                  <w:marTop w:val="0"/>
                  <w:marBottom w:val="0"/>
                  <w:divBdr>
                    <w:top w:val="none" w:sz="0" w:space="0" w:color="auto"/>
                    <w:left w:val="none" w:sz="0" w:space="0" w:color="auto"/>
                    <w:bottom w:val="none" w:sz="0" w:space="0" w:color="auto"/>
                    <w:right w:val="none" w:sz="0" w:space="0" w:color="auto"/>
                  </w:divBdr>
                  <w:divsChild>
                    <w:div w:id="1114860410">
                      <w:marLeft w:val="0"/>
                      <w:marRight w:val="0"/>
                      <w:marTop w:val="120"/>
                      <w:marBottom w:val="0"/>
                      <w:divBdr>
                        <w:top w:val="none" w:sz="0" w:space="0" w:color="auto"/>
                        <w:left w:val="none" w:sz="0" w:space="0" w:color="auto"/>
                        <w:bottom w:val="none" w:sz="0" w:space="0" w:color="auto"/>
                        <w:right w:val="none" w:sz="0" w:space="0" w:color="auto"/>
                      </w:divBdr>
                    </w:div>
                    <w:div w:id="1632443096">
                      <w:marLeft w:val="0"/>
                      <w:marRight w:val="0"/>
                      <w:marTop w:val="0"/>
                      <w:marBottom w:val="0"/>
                      <w:divBdr>
                        <w:top w:val="none" w:sz="0" w:space="0" w:color="auto"/>
                        <w:left w:val="none" w:sz="0" w:space="0" w:color="auto"/>
                        <w:bottom w:val="none" w:sz="0" w:space="0" w:color="auto"/>
                        <w:right w:val="none" w:sz="0" w:space="0" w:color="auto"/>
                      </w:divBdr>
                    </w:div>
                  </w:divsChild>
                </w:div>
                <w:div w:id="1447965321">
                  <w:marLeft w:val="0"/>
                  <w:marRight w:val="0"/>
                  <w:marTop w:val="0"/>
                  <w:marBottom w:val="0"/>
                  <w:divBdr>
                    <w:top w:val="none" w:sz="0" w:space="0" w:color="auto"/>
                    <w:left w:val="none" w:sz="0" w:space="0" w:color="auto"/>
                    <w:bottom w:val="none" w:sz="0" w:space="0" w:color="auto"/>
                    <w:right w:val="none" w:sz="0" w:space="0" w:color="auto"/>
                  </w:divBdr>
                  <w:divsChild>
                    <w:div w:id="1469778800">
                      <w:marLeft w:val="0"/>
                      <w:marRight w:val="0"/>
                      <w:marTop w:val="0"/>
                      <w:marBottom w:val="0"/>
                      <w:divBdr>
                        <w:top w:val="none" w:sz="0" w:space="0" w:color="auto"/>
                        <w:left w:val="none" w:sz="0" w:space="0" w:color="auto"/>
                        <w:bottom w:val="none" w:sz="0" w:space="0" w:color="auto"/>
                        <w:right w:val="none" w:sz="0" w:space="0" w:color="auto"/>
                      </w:divBdr>
                    </w:div>
                    <w:div w:id="15865266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2186280">
          <w:marLeft w:val="0"/>
          <w:marRight w:val="0"/>
          <w:marTop w:val="0"/>
          <w:marBottom w:val="0"/>
          <w:divBdr>
            <w:top w:val="none" w:sz="0" w:space="0" w:color="auto"/>
            <w:left w:val="none" w:sz="0" w:space="0" w:color="auto"/>
            <w:bottom w:val="none" w:sz="0" w:space="0" w:color="auto"/>
            <w:right w:val="none" w:sz="0" w:space="0" w:color="auto"/>
          </w:divBdr>
          <w:divsChild>
            <w:div w:id="708187839">
              <w:marLeft w:val="0"/>
              <w:marRight w:val="0"/>
              <w:marTop w:val="120"/>
              <w:marBottom w:val="0"/>
              <w:divBdr>
                <w:top w:val="none" w:sz="0" w:space="0" w:color="auto"/>
                <w:left w:val="none" w:sz="0" w:space="0" w:color="auto"/>
                <w:bottom w:val="none" w:sz="0" w:space="0" w:color="auto"/>
                <w:right w:val="none" w:sz="0" w:space="0" w:color="auto"/>
              </w:divBdr>
            </w:div>
            <w:div w:id="829102834">
              <w:marLeft w:val="0"/>
              <w:marRight w:val="0"/>
              <w:marTop w:val="0"/>
              <w:marBottom w:val="0"/>
              <w:divBdr>
                <w:top w:val="none" w:sz="0" w:space="0" w:color="auto"/>
                <w:left w:val="none" w:sz="0" w:space="0" w:color="auto"/>
                <w:bottom w:val="none" w:sz="0" w:space="0" w:color="auto"/>
                <w:right w:val="none" w:sz="0" w:space="0" w:color="auto"/>
              </w:divBdr>
            </w:div>
          </w:divsChild>
        </w:div>
        <w:div w:id="1349138901">
          <w:marLeft w:val="0"/>
          <w:marRight w:val="0"/>
          <w:marTop w:val="0"/>
          <w:marBottom w:val="0"/>
          <w:divBdr>
            <w:top w:val="none" w:sz="0" w:space="0" w:color="auto"/>
            <w:left w:val="none" w:sz="0" w:space="0" w:color="auto"/>
            <w:bottom w:val="none" w:sz="0" w:space="0" w:color="auto"/>
            <w:right w:val="none" w:sz="0" w:space="0" w:color="auto"/>
          </w:divBdr>
          <w:divsChild>
            <w:div w:id="1060517790">
              <w:marLeft w:val="0"/>
              <w:marRight w:val="0"/>
              <w:marTop w:val="0"/>
              <w:marBottom w:val="0"/>
              <w:divBdr>
                <w:top w:val="none" w:sz="0" w:space="0" w:color="auto"/>
                <w:left w:val="none" w:sz="0" w:space="0" w:color="auto"/>
                <w:bottom w:val="none" w:sz="0" w:space="0" w:color="auto"/>
                <w:right w:val="none" w:sz="0" w:space="0" w:color="auto"/>
              </w:divBdr>
              <w:divsChild>
                <w:div w:id="21786246">
                  <w:marLeft w:val="0"/>
                  <w:marRight w:val="0"/>
                  <w:marTop w:val="0"/>
                  <w:marBottom w:val="0"/>
                  <w:divBdr>
                    <w:top w:val="none" w:sz="0" w:space="0" w:color="auto"/>
                    <w:left w:val="none" w:sz="0" w:space="0" w:color="auto"/>
                    <w:bottom w:val="none" w:sz="0" w:space="0" w:color="auto"/>
                    <w:right w:val="none" w:sz="0" w:space="0" w:color="auto"/>
                  </w:divBdr>
                  <w:divsChild>
                    <w:div w:id="1107189980">
                      <w:marLeft w:val="0"/>
                      <w:marRight w:val="0"/>
                      <w:marTop w:val="0"/>
                      <w:marBottom w:val="0"/>
                      <w:divBdr>
                        <w:top w:val="none" w:sz="0" w:space="0" w:color="auto"/>
                        <w:left w:val="none" w:sz="0" w:space="0" w:color="auto"/>
                        <w:bottom w:val="none" w:sz="0" w:space="0" w:color="auto"/>
                        <w:right w:val="none" w:sz="0" w:space="0" w:color="auto"/>
                      </w:divBdr>
                    </w:div>
                    <w:div w:id="1517771310">
                      <w:marLeft w:val="0"/>
                      <w:marRight w:val="0"/>
                      <w:marTop w:val="120"/>
                      <w:marBottom w:val="0"/>
                      <w:divBdr>
                        <w:top w:val="none" w:sz="0" w:space="0" w:color="auto"/>
                        <w:left w:val="none" w:sz="0" w:space="0" w:color="auto"/>
                        <w:bottom w:val="none" w:sz="0" w:space="0" w:color="auto"/>
                        <w:right w:val="none" w:sz="0" w:space="0" w:color="auto"/>
                      </w:divBdr>
                    </w:div>
                  </w:divsChild>
                </w:div>
                <w:div w:id="969895962">
                  <w:marLeft w:val="0"/>
                  <w:marRight w:val="0"/>
                  <w:marTop w:val="0"/>
                  <w:marBottom w:val="0"/>
                  <w:divBdr>
                    <w:top w:val="none" w:sz="0" w:space="0" w:color="auto"/>
                    <w:left w:val="none" w:sz="0" w:space="0" w:color="auto"/>
                    <w:bottom w:val="none" w:sz="0" w:space="0" w:color="auto"/>
                    <w:right w:val="none" w:sz="0" w:space="0" w:color="auto"/>
                  </w:divBdr>
                  <w:divsChild>
                    <w:div w:id="728962756">
                      <w:marLeft w:val="0"/>
                      <w:marRight w:val="0"/>
                      <w:marTop w:val="120"/>
                      <w:marBottom w:val="0"/>
                      <w:divBdr>
                        <w:top w:val="none" w:sz="0" w:space="0" w:color="auto"/>
                        <w:left w:val="none" w:sz="0" w:space="0" w:color="auto"/>
                        <w:bottom w:val="none" w:sz="0" w:space="0" w:color="auto"/>
                        <w:right w:val="none" w:sz="0" w:space="0" w:color="auto"/>
                      </w:divBdr>
                    </w:div>
                    <w:div w:id="2057469258">
                      <w:marLeft w:val="0"/>
                      <w:marRight w:val="0"/>
                      <w:marTop w:val="0"/>
                      <w:marBottom w:val="0"/>
                      <w:divBdr>
                        <w:top w:val="none" w:sz="0" w:space="0" w:color="auto"/>
                        <w:left w:val="none" w:sz="0" w:space="0" w:color="auto"/>
                        <w:bottom w:val="none" w:sz="0" w:space="0" w:color="auto"/>
                        <w:right w:val="none" w:sz="0" w:space="0" w:color="auto"/>
                      </w:divBdr>
                    </w:div>
                  </w:divsChild>
                </w:div>
                <w:div w:id="1046681040">
                  <w:marLeft w:val="0"/>
                  <w:marRight w:val="0"/>
                  <w:marTop w:val="0"/>
                  <w:marBottom w:val="0"/>
                  <w:divBdr>
                    <w:top w:val="none" w:sz="0" w:space="0" w:color="auto"/>
                    <w:left w:val="none" w:sz="0" w:space="0" w:color="auto"/>
                    <w:bottom w:val="none" w:sz="0" w:space="0" w:color="auto"/>
                    <w:right w:val="none" w:sz="0" w:space="0" w:color="auto"/>
                  </w:divBdr>
                  <w:divsChild>
                    <w:div w:id="973486886">
                      <w:marLeft w:val="0"/>
                      <w:marRight w:val="0"/>
                      <w:marTop w:val="0"/>
                      <w:marBottom w:val="0"/>
                      <w:divBdr>
                        <w:top w:val="none" w:sz="0" w:space="0" w:color="auto"/>
                        <w:left w:val="none" w:sz="0" w:space="0" w:color="auto"/>
                        <w:bottom w:val="none" w:sz="0" w:space="0" w:color="auto"/>
                        <w:right w:val="none" w:sz="0" w:space="0" w:color="auto"/>
                      </w:divBdr>
                    </w:div>
                    <w:div w:id="1063335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6358614">
          <w:marLeft w:val="0"/>
          <w:marRight w:val="0"/>
          <w:marTop w:val="0"/>
          <w:marBottom w:val="0"/>
          <w:divBdr>
            <w:top w:val="none" w:sz="0" w:space="0" w:color="auto"/>
            <w:left w:val="none" w:sz="0" w:space="0" w:color="auto"/>
            <w:bottom w:val="none" w:sz="0" w:space="0" w:color="auto"/>
            <w:right w:val="none" w:sz="0" w:space="0" w:color="auto"/>
          </w:divBdr>
          <w:divsChild>
            <w:div w:id="197133615">
              <w:marLeft w:val="0"/>
              <w:marRight w:val="0"/>
              <w:marTop w:val="0"/>
              <w:marBottom w:val="0"/>
              <w:divBdr>
                <w:top w:val="none" w:sz="0" w:space="0" w:color="auto"/>
                <w:left w:val="none" w:sz="0" w:space="0" w:color="auto"/>
                <w:bottom w:val="none" w:sz="0" w:space="0" w:color="auto"/>
                <w:right w:val="none" w:sz="0" w:space="0" w:color="auto"/>
              </w:divBdr>
            </w:div>
            <w:div w:id="15145377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7343800">
      <w:bodyDiv w:val="1"/>
      <w:marLeft w:val="0"/>
      <w:marRight w:val="0"/>
      <w:marTop w:val="0"/>
      <w:marBottom w:val="0"/>
      <w:divBdr>
        <w:top w:val="none" w:sz="0" w:space="0" w:color="auto"/>
        <w:left w:val="none" w:sz="0" w:space="0" w:color="auto"/>
        <w:bottom w:val="none" w:sz="0" w:space="0" w:color="auto"/>
        <w:right w:val="none" w:sz="0" w:space="0" w:color="auto"/>
      </w:divBdr>
      <w:divsChild>
        <w:div w:id="34812581">
          <w:marLeft w:val="0"/>
          <w:marRight w:val="0"/>
          <w:marTop w:val="0"/>
          <w:marBottom w:val="0"/>
          <w:divBdr>
            <w:top w:val="none" w:sz="0" w:space="0" w:color="auto"/>
            <w:left w:val="none" w:sz="0" w:space="0" w:color="auto"/>
            <w:bottom w:val="none" w:sz="0" w:space="0" w:color="auto"/>
            <w:right w:val="none" w:sz="0" w:space="0" w:color="auto"/>
          </w:divBdr>
          <w:divsChild>
            <w:div w:id="1181044932">
              <w:marLeft w:val="0"/>
              <w:marRight w:val="0"/>
              <w:marTop w:val="0"/>
              <w:marBottom w:val="0"/>
              <w:divBdr>
                <w:top w:val="none" w:sz="0" w:space="0" w:color="auto"/>
                <w:left w:val="none" w:sz="0" w:space="0" w:color="auto"/>
                <w:bottom w:val="none" w:sz="0" w:space="0" w:color="auto"/>
                <w:right w:val="none" w:sz="0" w:space="0" w:color="auto"/>
              </w:divBdr>
            </w:div>
          </w:divsChild>
        </w:div>
        <w:div w:id="133762621">
          <w:marLeft w:val="0"/>
          <w:marRight w:val="0"/>
          <w:marTop w:val="0"/>
          <w:marBottom w:val="0"/>
          <w:divBdr>
            <w:top w:val="none" w:sz="0" w:space="0" w:color="auto"/>
            <w:left w:val="none" w:sz="0" w:space="0" w:color="auto"/>
            <w:bottom w:val="none" w:sz="0" w:space="0" w:color="auto"/>
            <w:right w:val="none" w:sz="0" w:space="0" w:color="auto"/>
          </w:divBdr>
          <w:divsChild>
            <w:div w:id="276521921">
              <w:marLeft w:val="0"/>
              <w:marRight w:val="0"/>
              <w:marTop w:val="0"/>
              <w:marBottom w:val="0"/>
              <w:divBdr>
                <w:top w:val="none" w:sz="0" w:space="0" w:color="auto"/>
                <w:left w:val="none" w:sz="0" w:space="0" w:color="auto"/>
                <w:bottom w:val="none" w:sz="0" w:space="0" w:color="auto"/>
                <w:right w:val="none" w:sz="0" w:space="0" w:color="auto"/>
              </w:divBdr>
              <w:divsChild>
                <w:div w:id="37516372">
                  <w:marLeft w:val="0"/>
                  <w:marRight w:val="0"/>
                  <w:marTop w:val="0"/>
                  <w:marBottom w:val="0"/>
                  <w:divBdr>
                    <w:top w:val="none" w:sz="0" w:space="0" w:color="auto"/>
                    <w:left w:val="none" w:sz="0" w:space="0" w:color="auto"/>
                    <w:bottom w:val="none" w:sz="0" w:space="0" w:color="auto"/>
                    <w:right w:val="none" w:sz="0" w:space="0" w:color="auto"/>
                  </w:divBdr>
                  <w:divsChild>
                    <w:div w:id="1465275128">
                      <w:marLeft w:val="0"/>
                      <w:marRight w:val="0"/>
                      <w:marTop w:val="0"/>
                      <w:marBottom w:val="0"/>
                      <w:divBdr>
                        <w:top w:val="none" w:sz="0" w:space="0" w:color="auto"/>
                        <w:left w:val="none" w:sz="0" w:space="0" w:color="auto"/>
                        <w:bottom w:val="none" w:sz="0" w:space="0" w:color="auto"/>
                        <w:right w:val="none" w:sz="0" w:space="0" w:color="auto"/>
                      </w:divBdr>
                    </w:div>
                    <w:div w:id="1761677709">
                      <w:marLeft w:val="0"/>
                      <w:marRight w:val="0"/>
                      <w:marTop w:val="120"/>
                      <w:marBottom w:val="0"/>
                      <w:divBdr>
                        <w:top w:val="none" w:sz="0" w:space="0" w:color="auto"/>
                        <w:left w:val="none" w:sz="0" w:space="0" w:color="auto"/>
                        <w:bottom w:val="none" w:sz="0" w:space="0" w:color="auto"/>
                        <w:right w:val="none" w:sz="0" w:space="0" w:color="auto"/>
                      </w:divBdr>
                    </w:div>
                  </w:divsChild>
                </w:div>
                <w:div w:id="82263042">
                  <w:marLeft w:val="0"/>
                  <w:marRight w:val="0"/>
                  <w:marTop w:val="0"/>
                  <w:marBottom w:val="0"/>
                  <w:divBdr>
                    <w:top w:val="none" w:sz="0" w:space="0" w:color="auto"/>
                    <w:left w:val="none" w:sz="0" w:space="0" w:color="auto"/>
                    <w:bottom w:val="none" w:sz="0" w:space="0" w:color="auto"/>
                    <w:right w:val="none" w:sz="0" w:space="0" w:color="auto"/>
                  </w:divBdr>
                  <w:divsChild>
                    <w:div w:id="86314045">
                      <w:marLeft w:val="0"/>
                      <w:marRight w:val="0"/>
                      <w:marTop w:val="120"/>
                      <w:marBottom w:val="0"/>
                      <w:divBdr>
                        <w:top w:val="none" w:sz="0" w:space="0" w:color="auto"/>
                        <w:left w:val="none" w:sz="0" w:space="0" w:color="auto"/>
                        <w:bottom w:val="none" w:sz="0" w:space="0" w:color="auto"/>
                        <w:right w:val="none" w:sz="0" w:space="0" w:color="auto"/>
                      </w:divBdr>
                    </w:div>
                    <w:div w:id="1326207309">
                      <w:marLeft w:val="0"/>
                      <w:marRight w:val="0"/>
                      <w:marTop w:val="0"/>
                      <w:marBottom w:val="0"/>
                      <w:divBdr>
                        <w:top w:val="none" w:sz="0" w:space="0" w:color="auto"/>
                        <w:left w:val="none" w:sz="0" w:space="0" w:color="auto"/>
                        <w:bottom w:val="none" w:sz="0" w:space="0" w:color="auto"/>
                        <w:right w:val="none" w:sz="0" w:space="0" w:color="auto"/>
                      </w:divBdr>
                      <w:divsChild>
                        <w:div w:id="1020736341">
                          <w:marLeft w:val="0"/>
                          <w:marRight w:val="0"/>
                          <w:marTop w:val="0"/>
                          <w:marBottom w:val="0"/>
                          <w:divBdr>
                            <w:top w:val="none" w:sz="0" w:space="0" w:color="auto"/>
                            <w:left w:val="none" w:sz="0" w:space="0" w:color="auto"/>
                            <w:bottom w:val="none" w:sz="0" w:space="0" w:color="auto"/>
                            <w:right w:val="none" w:sz="0" w:space="0" w:color="auto"/>
                          </w:divBdr>
                          <w:divsChild>
                            <w:div w:id="122191495">
                              <w:marLeft w:val="0"/>
                              <w:marRight w:val="0"/>
                              <w:marTop w:val="120"/>
                              <w:marBottom w:val="0"/>
                              <w:divBdr>
                                <w:top w:val="none" w:sz="0" w:space="0" w:color="auto"/>
                                <w:left w:val="none" w:sz="0" w:space="0" w:color="auto"/>
                                <w:bottom w:val="none" w:sz="0" w:space="0" w:color="auto"/>
                                <w:right w:val="none" w:sz="0" w:space="0" w:color="auto"/>
                              </w:divBdr>
                            </w:div>
                            <w:div w:id="951789322">
                              <w:marLeft w:val="0"/>
                              <w:marRight w:val="0"/>
                              <w:marTop w:val="0"/>
                              <w:marBottom w:val="0"/>
                              <w:divBdr>
                                <w:top w:val="none" w:sz="0" w:space="0" w:color="auto"/>
                                <w:left w:val="none" w:sz="0" w:space="0" w:color="auto"/>
                                <w:bottom w:val="none" w:sz="0" w:space="0" w:color="auto"/>
                                <w:right w:val="none" w:sz="0" w:space="0" w:color="auto"/>
                              </w:divBdr>
                            </w:div>
                          </w:divsChild>
                        </w:div>
                        <w:div w:id="1483699148">
                          <w:marLeft w:val="0"/>
                          <w:marRight w:val="0"/>
                          <w:marTop w:val="0"/>
                          <w:marBottom w:val="0"/>
                          <w:divBdr>
                            <w:top w:val="none" w:sz="0" w:space="0" w:color="auto"/>
                            <w:left w:val="none" w:sz="0" w:space="0" w:color="auto"/>
                            <w:bottom w:val="none" w:sz="0" w:space="0" w:color="auto"/>
                            <w:right w:val="none" w:sz="0" w:space="0" w:color="auto"/>
                          </w:divBdr>
                          <w:divsChild>
                            <w:div w:id="27722901">
                              <w:marLeft w:val="0"/>
                              <w:marRight w:val="0"/>
                              <w:marTop w:val="0"/>
                              <w:marBottom w:val="0"/>
                              <w:divBdr>
                                <w:top w:val="none" w:sz="0" w:space="0" w:color="auto"/>
                                <w:left w:val="none" w:sz="0" w:space="0" w:color="auto"/>
                                <w:bottom w:val="none" w:sz="0" w:space="0" w:color="auto"/>
                                <w:right w:val="none" w:sz="0" w:space="0" w:color="auto"/>
                              </w:divBdr>
                            </w:div>
                            <w:div w:id="1581989032">
                              <w:marLeft w:val="0"/>
                              <w:marRight w:val="0"/>
                              <w:marTop w:val="120"/>
                              <w:marBottom w:val="0"/>
                              <w:divBdr>
                                <w:top w:val="none" w:sz="0" w:space="0" w:color="auto"/>
                                <w:left w:val="none" w:sz="0" w:space="0" w:color="auto"/>
                                <w:bottom w:val="none" w:sz="0" w:space="0" w:color="auto"/>
                                <w:right w:val="none" w:sz="0" w:space="0" w:color="auto"/>
                              </w:divBdr>
                            </w:div>
                          </w:divsChild>
                        </w:div>
                        <w:div w:id="2087148159">
                          <w:marLeft w:val="0"/>
                          <w:marRight w:val="0"/>
                          <w:marTop w:val="0"/>
                          <w:marBottom w:val="0"/>
                          <w:divBdr>
                            <w:top w:val="none" w:sz="0" w:space="0" w:color="auto"/>
                            <w:left w:val="none" w:sz="0" w:space="0" w:color="auto"/>
                            <w:bottom w:val="none" w:sz="0" w:space="0" w:color="auto"/>
                            <w:right w:val="none" w:sz="0" w:space="0" w:color="auto"/>
                          </w:divBdr>
                          <w:divsChild>
                            <w:div w:id="805120903">
                              <w:marLeft w:val="0"/>
                              <w:marRight w:val="0"/>
                              <w:marTop w:val="0"/>
                              <w:marBottom w:val="0"/>
                              <w:divBdr>
                                <w:top w:val="none" w:sz="0" w:space="0" w:color="auto"/>
                                <w:left w:val="none" w:sz="0" w:space="0" w:color="auto"/>
                                <w:bottom w:val="none" w:sz="0" w:space="0" w:color="auto"/>
                                <w:right w:val="none" w:sz="0" w:space="0" w:color="auto"/>
                              </w:divBdr>
                            </w:div>
                            <w:div w:id="1908568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160177">
                  <w:marLeft w:val="0"/>
                  <w:marRight w:val="0"/>
                  <w:marTop w:val="0"/>
                  <w:marBottom w:val="0"/>
                  <w:divBdr>
                    <w:top w:val="none" w:sz="0" w:space="0" w:color="auto"/>
                    <w:left w:val="none" w:sz="0" w:space="0" w:color="auto"/>
                    <w:bottom w:val="none" w:sz="0" w:space="0" w:color="auto"/>
                    <w:right w:val="none" w:sz="0" w:space="0" w:color="auto"/>
                  </w:divBdr>
                  <w:divsChild>
                    <w:div w:id="278269669">
                      <w:marLeft w:val="0"/>
                      <w:marRight w:val="0"/>
                      <w:marTop w:val="0"/>
                      <w:marBottom w:val="0"/>
                      <w:divBdr>
                        <w:top w:val="none" w:sz="0" w:space="0" w:color="auto"/>
                        <w:left w:val="none" w:sz="0" w:space="0" w:color="auto"/>
                        <w:bottom w:val="none" w:sz="0" w:space="0" w:color="auto"/>
                        <w:right w:val="none" w:sz="0" w:space="0" w:color="auto"/>
                      </w:divBdr>
                      <w:divsChild>
                        <w:div w:id="897668349">
                          <w:marLeft w:val="0"/>
                          <w:marRight w:val="0"/>
                          <w:marTop w:val="0"/>
                          <w:marBottom w:val="0"/>
                          <w:divBdr>
                            <w:top w:val="none" w:sz="0" w:space="0" w:color="auto"/>
                            <w:left w:val="none" w:sz="0" w:space="0" w:color="auto"/>
                            <w:bottom w:val="none" w:sz="0" w:space="0" w:color="auto"/>
                            <w:right w:val="none" w:sz="0" w:space="0" w:color="auto"/>
                          </w:divBdr>
                          <w:divsChild>
                            <w:div w:id="1692947944">
                              <w:marLeft w:val="0"/>
                              <w:marRight w:val="0"/>
                              <w:marTop w:val="0"/>
                              <w:marBottom w:val="0"/>
                              <w:divBdr>
                                <w:top w:val="none" w:sz="0" w:space="0" w:color="auto"/>
                                <w:left w:val="none" w:sz="0" w:space="0" w:color="auto"/>
                                <w:bottom w:val="none" w:sz="0" w:space="0" w:color="auto"/>
                                <w:right w:val="none" w:sz="0" w:space="0" w:color="auto"/>
                              </w:divBdr>
                            </w:div>
                            <w:div w:id="2033728262">
                              <w:marLeft w:val="0"/>
                              <w:marRight w:val="0"/>
                              <w:marTop w:val="120"/>
                              <w:marBottom w:val="0"/>
                              <w:divBdr>
                                <w:top w:val="none" w:sz="0" w:space="0" w:color="auto"/>
                                <w:left w:val="none" w:sz="0" w:space="0" w:color="auto"/>
                                <w:bottom w:val="none" w:sz="0" w:space="0" w:color="auto"/>
                                <w:right w:val="none" w:sz="0" w:space="0" w:color="auto"/>
                              </w:divBdr>
                            </w:div>
                          </w:divsChild>
                        </w:div>
                        <w:div w:id="1069574627">
                          <w:marLeft w:val="0"/>
                          <w:marRight w:val="0"/>
                          <w:marTop w:val="0"/>
                          <w:marBottom w:val="0"/>
                          <w:divBdr>
                            <w:top w:val="none" w:sz="0" w:space="0" w:color="auto"/>
                            <w:left w:val="none" w:sz="0" w:space="0" w:color="auto"/>
                            <w:bottom w:val="none" w:sz="0" w:space="0" w:color="auto"/>
                            <w:right w:val="none" w:sz="0" w:space="0" w:color="auto"/>
                          </w:divBdr>
                          <w:divsChild>
                            <w:div w:id="1340961031">
                              <w:marLeft w:val="0"/>
                              <w:marRight w:val="0"/>
                              <w:marTop w:val="0"/>
                              <w:marBottom w:val="0"/>
                              <w:divBdr>
                                <w:top w:val="none" w:sz="0" w:space="0" w:color="auto"/>
                                <w:left w:val="none" w:sz="0" w:space="0" w:color="auto"/>
                                <w:bottom w:val="none" w:sz="0" w:space="0" w:color="auto"/>
                                <w:right w:val="none" w:sz="0" w:space="0" w:color="auto"/>
                              </w:divBdr>
                            </w:div>
                            <w:div w:id="1532378772">
                              <w:marLeft w:val="0"/>
                              <w:marRight w:val="0"/>
                              <w:marTop w:val="120"/>
                              <w:marBottom w:val="0"/>
                              <w:divBdr>
                                <w:top w:val="none" w:sz="0" w:space="0" w:color="auto"/>
                                <w:left w:val="none" w:sz="0" w:space="0" w:color="auto"/>
                                <w:bottom w:val="none" w:sz="0" w:space="0" w:color="auto"/>
                                <w:right w:val="none" w:sz="0" w:space="0" w:color="auto"/>
                              </w:divBdr>
                            </w:div>
                          </w:divsChild>
                        </w:div>
                        <w:div w:id="1615089853">
                          <w:marLeft w:val="0"/>
                          <w:marRight w:val="0"/>
                          <w:marTop w:val="0"/>
                          <w:marBottom w:val="0"/>
                          <w:divBdr>
                            <w:top w:val="none" w:sz="0" w:space="0" w:color="auto"/>
                            <w:left w:val="none" w:sz="0" w:space="0" w:color="auto"/>
                            <w:bottom w:val="none" w:sz="0" w:space="0" w:color="auto"/>
                            <w:right w:val="none" w:sz="0" w:space="0" w:color="auto"/>
                          </w:divBdr>
                          <w:divsChild>
                            <w:div w:id="943539621">
                              <w:marLeft w:val="0"/>
                              <w:marRight w:val="0"/>
                              <w:marTop w:val="0"/>
                              <w:marBottom w:val="0"/>
                              <w:divBdr>
                                <w:top w:val="none" w:sz="0" w:space="0" w:color="auto"/>
                                <w:left w:val="none" w:sz="0" w:space="0" w:color="auto"/>
                                <w:bottom w:val="none" w:sz="0" w:space="0" w:color="auto"/>
                                <w:right w:val="none" w:sz="0" w:space="0" w:color="auto"/>
                              </w:divBdr>
                            </w:div>
                            <w:div w:id="14435697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5832182">
                      <w:marLeft w:val="0"/>
                      <w:marRight w:val="0"/>
                      <w:marTop w:val="120"/>
                      <w:marBottom w:val="0"/>
                      <w:divBdr>
                        <w:top w:val="none" w:sz="0" w:space="0" w:color="auto"/>
                        <w:left w:val="none" w:sz="0" w:space="0" w:color="auto"/>
                        <w:bottom w:val="none" w:sz="0" w:space="0" w:color="auto"/>
                        <w:right w:val="none" w:sz="0" w:space="0" w:color="auto"/>
                      </w:divBdr>
                    </w:div>
                  </w:divsChild>
                </w:div>
                <w:div w:id="198324331">
                  <w:marLeft w:val="0"/>
                  <w:marRight w:val="0"/>
                  <w:marTop w:val="0"/>
                  <w:marBottom w:val="0"/>
                  <w:divBdr>
                    <w:top w:val="none" w:sz="0" w:space="0" w:color="auto"/>
                    <w:left w:val="none" w:sz="0" w:space="0" w:color="auto"/>
                    <w:bottom w:val="none" w:sz="0" w:space="0" w:color="auto"/>
                    <w:right w:val="none" w:sz="0" w:space="0" w:color="auto"/>
                  </w:divBdr>
                  <w:divsChild>
                    <w:div w:id="211697582">
                      <w:marLeft w:val="0"/>
                      <w:marRight w:val="0"/>
                      <w:marTop w:val="0"/>
                      <w:marBottom w:val="0"/>
                      <w:divBdr>
                        <w:top w:val="none" w:sz="0" w:space="0" w:color="auto"/>
                        <w:left w:val="none" w:sz="0" w:space="0" w:color="auto"/>
                        <w:bottom w:val="none" w:sz="0" w:space="0" w:color="auto"/>
                        <w:right w:val="none" w:sz="0" w:space="0" w:color="auto"/>
                      </w:divBdr>
                    </w:div>
                    <w:div w:id="1543176906">
                      <w:marLeft w:val="0"/>
                      <w:marRight w:val="0"/>
                      <w:marTop w:val="120"/>
                      <w:marBottom w:val="0"/>
                      <w:divBdr>
                        <w:top w:val="none" w:sz="0" w:space="0" w:color="auto"/>
                        <w:left w:val="none" w:sz="0" w:space="0" w:color="auto"/>
                        <w:bottom w:val="none" w:sz="0" w:space="0" w:color="auto"/>
                        <w:right w:val="none" w:sz="0" w:space="0" w:color="auto"/>
                      </w:divBdr>
                    </w:div>
                  </w:divsChild>
                </w:div>
                <w:div w:id="370305053">
                  <w:marLeft w:val="0"/>
                  <w:marRight w:val="0"/>
                  <w:marTop w:val="0"/>
                  <w:marBottom w:val="0"/>
                  <w:divBdr>
                    <w:top w:val="none" w:sz="0" w:space="0" w:color="auto"/>
                    <w:left w:val="none" w:sz="0" w:space="0" w:color="auto"/>
                    <w:bottom w:val="none" w:sz="0" w:space="0" w:color="auto"/>
                    <w:right w:val="none" w:sz="0" w:space="0" w:color="auto"/>
                  </w:divBdr>
                  <w:divsChild>
                    <w:div w:id="581990518">
                      <w:marLeft w:val="0"/>
                      <w:marRight w:val="0"/>
                      <w:marTop w:val="120"/>
                      <w:marBottom w:val="0"/>
                      <w:divBdr>
                        <w:top w:val="none" w:sz="0" w:space="0" w:color="auto"/>
                        <w:left w:val="none" w:sz="0" w:space="0" w:color="auto"/>
                        <w:bottom w:val="none" w:sz="0" w:space="0" w:color="auto"/>
                        <w:right w:val="none" w:sz="0" w:space="0" w:color="auto"/>
                      </w:divBdr>
                    </w:div>
                    <w:div w:id="1640454541">
                      <w:marLeft w:val="0"/>
                      <w:marRight w:val="0"/>
                      <w:marTop w:val="0"/>
                      <w:marBottom w:val="0"/>
                      <w:divBdr>
                        <w:top w:val="none" w:sz="0" w:space="0" w:color="auto"/>
                        <w:left w:val="none" w:sz="0" w:space="0" w:color="auto"/>
                        <w:bottom w:val="none" w:sz="0" w:space="0" w:color="auto"/>
                        <w:right w:val="none" w:sz="0" w:space="0" w:color="auto"/>
                      </w:divBdr>
                    </w:div>
                  </w:divsChild>
                </w:div>
                <w:div w:id="531647542">
                  <w:marLeft w:val="0"/>
                  <w:marRight w:val="0"/>
                  <w:marTop w:val="0"/>
                  <w:marBottom w:val="0"/>
                  <w:divBdr>
                    <w:top w:val="none" w:sz="0" w:space="0" w:color="auto"/>
                    <w:left w:val="none" w:sz="0" w:space="0" w:color="auto"/>
                    <w:bottom w:val="none" w:sz="0" w:space="0" w:color="auto"/>
                    <w:right w:val="none" w:sz="0" w:space="0" w:color="auto"/>
                  </w:divBdr>
                  <w:divsChild>
                    <w:div w:id="303898937">
                      <w:marLeft w:val="0"/>
                      <w:marRight w:val="0"/>
                      <w:marTop w:val="0"/>
                      <w:marBottom w:val="0"/>
                      <w:divBdr>
                        <w:top w:val="none" w:sz="0" w:space="0" w:color="auto"/>
                        <w:left w:val="none" w:sz="0" w:space="0" w:color="auto"/>
                        <w:bottom w:val="none" w:sz="0" w:space="0" w:color="auto"/>
                        <w:right w:val="none" w:sz="0" w:space="0" w:color="auto"/>
                      </w:divBdr>
                    </w:div>
                    <w:div w:id="2105224973">
                      <w:marLeft w:val="0"/>
                      <w:marRight w:val="0"/>
                      <w:marTop w:val="120"/>
                      <w:marBottom w:val="0"/>
                      <w:divBdr>
                        <w:top w:val="none" w:sz="0" w:space="0" w:color="auto"/>
                        <w:left w:val="none" w:sz="0" w:space="0" w:color="auto"/>
                        <w:bottom w:val="none" w:sz="0" w:space="0" w:color="auto"/>
                        <w:right w:val="none" w:sz="0" w:space="0" w:color="auto"/>
                      </w:divBdr>
                    </w:div>
                  </w:divsChild>
                </w:div>
                <w:div w:id="556208746">
                  <w:marLeft w:val="0"/>
                  <w:marRight w:val="0"/>
                  <w:marTop w:val="0"/>
                  <w:marBottom w:val="0"/>
                  <w:divBdr>
                    <w:top w:val="none" w:sz="0" w:space="0" w:color="auto"/>
                    <w:left w:val="none" w:sz="0" w:space="0" w:color="auto"/>
                    <w:bottom w:val="none" w:sz="0" w:space="0" w:color="auto"/>
                    <w:right w:val="none" w:sz="0" w:space="0" w:color="auto"/>
                  </w:divBdr>
                  <w:divsChild>
                    <w:div w:id="507017482">
                      <w:marLeft w:val="0"/>
                      <w:marRight w:val="0"/>
                      <w:marTop w:val="120"/>
                      <w:marBottom w:val="0"/>
                      <w:divBdr>
                        <w:top w:val="none" w:sz="0" w:space="0" w:color="auto"/>
                        <w:left w:val="none" w:sz="0" w:space="0" w:color="auto"/>
                        <w:bottom w:val="none" w:sz="0" w:space="0" w:color="auto"/>
                        <w:right w:val="none" w:sz="0" w:space="0" w:color="auto"/>
                      </w:divBdr>
                    </w:div>
                    <w:div w:id="689332658">
                      <w:marLeft w:val="0"/>
                      <w:marRight w:val="0"/>
                      <w:marTop w:val="0"/>
                      <w:marBottom w:val="0"/>
                      <w:divBdr>
                        <w:top w:val="none" w:sz="0" w:space="0" w:color="auto"/>
                        <w:left w:val="none" w:sz="0" w:space="0" w:color="auto"/>
                        <w:bottom w:val="none" w:sz="0" w:space="0" w:color="auto"/>
                        <w:right w:val="none" w:sz="0" w:space="0" w:color="auto"/>
                      </w:divBdr>
                    </w:div>
                  </w:divsChild>
                </w:div>
                <w:div w:id="794644425">
                  <w:marLeft w:val="0"/>
                  <w:marRight w:val="0"/>
                  <w:marTop w:val="0"/>
                  <w:marBottom w:val="0"/>
                  <w:divBdr>
                    <w:top w:val="none" w:sz="0" w:space="0" w:color="auto"/>
                    <w:left w:val="none" w:sz="0" w:space="0" w:color="auto"/>
                    <w:bottom w:val="none" w:sz="0" w:space="0" w:color="auto"/>
                    <w:right w:val="none" w:sz="0" w:space="0" w:color="auto"/>
                  </w:divBdr>
                  <w:divsChild>
                    <w:div w:id="559707275">
                      <w:marLeft w:val="0"/>
                      <w:marRight w:val="0"/>
                      <w:marTop w:val="0"/>
                      <w:marBottom w:val="0"/>
                      <w:divBdr>
                        <w:top w:val="none" w:sz="0" w:space="0" w:color="auto"/>
                        <w:left w:val="none" w:sz="0" w:space="0" w:color="auto"/>
                        <w:bottom w:val="none" w:sz="0" w:space="0" w:color="auto"/>
                        <w:right w:val="none" w:sz="0" w:space="0" w:color="auto"/>
                      </w:divBdr>
                      <w:divsChild>
                        <w:div w:id="360936640">
                          <w:marLeft w:val="0"/>
                          <w:marRight w:val="0"/>
                          <w:marTop w:val="0"/>
                          <w:marBottom w:val="0"/>
                          <w:divBdr>
                            <w:top w:val="none" w:sz="0" w:space="0" w:color="auto"/>
                            <w:left w:val="none" w:sz="0" w:space="0" w:color="auto"/>
                            <w:bottom w:val="none" w:sz="0" w:space="0" w:color="auto"/>
                            <w:right w:val="none" w:sz="0" w:space="0" w:color="auto"/>
                          </w:divBdr>
                          <w:divsChild>
                            <w:div w:id="1945961532">
                              <w:marLeft w:val="0"/>
                              <w:marRight w:val="0"/>
                              <w:marTop w:val="120"/>
                              <w:marBottom w:val="0"/>
                              <w:divBdr>
                                <w:top w:val="none" w:sz="0" w:space="0" w:color="auto"/>
                                <w:left w:val="none" w:sz="0" w:space="0" w:color="auto"/>
                                <w:bottom w:val="none" w:sz="0" w:space="0" w:color="auto"/>
                                <w:right w:val="none" w:sz="0" w:space="0" w:color="auto"/>
                              </w:divBdr>
                            </w:div>
                            <w:div w:id="1988822100">
                              <w:marLeft w:val="0"/>
                              <w:marRight w:val="0"/>
                              <w:marTop w:val="0"/>
                              <w:marBottom w:val="0"/>
                              <w:divBdr>
                                <w:top w:val="none" w:sz="0" w:space="0" w:color="auto"/>
                                <w:left w:val="none" w:sz="0" w:space="0" w:color="auto"/>
                                <w:bottom w:val="none" w:sz="0" w:space="0" w:color="auto"/>
                                <w:right w:val="none" w:sz="0" w:space="0" w:color="auto"/>
                              </w:divBdr>
                            </w:div>
                          </w:divsChild>
                        </w:div>
                        <w:div w:id="1280793871">
                          <w:marLeft w:val="0"/>
                          <w:marRight w:val="0"/>
                          <w:marTop w:val="0"/>
                          <w:marBottom w:val="0"/>
                          <w:divBdr>
                            <w:top w:val="none" w:sz="0" w:space="0" w:color="auto"/>
                            <w:left w:val="none" w:sz="0" w:space="0" w:color="auto"/>
                            <w:bottom w:val="none" w:sz="0" w:space="0" w:color="auto"/>
                            <w:right w:val="none" w:sz="0" w:space="0" w:color="auto"/>
                          </w:divBdr>
                          <w:divsChild>
                            <w:div w:id="25109157">
                              <w:marLeft w:val="0"/>
                              <w:marRight w:val="0"/>
                              <w:marTop w:val="120"/>
                              <w:marBottom w:val="0"/>
                              <w:divBdr>
                                <w:top w:val="none" w:sz="0" w:space="0" w:color="auto"/>
                                <w:left w:val="none" w:sz="0" w:space="0" w:color="auto"/>
                                <w:bottom w:val="none" w:sz="0" w:space="0" w:color="auto"/>
                                <w:right w:val="none" w:sz="0" w:space="0" w:color="auto"/>
                              </w:divBdr>
                            </w:div>
                            <w:div w:id="4697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7050">
                      <w:marLeft w:val="0"/>
                      <w:marRight w:val="0"/>
                      <w:marTop w:val="120"/>
                      <w:marBottom w:val="0"/>
                      <w:divBdr>
                        <w:top w:val="none" w:sz="0" w:space="0" w:color="auto"/>
                        <w:left w:val="none" w:sz="0" w:space="0" w:color="auto"/>
                        <w:bottom w:val="none" w:sz="0" w:space="0" w:color="auto"/>
                        <w:right w:val="none" w:sz="0" w:space="0" w:color="auto"/>
                      </w:divBdr>
                    </w:div>
                  </w:divsChild>
                </w:div>
                <w:div w:id="928735990">
                  <w:marLeft w:val="0"/>
                  <w:marRight w:val="0"/>
                  <w:marTop w:val="0"/>
                  <w:marBottom w:val="0"/>
                  <w:divBdr>
                    <w:top w:val="none" w:sz="0" w:space="0" w:color="auto"/>
                    <w:left w:val="none" w:sz="0" w:space="0" w:color="auto"/>
                    <w:bottom w:val="none" w:sz="0" w:space="0" w:color="auto"/>
                    <w:right w:val="none" w:sz="0" w:space="0" w:color="auto"/>
                  </w:divBdr>
                  <w:divsChild>
                    <w:div w:id="696659323">
                      <w:marLeft w:val="0"/>
                      <w:marRight w:val="0"/>
                      <w:marTop w:val="120"/>
                      <w:marBottom w:val="0"/>
                      <w:divBdr>
                        <w:top w:val="none" w:sz="0" w:space="0" w:color="auto"/>
                        <w:left w:val="none" w:sz="0" w:space="0" w:color="auto"/>
                        <w:bottom w:val="none" w:sz="0" w:space="0" w:color="auto"/>
                        <w:right w:val="none" w:sz="0" w:space="0" w:color="auto"/>
                      </w:divBdr>
                    </w:div>
                    <w:div w:id="1853834496">
                      <w:marLeft w:val="0"/>
                      <w:marRight w:val="0"/>
                      <w:marTop w:val="0"/>
                      <w:marBottom w:val="0"/>
                      <w:divBdr>
                        <w:top w:val="none" w:sz="0" w:space="0" w:color="auto"/>
                        <w:left w:val="none" w:sz="0" w:space="0" w:color="auto"/>
                        <w:bottom w:val="none" w:sz="0" w:space="0" w:color="auto"/>
                        <w:right w:val="none" w:sz="0" w:space="0" w:color="auto"/>
                      </w:divBdr>
                    </w:div>
                  </w:divsChild>
                </w:div>
                <w:div w:id="1009648451">
                  <w:marLeft w:val="0"/>
                  <w:marRight w:val="0"/>
                  <w:marTop w:val="0"/>
                  <w:marBottom w:val="0"/>
                  <w:divBdr>
                    <w:top w:val="none" w:sz="0" w:space="0" w:color="auto"/>
                    <w:left w:val="none" w:sz="0" w:space="0" w:color="auto"/>
                    <w:bottom w:val="none" w:sz="0" w:space="0" w:color="auto"/>
                    <w:right w:val="none" w:sz="0" w:space="0" w:color="auto"/>
                  </w:divBdr>
                  <w:divsChild>
                    <w:div w:id="470372017">
                      <w:marLeft w:val="0"/>
                      <w:marRight w:val="0"/>
                      <w:marTop w:val="120"/>
                      <w:marBottom w:val="0"/>
                      <w:divBdr>
                        <w:top w:val="none" w:sz="0" w:space="0" w:color="auto"/>
                        <w:left w:val="none" w:sz="0" w:space="0" w:color="auto"/>
                        <w:bottom w:val="none" w:sz="0" w:space="0" w:color="auto"/>
                        <w:right w:val="none" w:sz="0" w:space="0" w:color="auto"/>
                      </w:divBdr>
                    </w:div>
                    <w:div w:id="1927882059">
                      <w:marLeft w:val="0"/>
                      <w:marRight w:val="0"/>
                      <w:marTop w:val="0"/>
                      <w:marBottom w:val="0"/>
                      <w:divBdr>
                        <w:top w:val="none" w:sz="0" w:space="0" w:color="auto"/>
                        <w:left w:val="none" w:sz="0" w:space="0" w:color="auto"/>
                        <w:bottom w:val="none" w:sz="0" w:space="0" w:color="auto"/>
                        <w:right w:val="none" w:sz="0" w:space="0" w:color="auto"/>
                      </w:divBdr>
                    </w:div>
                  </w:divsChild>
                </w:div>
                <w:div w:id="1590113954">
                  <w:marLeft w:val="0"/>
                  <w:marRight w:val="0"/>
                  <w:marTop w:val="0"/>
                  <w:marBottom w:val="0"/>
                  <w:divBdr>
                    <w:top w:val="none" w:sz="0" w:space="0" w:color="auto"/>
                    <w:left w:val="none" w:sz="0" w:space="0" w:color="auto"/>
                    <w:bottom w:val="none" w:sz="0" w:space="0" w:color="auto"/>
                    <w:right w:val="none" w:sz="0" w:space="0" w:color="auto"/>
                  </w:divBdr>
                  <w:divsChild>
                    <w:div w:id="1529492193">
                      <w:marLeft w:val="0"/>
                      <w:marRight w:val="0"/>
                      <w:marTop w:val="120"/>
                      <w:marBottom w:val="0"/>
                      <w:divBdr>
                        <w:top w:val="none" w:sz="0" w:space="0" w:color="auto"/>
                        <w:left w:val="none" w:sz="0" w:space="0" w:color="auto"/>
                        <w:bottom w:val="none" w:sz="0" w:space="0" w:color="auto"/>
                        <w:right w:val="none" w:sz="0" w:space="0" w:color="auto"/>
                      </w:divBdr>
                    </w:div>
                    <w:div w:id="2065640130">
                      <w:marLeft w:val="0"/>
                      <w:marRight w:val="0"/>
                      <w:marTop w:val="0"/>
                      <w:marBottom w:val="0"/>
                      <w:divBdr>
                        <w:top w:val="none" w:sz="0" w:space="0" w:color="auto"/>
                        <w:left w:val="none" w:sz="0" w:space="0" w:color="auto"/>
                        <w:bottom w:val="none" w:sz="0" w:space="0" w:color="auto"/>
                        <w:right w:val="none" w:sz="0" w:space="0" w:color="auto"/>
                      </w:divBdr>
                    </w:div>
                  </w:divsChild>
                </w:div>
                <w:div w:id="1866943147">
                  <w:marLeft w:val="0"/>
                  <w:marRight w:val="0"/>
                  <w:marTop w:val="0"/>
                  <w:marBottom w:val="0"/>
                  <w:divBdr>
                    <w:top w:val="none" w:sz="0" w:space="0" w:color="auto"/>
                    <w:left w:val="none" w:sz="0" w:space="0" w:color="auto"/>
                    <w:bottom w:val="none" w:sz="0" w:space="0" w:color="auto"/>
                    <w:right w:val="none" w:sz="0" w:space="0" w:color="auto"/>
                  </w:divBdr>
                  <w:divsChild>
                    <w:div w:id="504980019">
                      <w:marLeft w:val="0"/>
                      <w:marRight w:val="0"/>
                      <w:marTop w:val="0"/>
                      <w:marBottom w:val="0"/>
                      <w:divBdr>
                        <w:top w:val="none" w:sz="0" w:space="0" w:color="auto"/>
                        <w:left w:val="none" w:sz="0" w:space="0" w:color="auto"/>
                        <w:bottom w:val="none" w:sz="0" w:space="0" w:color="auto"/>
                        <w:right w:val="none" w:sz="0" w:space="0" w:color="auto"/>
                      </w:divBdr>
                    </w:div>
                    <w:div w:id="1277835259">
                      <w:marLeft w:val="0"/>
                      <w:marRight w:val="0"/>
                      <w:marTop w:val="120"/>
                      <w:marBottom w:val="0"/>
                      <w:divBdr>
                        <w:top w:val="none" w:sz="0" w:space="0" w:color="auto"/>
                        <w:left w:val="none" w:sz="0" w:space="0" w:color="auto"/>
                        <w:bottom w:val="none" w:sz="0" w:space="0" w:color="auto"/>
                        <w:right w:val="none" w:sz="0" w:space="0" w:color="auto"/>
                      </w:divBdr>
                    </w:div>
                  </w:divsChild>
                </w:div>
                <w:div w:id="1981882270">
                  <w:marLeft w:val="0"/>
                  <w:marRight w:val="0"/>
                  <w:marTop w:val="0"/>
                  <w:marBottom w:val="0"/>
                  <w:divBdr>
                    <w:top w:val="none" w:sz="0" w:space="0" w:color="auto"/>
                    <w:left w:val="none" w:sz="0" w:space="0" w:color="auto"/>
                    <w:bottom w:val="none" w:sz="0" w:space="0" w:color="auto"/>
                    <w:right w:val="none" w:sz="0" w:space="0" w:color="auto"/>
                  </w:divBdr>
                  <w:divsChild>
                    <w:div w:id="7030512">
                      <w:marLeft w:val="0"/>
                      <w:marRight w:val="0"/>
                      <w:marTop w:val="0"/>
                      <w:marBottom w:val="0"/>
                      <w:divBdr>
                        <w:top w:val="none" w:sz="0" w:space="0" w:color="auto"/>
                        <w:left w:val="none" w:sz="0" w:space="0" w:color="auto"/>
                        <w:bottom w:val="none" w:sz="0" w:space="0" w:color="auto"/>
                        <w:right w:val="none" w:sz="0" w:space="0" w:color="auto"/>
                      </w:divBdr>
                    </w:div>
                    <w:div w:id="308369591">
                      <w:marLeft w:val="0"/>
                      <w:marRight w:val="0"/>
                      <w:marTop w:val="120"/>
                      <w:marBottom w:val="0"/>
                      <w:divBdr>
                        <w:top w:val="none" w:sz="0" w:space="0" w:color="auto"/>
                        <w:left w:val="none" w:sz="0" w:space="0" w:color="auto"/>
                        <w:bottom w:val="none" w:sz="0" w:space="0" w:color="auto"/>
                        <w:right w:val="none" w:sz="0" w:space="0" w:color="auto"/>
                      </w:divBdr>
                    </w:div>
                  </w:divsChild>
                </w:div>
                <w:div w:id="2131391505">
                  <w:marLeft w:val="0"/>
                  <w:marRight w:val="0"/>
                  <w:marTop w:val="0"/>
                  <w:marBottom w:val="0"/>
                  <w:divBdr>
                    <w:top w:val="none" w:sz="0" w:space="0" w:color="auto"/>
                    <w:left w:val="none" w:sz="0" w:space="0" w:color="auto"/>
                    <w:bottom w:val="none" w:sz="0" w:space="0" w:color="auto"/>
                    <w:right w:val="none" w:sz="0" w:space="0" w:color="auto"/>
                  </w:divBdr>
                  <w:divsChild>
                    <w:div w:id="219169692">
                      <w:marLeft w:val="0"/>
                      <w:marRight w:val="0"/>
                      <w:marTop w:val="120"/>
                      <w:marBottom w:val="0"/>
                      <w:divBdr>
                        <w:top w:val="none" w:sz="0" w:space="0" w:color="auto"/>
                        <w:left w:val="none" w:sz="0" w:space="0" w:color="auto"/>
                        <w:bottom w:val="none" w:sz="0" w:space="0" w:color="auto"/>
                        <w:right w:val="none" w:sz="0" w:space="0" w:color="auto"/>
                      </w:divBdr>
                    </w:div>
                    <w:div w:id="1578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0964">
          <w:marLeft w:val="0"/>
          <w:marRight w:val="0"/>
          <w:marTop w:val="0"/>
          <w:marBottom w:val="0"/>
          <w:divBdr>
            <w:top w:val="none" w:sz="0" w:space="0" w:color="auto"/>
            <w:left w:val="none" w:sz="0" w:space="0" w:color="auto"/>
            <w:bottom w:val="none" w:sz="0" w:space="0" w:color="auto"/>
            <w:right w:val="none" w:sz="0" w:space="0" w:color="auto"/>
          </w:divBdr>
          <w:divsChild>
            <w:div w:id="684595369">
              <w:marLeft w:val="0"/>
              <w:marRight w:val="0"/>
              <w:marTop w:val="0"/>
              <w:marBottom w:val="0"/>
              <w:divBdr>
                <w:top w:val="none" w:sz="0" w:space="0" w:color="auto"/>
                <w:left w:val="none" w:sz="0" w:space="0" w:color="auto"/>
                <w:bottom w:val="none" w:sz="0" w:space="0" w:color="auto"/>
                <w:right w:val="none" w:sz="0" w:space="0" w:color="auto"/>
              </w:divBdr>
            </w:div>
          </w:divsChild>
        </w:div>
        <w:div w:id="741410875">
          <w:marLeft w:val="0"/>
          <w:marRight w:val="0"/>
          <w:marTop w:val="0"/>
          <w:marBottom w:val="0"/>
          <w:divBdr>
            <w:top w:val="none" w:sz="0" w:space="0" w:color="auto"/>
            <w:left w:val="none" w:sz="0" w:space="0" w:color="auto"/>
            <w:bottom w:val="none" w:sz="0" w:space="0" w:color="auto"/>
            <w:right w:val="none" w:sz="0" w:space="0" w:color="auto"/>
          </w:divBdr>
          <w:divsChild>
            <w:div w:id="1990673500">
              <w:marLeft w:val="0"/>
              <w:marRight w:val="0"/>
              <w:marTop w:val="0"/>
              <w:marBottom w:val="0"/>
              <w:divBdr>
                <w:top w:val="none" w:sz="0" w:space="0" w:color="auto"/>
                <w:left w:val="none" w:sz="0" w:space="0" w:color="auto"/>
                <w:bottom w:val="none" w:sz="0" w:space="0" w:color="auto"/>
                <w:right w:val="none" w:sz="0" w:space="0" w:color="auto"/>
              </w:divBdr>
              <w:divsChild>
                <w:div w:id="1163278943">
                  <w:marLeft w:val="0"/>
                  <w:marRight w:val="0"/>
                  <w:marTop w:val="0"/>
                  <w:marBottom w:val="0"/>
                  <w:divBdr>
                    <w:top w:val="none" w:sz="0" w:space="0" w:color="auto"/>
                    <w:left w:val="none" w:sz="0" w:space="0" w:color="auto"/>
                    <w:bottom w:val="none" w:sz="0" w:space="0" w:color="auto"/>
                    <w:right w:val="none" w:sz="0" w:space="0" w:color="auto"/>
                  </w:divBdr>
                  <w:divsChild>
                    <w:div w:id="429006812">
                      <w:marLeft w:val="0"/>
                      <w:marRight w:val="0"/>
                      <w:marTop w:val="0"/>
                      <w:marBottom w:val="0"/>
                      <w:divBdr>
                        <w:top w:val="none" w:sz="0" w:space="0" w:color="auto"/>
                        <w:left w:val="none" w:sz="0" w:space="0" w:color="auto"/>
                        <w:bottom w:val="none" w:sz="0" w:space="0" w:color="auto"/>
                        <w:right w:val="none" w:sz="0" w:space="0" w:color="auto"/>
                      </w:divBdr>
                    </w:div>
                    <w:div w:id="992637343">
                      <w:marLeft w:val="0"/>
                      <w:marRight w:val="0"/>
                      <w:marTop w:val="120"/>
                      <w:marBottom w:val="0"/>
                      <w:divBdr>
                        <w:top w:val="none" w:sz="0" w:space="0" w:color="auto"/>
                        <w:left w:val="none" w:sz="0" w:space="0" w:color="auto"/>
                        <w:bottom w:val="none" w:sz="0" w:space="0" w:color="auto"/>
                        <w:right w:val="none" w:sz="0" w:space="0" w:color="auto"/>
                      </w:divBdr>
                    </w:div>
                  </w:divsChild>
                </w:div>
                <w:div w:id="1793744685">
                  <w:marLeft w:val="0"/>
                  <w:marRight w:val="0"/>
                  <w:marTop w:val="0"/>
                  <w:marBottom w:val="0"/>
                  <w:divBdr>
                    <w:top w:val="none" w:sz="0" w:space="0" w:color="auto"/>
                    <w:left w:val="none" w:sz="0" w:space="0" w:color="auto"/>
                    <w:bottom w:val="none" w:sz="0" w:space="0" w:color="auto"/>
                    <w:right w:val="none" w:sz="0" w:space="0" w:color="auto"/>
                  </w:divBdr>
                  <w:divsChild>
                    <w:div w:id="946498644">
                      <w:marLeft w:val="0"/>
                      <w:marRight w:val="0"/>
                      <w:marTop w:val="0"/>
                      <w:marBottom w:val="0"/>
                      <w:divBdr>
                        <w:top w:val="none" w:sz="0" w:space="0" w:color="auto"/>
                        <w:left w:val="none" w:sz="0" w:space="0" w:color="auto"/>
                        <w:bottom w:val="none" w:sz="0" w:space="0" w:color="auto"/>
                        <w:right w:val="none" w:sz="0" w:space="0" w:color="auto"/>
                      </w:divBdr>
                    </w:div>
                    <w:div w:id="1812021157">
                      <w:marLeft w:val="0"/>
                      <w:marRight w:val="0"/>
                      <w:marTop w:val="120"/>
                      <w:marBottom w:val="0"/>
                      <w:divBdr>
                        <w:top w:val="none" w:sz="0" w:space="0" w:color="auto"/>
                        <w:left w:val="none" w:sz="0" w:space="0" w:color="auto"/>
                        <w:bottom w:val="none" w:sz="0" w:space="0" w:color="auto"/>
                        <w:right w:val="none" w:sz="0" w:space="0" w:color="auto"/>
                      </w:divBdr>
                    </w:div>
                  </w:divsChild>
                </w:div>
                <w:div w:id="2107263968">
                  <w:marLeft w:val="0"/>
                  <w:marRight w:val="0"/>
                  <w:marTop w:val="0"/>
                  <w:marBottom w:val="0"/>
                  <w:divBdr>
                    <w:top w:val="none" w:sz="0" w:space="0" w:color="auto"/>
                    <w:left w:val="none" w:sz="0" w:space="0" w:color="auto"/>
                    <w:bottom w:val="none" w:sz="0" w:space="0" w:color="auto"/>
                    <w:right w:val="none" w:sz="0" w:space="0" w:color="auto"/>
                  </w:divBdr>
                  <w:divsChild>
                    <w:div w:id="134297617">
                      <w:marLeft w:val="0"/>
                      <w:marRight w:val="0"/>
                      <w:marTop w:val="0"/>
                      <w:marBottom w:val="0"/>
                      <w:divBdr>
                        <w:top w:val="none" w:sz="0" w:space="0" w:color="auto"/>
                        <w:left w:val="none" w:sz="0" w:space="0" w:color="auto"/>
                        <w:bottom w:val="none" w:sz="0" w:space="0" w:color="auto"/>
                        <w:right w:val="none" w:sz="0" w:space="0" w:color="auto"/>
                      </w:divBdr>
                    </w:div>
                    <w:div w:id="1456291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2220892">
          <w:marLeft w:val="0"/>
          <w:marRight w:val="0"/>
          <w:marTop w:val="0"/>
          <w:marBottom w:val="0"/>
          <w:divBdr>
            <w:top w:val="none" w:sz="0" w:space="0" w:color="auto"/>
            <w:left w:val="none" w:sz="0" w:space="0" w:color="auto"/>
            <w:bottom w:val="none" w:sz="0" w:space="0" w:color="auto"/>
            <w:right w:val="none" w:sz="0" w:space="0" w:color="auto"/>
          </w:divBdr>
          <w:divsChild>
            <w:div w:id="72556445">
              <w:marLeft w:val="0"/>
              <w:marRight w:val="0"/>
              <w:marTop w:val="0"/>
              <w:marBottom w:val="0"/>
              <w:divBdr>
                <w:top w:val="none" w:sz="0" w:space="0" w:color="auto"/>
                <w:left w:val="none" w:sz="0" w:space="0" w:color="auto"/>
                <w:bottom w:val="none" w:sz="0" w:space="0" w:color="auto"/>
                <w:right w:val="none" w:sz="0" w:space="0" w:color="auto"/>
              </w:divBdr>
              <w:divsChild>
                <w:div w:id="242760965">
                  <w:marLeft w:val="0"/>
                  <w:marRight w:val="0"/>
                  <w:marTop w:val="0"/>
                  <w:marBottom w:val="0"/>
                  <w:divBdr>
                    <w:top w:val="none" w:sz="0" w:space="0" w:color="auto"/>
                    <w:left w:val="none" w:sz="0" w:space="0" w:color="auto"/>
                    <w:bottom w:val="none" w:sz="0" w:space="0" w:color="auto"/>
                    <w:right w:val="none" w:sz="0" w:space="0" w:color="auto"/>
                  </w:divBdr>
                  <w:divsChild>
                    <w:div w:id="1044213217">
                      <w:marLeft w:val="0"/>
                      <w:marRight w:val="0"/>
                      <w:marTop w:val="120"/>
                      <w:marBottom w:val="0"/>
                      <w:divBdr>
                        <w:top w:val="none" w:sz="0" w:space="0" w:color="auto"/>
                        <w:left w:val="none" w:sz="0" w:space="0" w:color="auto"/>
                        <w:bottom w:val="none" w:sz="0" w:space="0" w:color="auto"/>
                        <w:right w:val="none" w:sz="0" w:space="0" w:color="auto"/>
                      </w:divBdr>
                    </w:div>
                    <w:div w:id="2003196101">
                      <w:marLeft w:val="0"/>
                      <w:marRight w:val="0"/>
                      <w:marTop w:val="0"/>
                      <w:marBottom w:val="0"/>
                      <w:divBdr>
                        <w:top w:val="none" w:sz="0" w:space="0" w:color="auto"/>
                        <w:left w:val="none" w:sz="0" w:space="0" w:color="auto"/>
                        <w:bottom w:val="none" w:sz="0" w:space="0" w:color="auto"/>
                        <w:right w:val="none" w:sz="0" w:space="0" w:color="auto"/>
                      </w:divBdr>
                    </w:div>
                  </w:divsChild>
                </w:div>
                <w:div w:id="1181507996">
                  <w:marLeft w:val="0"/>
                  <w:marRight w:val="0"/>
                  <w:marTop w:val="0"/>
                  <w:marBottom w:val="0"/>
                  <w:divBdr>
                    <w:top w:val="none" w:sz="0" w:space="0" w:color="auto"/>
                    <w:left w:val="none" w:sz="0" w:space="0" w:color="auto"/>
                    <w:bottom w:val="none" w:sz="0" w:space="0" w:color="auto"/>
                    <w:right w:val="none" w:sz="0" w:space="0" w:color="auto"/>
                  </w:divBdr>
                  <w:divsChild>
                    <w:div w:id="140539283">
                      <w:marLeft w:val="0"/>
                      <w:marRight w:val="0"/>
                      <w:marTop w:val="0"/>
                      <w:marBottom w:val="0"/>
                      <w:divBdr>
                        <w:top w:val="none" w:sz="0" w:space="0" w:color="auto"/>
                        <w:left w:val="none" w:sz="0" w:space="0" w:color="auto"/>
                        <w:bottom w:val="none" w:sz="0" w:space="0" w:color="auto"/>
                        <w:right w:val="none" w:sz="0" w:space="0" w:color="auto"/>
                      </w:divBdr>
                    </w:div>
                    <w:div w:id="2057123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2804764">
          <w:marLeft w:val="0"/>
          <w:marRight w:val="0"/>
          <w:marTop w:val="0"/>
          <w:marBottom w:val="0"/>
          <w:divBdr>
            <w:top w:val="none" w:sz="0" w:space="0" w:color="auto"/>
            <w:left w:val="none" w:sz="0" w:space="0" w:color="auto"/>
            <w:bottom w:val="none" w:sz="0" w:space="0" w:color="auto"/>
            <w:right w:val="none" w:sz="0" w:space="0" w:color="auto"/>
          </w:divBdr>
          <w:divsChild>
            <w:div w:id="1464931175">
              <w:marLeft w:val="0"/>
              <w:marRight w:val="0"/>
              <w:marTop w:val="0"/>
              <w:marBottom w:val="0"/>
              <w:divBdr>
                <w:top w:val="none" w:sz="0" w:space="0" w:color="auto"/>
                <w:left w:val="none" w:sz="0" w:space="0" w:color="auto"/>
                <w:bottom w:val="none" w:sz="0" w:space="0" w:color="auto"/>
                <w:right w:val="none" w:sz="0" w:space="0" w:color="auto"/>
              </w:divBdr>
              <w:divsChild>
                <w:div w:id="8875355">
                  <w:marLeft w:val="0"/>
                  <w:marRight w:val="0"/>
                  <w:marTop w:val="0"/>
                  <w:marBottom w:val="0"/>
                  <w:divBdr>
                    <w:top w:val="none" w:sz="0" w:space="0" w:color="auto"/>
                    <w:left w:val="none" w:sz="0" w:space="0" w:color="auto"/>
                    <w:bottom w:val="none" w:sz="0" w:space="0" w:color="auto"/>
                    <w:right w:val="none" w:sz="0" w:space="0" w:color="auto"/>
                  </w:divBdr>
                  <w:divsChild>
                    <w:div w:id="426275141">
                      <w:marLeft w:val="0"/>
                      <w:marRight w:val="0"/>
                      <w:marTop w:val="0"/>
                      <w:marBottom w:val="0"/>
                      <w:divBdr>
                        <w:top w:val="none" w:sz="0" w:space="0" w:color="auto"/>
                        <w:left w:val="none" w:sz="0" w:space="0" w:color="auto"/>
                        <w:bottom w:val="none" w:sz="0" w:space="0" w:color="auto"/>
                        <w:right w:val="none" w:sz="0" w:space="0" w:color="auto"/>
                      </w:divBdr>
                    </w:div>
                    <w:div w:id="1290668550">
                      <w:marLeft w:val="0"/>
                      <w:marRight w:val="0"/>
                      <w:marTop w:val="120"/>
                      <w:marBottom w:val="0"/>
                      <w:divBdr>
                        <w:top w:val="none" w:sz="0" w:space="0" w:color="auto"/>
                        <w:left w:val="none" w:sz="0" w:space="0" w:color="auto"/>
                        <w:bottom w:val="none" w:sz="0" w:space="0" w:color="auto"/>
                        <w:right w:val="none" w:sz="0" w:space="0" w:color="auto"/>
                      </w:divBdr>
                    </w:div>
                  </w:divsChild>
                </w:div>
                <w:div w:id="318265453">
                  <w:marLeft w:val="0"/>
                  <w:marRight w:val="0"/>
                  <w:marTop w:val="0"/>
                  <w:marBottom w:val="0"/>
                  <w:divBdr>
                    <w:top w:val="none" w:sz="0" w:space="0" w:color="auto"/>
                    <w:left w:val="none" w:sz="0" w:space="0" w:color="auto"/>
                    <w:bottom w:val="none" w:sz="0" w:space="0" w:color="auto"/>
                    <w:right w:val="none" w:sz="0" w:space="0" w:color="auto"/>
                  </w:divBdr>
                  <w:divsChild>
                    <w:div w:id="987905242">
                      <w:marLeft w:val="0"/>
                      <w:marRight w:val="0"/>
                      <w:marTop w:val="0"/>
                      <w:marBottom w:val="0"/>
                      <w:divBdr>
                        <w:top w:val="none" w:sz="0" w:space="0" w:color="auto"/>
                        <w:left w:val="none" w:sz="0" w:space="0" w:color="auto"/>
                        <w:bottom w:val="none" w:sz="0" w:space="0" w:color="auto"/>
                        <w:right w:val="none" w:sz="0" w:space="0" w:color="auto"/>
                      </w:divBdr>
                    </w:div>
                    <w:div w:id="1189290708">
                      <w:marLeft w:val="0"/>
                      <w:marRight w:val="0"/>
                      <w:marTop w:val="120"/>
                      <w:marBottom w:val="0"/>
                      <w:divBdr>
                        <w:top w:val="none" w:sz="0" w:space="0" w:color="auto"/>
                        <w:left w:val="none" w:sz="0" w:space="0" w:color="auto"/>
                        <w:bottom w:val="none" w:sz="0" w:space="0" w:color="auto"/>
                        <w:right w:val="none" w:sz="0" w:space="0" w:color="auto"/>
                      </w:divBdr>
                    </w:div>
                  </w:divsChild>
                </w:div>
                <w:div w:id="1147938076">
                  <w:marLeft w:val="0"/>
                  <w:marRight w:val="0"/>
                  <w:marTop w:val="0"/>
                  <w:marBottom w:val="0"/>
                  <w:divBdr>
                    <w:top w:val="none" w:sz="0" w:space="0" w:color="auto"/>
                    <w:left w:val="none" w:sz="0" w:space="0" w:color="auto"/>
                    <w:bottom w:val="none" w:sz="0" w:space="0" w:color="auto"/>
                    <w:right w:val="none" w:sz="0" w:space="0" w:color="auto"/>
                  </w:divBdr>
                  <w:divsChild>
                    <w:div w:id="1128088656">
                      <w:marLeft w:val="0"/>
                      <w:marRight w:val="0"/>
                      <w:marTop w:val="0"/>
                      <w:marBottom w:val="0"/>
                      <w:divBdr>
                        <w:top w:val="none" w:sz="0" w:space="0" w:color="auto"/>
                        <w:left w:val="none" w:sz="0" w:space="0" w:color="auto"/>
                        <w:bottom w:val="none" w:sz="0" w:space="0" w:color="auto"/>
                        <w:right w:val="none" w:sz="0" w:space="0" w:color="auto"/>
                      </w:divBdr>
                    </w:div>
                    <w:div w:id="1932623562">
                      <w:marLeft w:val="0"/>
                      <w:marRight w:val="0"/>
                      <w:marTop w:val="120"/>
                      <w:marBottom w:val="0"/>
                      <w:divBdr>
                        <w:top w:val="none" w:sz="0" w:space="0" w:color="auto"/>
                        <w:left w:val="none" w:sz="0" w:space="0" w:color="auto"/>
                        <w:bottom w:val="none" w:sz="0" w:space="0" w:color="auto"/>
                        <w:right w:val="none" w:sz="0" w:space="0" w:color="auto"/>
                      </w:divBdr>
                    </w:div>
                  </w:divsChild>
                </w:div>
                <w:div w:id="1488981713">
                  <w:marLeft w:val="0"/>
                  <w:marRight w:val="0"/>
                  <w:marTop w:val="0"/>
                  <w:marBottom w:val="0"/>
                  <w:divBdr>
                    <w:top w:val="none" w:sz="0" w:space="0" w:color="auto"/>
                    <w:left w:val="none" w:sz="0" w:space="0" w:color="auto"/>
                    <w:bottom w:val="none" w:sz="0" w:space="0" w:color="auto"/>
                    <w:right w:val="none" w:sz="0" w:space="0" w:color="auto"/>
                  </w:divBdr>
                  <w:divsChild>
                    <w:div w:id="546645097">
                      <w:marLeft w:val="0"/>
                      <w:marRight w:val="0"/>
                      <w:marTop w:val="0"/>
                      <w:marBottom w:val="0"/>
                      <w:divBdr>
                        <w:top w:val="none" w:sz="0" w:space="0" w:color="auto"/>
                        <w:left w:val="none" w:sz="0" w:space="0" w:color="auto"/>
                        <w:bottom w:val="none" w:sz="0" w:space="0" w:color="auto"/>
                        <w:right w:val="none" w:sz="0" w:space="0" w:color="auto"/>
                      </w:divBdr>
                    </w:div>
                    <w:div w:id="1762867882">
                      <w:marLeft w:val="0"/>
                      <w:marRight w:val="0"/>
                      <w:marTop w:val="120"/>
                      <w:marBottom w:val="0"/>
                      <w:divBdr>
                        <w:top w:val="none" w:sz="0" w:space="0" w:color="auto"/>
                        <w:left w:val="none" w:sz="0" w:space="0" w:color="auto"/>
                        <w:bottom w:val="none" w:sz="0" w:space="0" w:color="auto"/>
                        <w:right w:val="none" w:sz="0" w:space="0" w:color="auto"/>
                      </w:divBdr>
                    </w:div>
                  </w:divsChild>
                </w:div>
                <w:div w:id="1836068653">
                  <w:marLeft w:val="0"/>
                  <w:marRight w:val="0"/>
                  <w:marTop w:val="0"/>
                  <w:marBottom w:val="0"/>
                  <w:divBdr>
                    <w:top w:val="none" w:sz="0" w:space="0" w:color="auto"/>
                    <w:left w:val="none" w:sz="0" w:space="0" w:color="auto"/>
                    <w:bottom w:val="none" w:sz="0" w:space="0" w:color="auto"/>
                    <w:right w:val="none" w:sz="0" w:space="0" w:color="auto"/>
                  </w:divBdr>
                  <w:divsChild>
                    <w:div w:id="1772362113">
                      <w:marLeft w:val="0"/>
                      <w:marRight w:val="0"/>
                      <w:marTop w:val="0"/>
                      <w:marBottom w:val="0"/>
                      <w:divBdr>
                        <w:top w:val="none" w:sz="0" w:space="0" w:color="auto"/>
                        <w:left w:val="none" w:sz="0" w:space="0" w:color="auto"/>
                        <w:bottom w:val="none" w:sz="0" w:space="0" w:color="auto"/>
                        <w:right w:val="none" w:sz="0" w:space="0" w:color="auto"/>
                      </w:divBdr>
                    </w:div>
                    <w:div w:id="2009169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2936785">
          <w:marLeft w:val="0"/>
          <w:marRight w:val="0"/>
          <w:marTop w:val="0"/>
          <w:marBottom w:val="0"/>
          <w:divBdr>
            <w:top w:val="none" w:sz="0" w:space="0" w:color="auto"/>
            <w:left w:val="none" w:sz="0" w:space="0" w:color="auto"/>
            <w:bottom w:val="none" w:sz="0" w:space="0" w:color="auto"/>
            <w:right w:val="none" w:sz="0" w:space="0" w:color="auto"/>
          </w:divBdr>
          <w:divsChild>
            <w:div w:id="11931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2201">
      <w:bodyDiv w:val="1"/>
      <w:marLeft w:val="0"/>
      <w:marRight w:val="0"/>
      <w:marTop w:val="0"/>
      <w:marBottom w:val="0"/>
      <w:divBdr>
        <w:top w:val="none" w:sz="0" w:space="0" w:color="auto"/>
        <w:left w:val="none" w:sz="0" w:space="0" w:color="auto"/>
        <w:bottom w:val="none" w:sz="0" w:space="0" w:color="auto"/>
        <w:right w:val="none" w:sz="0" w:space="0" w:color="auto"/>
      </w:divBdr>
    </w:div>
    <w:div w:id="1274510450">
      <w:bodyDiv w:val="1"/>
      <w:marLeft w:val="0"/>
      <w:marRight w:val="0"/>
      <w:marTop w:val="0"/>
      <w:marBottom w:val="0"/>
      <w:divBdr>
        <w:top w:val="none" w:sz="0" w:space="0" w:color="auto"/>
        <w:left w:val="none" w:sz="0" w:space="0" w:color="auto"/>
        <w:bottom w:val="none" w:sz="0" w:space="0" w:color="auto"/>
        <w:right w:val="none" w:sz="0" w:space="0" w:color="auto"/>
      </w:divBdr>
      <w:divsChild>
        <w:div w:id="363136586">
          <w:marLeft w:val="0"/>
          <w:marRight w:val="0"/>
          <w:marTop w:val="0"/>
          <w:marBottom w:val="0"/>
          <w:divBdr>
            <w:top w:val="none" w:sz="0" w:space="0" w:color="auto"/>
            <w:left w:val="none" w:sz="0" w:space="0" w:color="auto"/>
            <w:bottom w:val="none" w:sz="0" w:space="0" w:color="auto"/>
            <w:right w:val="none" w:sz="0" w:space="0" w:color="auto"/>
          </w:divBdr>
        </w:div>
      </w:divsChild>
    </w:div>
    <w:div w:id="1276327903">
      <w:bodyDiv w:val="1"/>
      <w:marLeft w:val="0"/>
      <w:marRight w:val="0"/>
      <w:marTop w:val="0"/>
      <w:marBottom w:val="0"/>
      <w:divBdr>
        <w:top w:val="none" w:sz="0" w:space="0" w:color="auto"/>
        <w:left w:val="none" w:sz="0" w:space="0" w:color="auto"/>
        <w:bottom w:val="none" w:sz="0" w:space="0" w:color="auto"/>
        <w:right w:val="none" w:sz="0" w:space="0" w:color="auto"/>
      </w:divBdr>
      <w:divsChild>
        <w:div w:id="1211531181">
          <w:marLeft w:val="0"/>
          <w:marRight w:val="0"/>
          <w:marTop w:val="0"/>
          <w:marBottom w:val="0"/>
          <w:divBdr>
            <w:top w:val="none" w:sz="0" w:space="0" w:color="auto"/>
            <w:left w:val="none" w:sz="0" w:space="0" w:color="auto"/>
            <w:bottom w:val="none" w:sz="0" w:space="0" w:color="auto"/>
            <w:right w:val="none" w:sz="0" w:space="0" w:color="auto"/>
          </w:divBdr>
          <w:divsChild>
            <w:div w:id="579750933">
              <w:marLeft w:val="0"/>
              <w:marRight w:val="0"/>
              <w:marTop w:val="120"/>
              <w:marBottom w:val="0"/>
              <w:divBdr>
                <w:top w:val="none" w:sz="0" w:space="0" w:color="auto"/>
                <w:left w:val="none" w:sz="0" w:space="0" w:color="auto"/>
                <w:bottom w:val="none" w:sz="0" w:space="0" w:color="auto"/>
                <w:right w:val="none" w:sz="0" w:space="0" w:color="auto"/>
              </w:divBdr>
            </w:div>
            <w:div w:id="1293906427">
              <w:marLeft w:val="0"/>
              <w:marRight w:val="0"/>
              <w:marTop w:val="0"/>
              <w:marBottom w:val="0"/>
              <w:divBdr>
                <w:top w:val="none" w:sz="0" w:space="0" w:color="auto"/>
                <w:left w:val="none" w:sz="0" w:space="0" w:color="auto"/>
                <w:bottom w:val="none" w:sz="0" w:space="0" w:color="auto"/>
                <w:right w:val="none" w:sz="0" w:space="0" w:color="auto"/>
              </w:divBdr>
            </w:div>
          </w:divsChild>
        </w:div>
        <w:div w:id="1719160461">
          <w:marLeft w:val="0"/>
          <w:marRight w:val="0"/>
          <w:marTop w:val="0"/>
          <w:marBottom w:val="0"/>
          <w:divBdr>
            <w:top w:val="none" w:sz="0" w:space="0" w:color="auto"/>
            <w:left w:val="none" w:sz="0" w:space="0" w:color="auto"/>
            <w:bottom w:val="none" w:sz="0" w:space="0" w:color="auto"/>
            <w:right w:val="none" w:sz="0" w:space="0" w:color="auto"/>
          </w:divBdr>
          <w:divsChild>
            <w:div w:id="441153560">
              <w:marLeft w:val="0"/>
              <w:marRight w:val="0"/>
              <w:marTop w:val="0"/>
              <w:marBottom w:val="0"/>
              <w:divBdr>
                <w:top w:val="none" w:sz="0" w:space="0" w:color="auto"/>
                <w:left w:val="none" w:sz="0" w:space="0" w:color="auto"/>
                <w:bottom w:val="none" w:sz="0" w:space="0" w:color="auto"/>
                <w:right w:val="none" w:sz="0" w:space="0" w:color="auto"/>
              </w:divBdr>
            </w:div>
            <w:div w:id="13697253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1304254">
      <w:bodyDiv w:val="1"/>
      <w:marLeft w:val="0"/>
      <w:marRight w:val="0"/>
      <w:marTop w:val="0"/>
      <w:marBottom w:val="0"/>
      <w:divBdr>
        <w:top w:val="none" w:sz="0" w:space="0" w:color="auto"/>
        <w:left w:val="none" w:sz="0" w:space="0" w:color="auto"/>
        <w:bottom w:val="none" w:sz="0" w:space="0" w:color="auto"/>
        <w:right w:val="none" w:sz="0" w:space="0" w:color="auto"/>
      </w:divBdr>
      <w:divsChild>
        <w:div w:id="329455673">
          <w:marLeft w:val="0"/>
          <w:marRight w:val="0"/>
          <w:marTop w:val="0"/>
          <w:marBottom w:val="0"/>
          <w:divBdr>
            <w:top w:val="none" w:sz="0" w:space="0" w:color="auto"/>
            <w:left w:val="none" w:sz="0" w:space="0" w:color="auto"/>
            <w:bottom w:val="none" w:sz="0" w:space="0" w:color="auto"/>
            <w:right w:val="none" w:sz="0" w:space="0" w:color="auto"/>
          </w:divBdr>
        </w:div>
      </w:divsChild>
    </w:div>
    <w:div w:id="1282876338">
      <w:bodyDiv w:val="1"/>
      <w:marLeft w:val="0"/>
      <w:marRight w:val="0"/>
      <w:marTop w:val="0"/>
      <w:marBottom w:val="0"/>
      <w:divBdr>
        <w:top w:val="none" w:sz="0" w:space="0" w:color="auto"/>
        <w:left w:val="none" w:sz="0" w:space="0" w:color="auto"/>
        <w:bottom w:val="none" w:sz="0" w:space="0" w:color="auto"/>
        <w:right w:val="none" w:sz="0" w:space="0" w:color="auto"/>
      </w:divBdr>
      <w:divsChild>
        <w:div w:id="1907450071">
          <w:marLeft w:val="0"/>
          <w:marRight w:val="0"/>
          <w:marTop w:val="0"/>
          <w:marBottom w:val="0"/>
          <w:divBdr>
            <w:top w:val="none" w:sz="0" w:space="0" w:color="auto"/>
            <w:left w:val="none" w:sz="0" w:space="0" w:color="auto"/>
            <w:bottom w:val="none" w:sz="0" w:space="0" w:color="auto"/>
            <w:right w:val="none" w:sz="0" w:space="0" w:color="auto"/>
          </w:divBdr>
        </w:div>
      </w:divsChild>
    </w:div>
    <w:div w:id="1284923459">
      <w:bodyDiv w:val="1"/>
      <w:marLeft w:val="0"/>
      <w:marRight w:val="0"/>
      <w:marTop w:val="0"/>
      <w:marBottom w:val="0"/>
      <w:divBdr>
        <w:top w:val="none" w:sz="0" w:space="0" w:color="auto"/>
        <w:left w:val="none" w:sz="0" w:space="0" w:color="auto"/>
        <w:bottom w:val="none" w:sz="0" w:space="0" w:color="auto"/>
        <w:right w:val="none" w:sz="0" w:space="0" w:color="auto"/>
      </w:divBdr>
    </w:div>
    <w:div w:id="1290355553">
      <w:bodyDiv w:val="1"/>
      <w:marLeft w:val="0"/>
      <w:marRight w:val="0"/>
      <w:marTop w:val="0"/>
      <w:marBottom w:val="0"/>
      <w:divBdr>
        <w:top w:val="none" w:sz="0" w:space="0" w:color="auto"/>
        <w:left w:val="none" w:sz="0" w:space="0" w:color="auto"/>
        <w:bottom w:val="none" w:sz="0" w:space="0" w:color="auto"/>
        <w:right w:val="none" w:sz="0" w:space="0" w:color="auto"/>
      </w:divBdr>
    </w:div>
    <w:div w:id="1295602735">
      <w:bodyDiv w:val="1"/>
      <w:marLeft w:val="0"/>
      <w:marRight w:val="0"/>
      <w:marTop w:val="0"/>
      <w:marBottom w:val="0"/>
      <w:divBdr>
        <w:top w:val="none" w:sz="0" w:space="0" w:color="auto"/>
        <w:left w:val="none" w:sz="0" w:space="0" w:color="auto"/>
        <w:bottom w:val="none" w:sz="0" w:space="0" w:color="auto"/>
        <w:right w:val="none" w:sz="0" w:space="0" w:color="auto"/>
      </w:divBdr>
      <w:divsChild>
        <w:div w:id="595285053">
          <w:marLeft w:val="0"/>
          <w:marRight w:val="0"/>
          <w:marTop w:val="0"/>
          <w:marBottom w:val="0"/>
          <w:divBdr>
            <w:top w:val="none" w:sz="0" w:space="0" w:color="auto"/>
            <w:left w:val="none" w:sz="0" w:space="0" w:color="auto"/>
            <w:bottom w:val="none" w:sz="0" w:space="0" w:color="auto"/>
            <w:right w:val="none" w:sz="0" w:space="0" w:color="auto"/>
          </w:divBdr>
          <w:divsChild>
            <w:div w:id="1731732290">
              <w:marLeft w:val="0"/>
              <w:marRight w:val="0"/>
              <w:marTop w:val="0"/>
              <w:marBottom w:val="0"/>
              <w:divBdr>
                <w:top w:val="none" w:sz="0" w:space="0" w:color="auto"/>
                <w:left w:val="none" w:sz="0" w:space="0" w:color="auto"/>
                <w:bottom w:val="none" w:sz="0" w:space="0" w:color="auto"/>
                <w:right w:val="none" w:sz="0" w:space="0" w:color="auto"/>
              </w:divBdr>
            </w:div>
          </w:divsChild>
        </w:div>
        <w:div w:id="656690585">
          <w:marLeft w:val="0"/>
          <w:marRight w:val="0"/>
          <w:marTop w:val="0"/>
          <w:marBottom w:val="0"/>
          <w:divBdr>
            <w:top w:val="none" w:sz="0" w:space="0" w:color="auto"/>
            <w:left w:val="none" w:sz="0" w:space="0" w:color="auto"/>
            <w:bottom w:val="none" w:sz="0" w:space="0" w:color="auto"/>
            <w:right w:val="none" w:sz="0" w:space="0" w:color="auto"/>
          </w:divBdr>
          <w:divsChild>
            <w:div w:id="630672434">
              <w:marLeft w:val="0"/>
              <w:marRight w:val="0"/>
              <w:marTop w:val="0"/>
              <w:marBottom w:val="0"/>
              <w:divBdr>
                <w:top w:val="none" w:sz="0" w:space="0" w:color="auto"/>
                <w:left w:val="none" w:sz="0" w:space="0" w:color="auto"/>
                <w:bottom w:val="none" w:sz="0" w:space="0" w:color="auto"/>
                <w:right w:val="none" w:sz="0" w:space="0" w:color="auto"/>
              </w:divBdr>
              <w:divsChild>
                <w:div w:id="180514371">
                  <w:marLeft w:val="0"/>
                  <w:marRight w:val="0"/>
                  <w:marTop w:val="0"/>
                  <w:marBottom w:val="0"/>
                  <w:divBdr>
                    <w:top w:val="none" w:sz="0" w:space="0" w:color="auto"/>
                    <w:left w:val="none" w:sz="0" w:space="0" w:color="auto"/>
                    <w:bottom w:val="none" w:sz="0" w:space="0" w:color="auto"/>
                    <w:right w:val="none" w:sz="0" w:space="0" w:color="auto"/>
                  </w:divBdr>
                  <w:divsChild>
                    <w:div w:id="383988720">
                      <w:marLeft w:val="0"/>
                      <w:marRight w:val="0"/>
                      <w:marTop w:val="0"/>
                      <w:marBottom w:val="0"/>
                      <w:divBdr>
                        <w:top w:val="none" w:sz="0" w:space="0" w:color="auto"/>
                        <w:left w:val="none" w:sz="0" w:space="0" w:color="auto"/>
                        <w:bottom w:val="none" w:sz="0" w:space="0" w:color="auto"/>
                        <w:right w:val="none" w:sz="0" w:space="0" w:color="auto"/>
                      </w:divBdr>
                    </w:div>
                    <w:div w:id="936982282">
                      <w:marLeft w:val="0"/>
                      <w:marRight w:val="0"/>
                      <w:marTop w:val="120"/>
                      <w:marBottom w:val="0"/>
                      <w:divBdr>
                        <w:top w:val="none" w:sz="0" w:space="0" w:color="auto"/>
                        <w:left w:val="none" w:sz="0" w:space="0" w:color="auto"/>
                        <w:bottom w:val="none" w:sz="0" w:space="0" w:color="auto"/>
                        <w:right w:val="none" w:sz="0" w:space="0" w:color="auto"/>
                      </w:divBdr>
                    </w:div>
                  </w:divsChild>
                </w:div>
                <w:div w:id="252667047">
                  <w:marLeft w:val="0"/>
                  <w:marRight w:val="0"/>
                  <w:marTop w:val="0"/>
                  <w:marBottom w:val="0"/>
                  <w:divBdr>
                    <w:top w:val="none" w:sz="0" w:space="0" w:color="auto"/>
                    <w:left w:val="none" w:sz="0" w:space="0" w:color="auto"/>
                    <w:bottom w:val="none" w:sz="0" w:space="0" w:color="auto"/>
                    <w:right w:val="none" w:sz="0" w:space="0" w:color="auto"/>
                  </w:divBdr>
                  <w:divsChild>
                    <w:div w:id="357046515">
                      <w:marLeft w:val="0"/>
                      <w:marRight w:val="0"/>
                      <w:marTop w:val="120"/>
                      <w:marBottom w:val="0"/>
                      <w:divBdr>
                        <w:top w:val="none" w:sz="0" w:space="0" w:color="auto"/>
                        <w:left w:val="none" w:sz="0" w:space="0" w:color="auto"/>
                        <w:bottom w:val="none" w:sz="0" w:space="0" w:color="auto"/>
                        <w:right w:val="none" w:sz="0" w:space="0" w:color="auto"/>
                      </w:divBdr>
                    </w:div>
                    <w:div w:id="894394058">
                      <w:marLeft w:val="0"/>
                      <w:marRight w:val="0"/>
                      <w:marTop w:val="0"/>
                      <w:marBottom w:val="0"/>
                      <w:divBdr>
                        <w:top w:val="none" w:sz="0" w:space="0" w:color="auto"/>
                        <w:left w:val="none" w:sz="0" w:space="0" w:color="auto"/>
                        <w:bottom w:val="none" w:sz="0" w:space="0" w:color="auto"/>
                        <w:right w:val="none" w:sz="0" w:space="0" w:color="auto"/>
                      </w:divBdr>
                    </w:div>
                  </w:divsChild>
                </w:div>
                <w:div w:id="742336786">
                  <w:marLeft w:val="0"/>
                  <w:marRight w:val="0"/>
                  <w:marTop w:val="0"/>
                  <w:marBottom w:val="0"/>
                  <w:divBdr>
                    <w:top w:val="none" w:sz="0" w:space="0" w:color="auto"/>
                    <w:left w:val="none" w:sz="0" w:space="0" w:color="auto"/>
                    <w:bottom w:val="none" w:sz="0" w:space="0" w:color="auto"/>
                    <w:right w:val="none" w:sz="0" w:space="0" w:color="auto"/>
                  </w:divBdr>
                  <w:divsChild>
                    <w:div w:id="116148211">
                      <w:marLeft w:val="0"/>
                      <w:marRight w:val="0"/>
                      <w:marTop w:val="120"/>
                      <w:marBottom w:val="0"/>
                      <w:divBdr>
                        <w:top w:val="none" w:sz="0" w:space="0" w:color="auto"/>
                        <w:left w:val="none" w:sz="0" w:space="0" w:color="auto"/>
                        <w:bottom w:val="none" w:sz="0" w:space="0" w:color="auto"/>
                        <w:right w:val="none" w:sz="0" w:space="0" w:color="auto"/>
                      </w:divBdr>
                    </w:div>
                    <w:div w:id="1645231113">
                      <w:marLeft w:val="0"/>
                      <w:marRight w:val="0"/>
                      <w:marTop w:val="0"/>
                      <w:marBottom w:val="0"/>
                      <w:divBdr>
                        <w:top w:val="none" w:sz="0" w:space="0" w:color="auto"/>
                        <w:left w:val="none" w:sz="0" w:space="0" w:color="auto"/>
                        <w:bottom w:val="none" w:sz="0" w:space="0" w:color="auto"/>
                        <w:right w:val="none" w:sz="0" w:space="0" w:color="auto"/>
                      </w:divBdr>
                    </w:div>
                  </w:divsChild>
                </w:div>
                <w:div w:id="1020818941">
                  <w:marLeft w:val="0"/>
                  <w:marRight w:val="0"/>
                  <w:marTop w:val="0"/>
                  <w:marBottom w:val="0"/>
                  <w:divBdr>
                    <w:top w:val="none" w:sz="0" w:space="0" w:color="auto"/>
                    <w:left w:val="none" w:sz="0" w:space="0" w:color="auto"/>
                    <w:bottom w:val="none" w:sz="0" w:space="0" w:color="auto"/>
                    <w:right w:val="none" w:sz="0" w:space="0" w:color="auto"/>
                  </w:divBdr>
                  <w:divsChild>
                    <w:div w:id="78643672">
                      <w:marLeft w:val="0"/>
                      <w:marRight w:val="0"/>
                      <w:marTop w:val="0"/>
                      <w:marBottom w:val="0"/>
                      <w:divBdr>
                        <w:top w:val="none" w:sz="0" w:space="0" w:color="auto"/>
                        <w:left w:val="none" w:sz="0" w:space="0" w:color="auto"/>
                        <w:bottom w:val="none" w:sz="0" w:space="0" w:color="auto"/>
                        <w:right w:val="none" w:sz="0" w:space="0" w:color="auto"/>
                      </w:divBdr>
                    </w:div>
                    <w:div w:id="123081389">
                      <w:marLeft w:val="0"/>
                      <w:marRight w:val="0"/>
                      <w:marTop w:val="120"/>
                      <w:marBottom w:val="0"/>
                      <w:divBdr>
                        <w:top w:val="none" w:sz="0" w:space="0" w:color="auto"/>
                        <w:left w:val="none" w:sz="0" w:space="0" w:color="auto"/>
                        <w:bottom w:val="none" w:sz="0" w:space="0" w:color="auto"/>
                        <w:right w:val="none" w:sz="0" w:space="0" w:color="auto"/>
                      </w:divBdr>
                    </w:div>
                  </w:divsChild>
                </w:div>
                <w:div w:id="1473867758">
                  <w:marLeft w:val="0"/>
                  <w:marRight w:val="0"/>
                  <w:marTop w:val="0"/>
                  <w:marBottom w:val="0"/>
                  <w:divBdr>
                    <w:top w:val="none" w:sz="0" w:space="0" w:color="auto"/>
                    <w:left w:val="none" w:sz="0" w:space="0" w:color="auto"/>
                    <w:bottom w:val="none" w:sz="0" w:space="0" w:color="auto"/>
                    <w:right w:val="none" w:sz="0" w:space="0" w:color="auto"/>
                  </w:divBdr>
                  <w:divsChild>
                    <w:div w:id="375735210">
                      <w:marLeft w:val="0"/>
                      <w:marRight w:val="0"/>
                      <w:marTop w:val="120"/>
                      <w:marBottom w:val="0"/>
                      <w:divBdr>
                        <w:top w:val="none" w:sz="0" w:space="0" w:color="auto"/>
                        <w:left w:val="none" w:sz="0" w:space="0" w:color="auto"/>
                        <w:bottom w:val="none" w:sz="0" w:space="0" w:color="auto"/>
                        <w:right w:val="none" w:sz="0" w:space="0" w:color="auto"/>
                      </w:divBdr>
                    </w:div>
                    <w:div w:id="1943955085">
                      <w:marLeft w:val="0"/>
                      <w:marRight w:val="0"/>
                      <w:marTop w:val="0"/>
                      <w:marBottom w:val="0"/>
                      <w:divBdr>
                        <w:top w:val="none" w:sz="0" w:space="0" w:color="auto"/>
                        <w:left w:val="none" w:sz="0" w:space="0" w:color="auto"/>
                        <w:bottom w:val="none" w:sz="0" w:space="0" w:color="auto"/>
                        <w:right w:val="none" w:sz="0" w:space="0" w:color="auto"/>
                      </w:divBdr>
                      <w:divsChild>
                        <w:div w:id="456489246">
                          <w:marLeft w:val="0"/>
                          <w:marRight w:val="0"/>
                          <w:marTop w:val="0"/>
                          <w:marBottom w:val="0"/>
                          <w:divBdr>
                            <w:top w:val="none" w:sz="0" w:space="0" w:color="auto"/>
                            <w:left w:val="none" w:sz="0" w:space="0" w:color="auto"/>
                            <w:bottom w:val="none" w:sz="0" w:space="0" w:color="auto"/>
                            <w:right w:val="none" w:sz="0" w:space="0" w:color="auto"/>
                          </w:divBdr>
                          <w:divsChild>
                            <w:div w:id="318776737">
                              <w:marLeft w:val="0"/>
                              <w:marRight w:val="0"/>
                              <w:marTop w:val="0"/>
                              <w:marBottom w:val="0"/>
                              <w:divBdr>
                                <w:top w:val="none" w:sz="0" w:space="0" w:color="auto"/>
                                <w:left w:val="none" w:sz="0" w:space="0" w:color="auto"/>
                                <w:bottom w:val="none" w:sz="0" w:space="0" w:color="auto"/>
                                <w:right w:val="none" w:sz="0" w:space="0" w:color="auto"/>
                              </w:divBdr>
                            </w:div>
                            <w:div w:id="1618873849">
                              <w:marLeft w:val="0"/>
                              <w:marRight w:val="0"/>
                              <w:marTop w:val="120"/>
                              <w:marBottom w:val="0"/>
                              <w:divBdr>
                                <w:top w:val="none" w:sz="0" w:space="0" w:color="auto"/>
                                <w:left w:val="none" w:sz="0" w:space="0" w:color="auto"/>
                                <w:bottom w:val="none" w:sz="0" w:space="0" w:color="auto"/>
                                <w:right w:val="none" w:sz="0" w:space="0" w:color="auto"/>
                              </w:divBdr>
                            </w:div>
                          </w:divsChild>
                        </w:div>
                        <w:div w:id="464739264">
                          <w:marLeft w:val="0"/>
                          <w:marRight w:val="0"/>
                          <w:marTop w:val="0"/>
                          <w:marBottom w:val="0"/>
                          <w:divBdr>
                            <w:top w:val="none" w:sz="0" w:space="0" w:color="auto"/>
                            <w:left w:val="none" w:sz="0" w:space="0" w:color="auto"/>
                            <w:bottom w:val="none" w:sz="0" w:space="0" w:color="auto"/>
                            <w:right w:val="none" w:sz="0" w:space="0" w:color="auto"/>
                          </w:divBdr>
                          <w:divsChild>
                            <w:div w:id="312834448">
                              <w:marLeft w:val="0"/>
                              <w:marRight w:val="0"/>
                              <w:marTop w:val="120"/>
                              <w:marBottom w:val="0"/>
                              <w:divBdr>
                                <w:top w:val="none" w:sz="0" w:space="0" w:color="auto"/>
                                <w:left w:val="none" w:sz="0" w:space="0" w:color="auto"/>
                                <w:bottom w:val="none" w:sz="0" w:space="0" w:color="auto"/>
                                <w:right w:val="none" w:sz="0" w:space="0" w:color="auto"/>
                              </w:divBdr>
                            </w:div>
                            <w:div w:id="1151605219">
                              <w:marLeft w:val="0"/>
                              <w:marRight w:val="0"/>
                              <w:marTop w:val="0"/>
                              <w:marBottom w:val="0"/>
                              <w:divBdr>
                                <w:top w:val="none" w:sz="0" w:space="0" w:color="auto"/>
                                <w:left w:val="none" w:sz="0" w:space="0" w:color="auto"/>
                                <w:bottom w:val="none" w:sz="0" w:space="0" w:color="auto"/>
                                <w:right w:val="none" w:sz="0" w:space="0" w:color="auto"/>
                              </w:divBdr>
                            </w:div>
                          </w:divsChild>
                        </w:div>
                        <w:div w:id="1558317656">
                          <w:marLeft w:val="0"/>
                          <w:marRight w:val="0"/>
                          <w:marTop w:val="0"/>
                          <w:marBottom w:val="0"/>
                          <w:divBdr>
                            <w:top w:val="none" w:sz="0" w:space="0" w:color="auto"/>
                            <w:left w:val="none" w:sz="0" w:space="0" w:color="auto"/>
                            <w:bottom w:val="none" w:sz="0" w:space="0" w:color="auto"/>
                            <w:right w:val="none" w:sz="0" w:space="0" w:color="auto"/>
                          </w:divBdr>
                          <w:divsChild>
                            <w:div w:id="1650524252">
                              <w:marLeft w:val="0"/>
                              <w:marRight w:val="0"/>
                              <w:marTop w:val="0"/>
                              <w:marBottom w:val="0"/>
                              <w:divBdr>
                                <w:top w:val="none" w:sz="0" w:space="0" w:color="auto"/>
                                <w:left w:val="none" w:sz="0" w:space="0" w:color="auto"/>
                                <w:bottom w:val="none" w:sz="0" w:space="0" w:color="auto"/>
                                <w:right w:val="none" w:sz="0" w:space="0" w:color="auto"/>
                              </w:divBdr>
                            </w:div>
                            <w:div w:id="1763646362">
                              <w:marLeft w:val="0"/>
                              <w:marRight w:val="0"/>
                              <w:marTop w:val="120"/>
                              <w:marBottom w:val="0"/>
                              <w:divBdr>
                                <w:top w:val="none" w:sz="0" w:space="0" w:color="auto"/>
                                <w:left w:val="none" w:sz="0" w:space="0" w:color="auto"/>
                                <w:bottom w:val="none" w:sz="0" w:space="0" w:color="auto"/>
                                <w:right w:val="none" w:sz="0" w:space="0" w:color="auto"/>
                              </w:divBdr>
                            </w:div>
                          </w:divsChild>
                        </w:div>
                        <w:div w:id="1886067448">
                          <w:marLeft w:val="0"/>
                          <w:marRight w:val="0"/>
                          <w:marTop w:val="0"/>
                          <w:marBottom w:val="0"/>
                          <w:divBdr>
                            <w:top w:val="none" w:sz="0" w:space="0" w:color="auto"/>
                            <w:left w:val="none" w:sz="0" w:space="0" w:color="auto"/>
                            <w:bottom w:val="none" w:sz="0" w:space="0" w:color="auto"/>
                            <w:right w:val="none" w:sz="0" w:space="0" w:color="auto"/>
                          </w:divBdr>
                          <w:divsChild>
                            <w:div w:id="822085158">
                              <w:marLeft w:val="0"/>
                              <w:marRight w:val="0"/>
                              <w:marTop w:val="120"/>
                              <w:marBottom w:val="0"/>
                              <w:divBdr>
                                <w:top w:val="none" w:sz="0" w:space="0" w:color="auto"/>
                                <w:left w:val="none" w:sz="0" w:space="0" w:color="auto"/>
                                <w:bottom w:val="none" w:sz="0" w:space="0" w:color="auto"/>
                                <w:right w:val="none" w:sz="0" w:space="0" w:color="auto"/>
                              </w:divBdr>
                            </w:div>
                            <w:div w:id="1985961143">
                              <w:marLeft w:val="0"/>
                              <w:marRight w:val="0"/>
                              <w:marTop w:val="0"/>
                              <w:marBottom w:val="0"/>
                              <w:divBdr>
                                <w:top w:val="none" w:sz="0" w:space="0" w:color="auto"/>
                                <w:left w:val="none" w:sz="0" w:space="0" w:color="auto"/>
                                <w:bottom w:val="none" w:sz="0" w:space="0" w:color="auto"/>
                                <w:right w:val="none" w:sz="0" w:space="0" w:color="auto"/>
                              </w:divBdr>
                            </w:div>
                          </w:divsChild>
                        </w:div>
                        <w:div w:id="2032104927">
                          <w:marLeft w:val="0"/>
                          <w:marRight w:val="0"/>
                          <w:marTop w:val="0"/>
                          <w:marBottom w:val="0"/>
                          <w:divBdr>
                            <w:top w:val="none" w:sz="0" w:space="0" w:color="auto"/>
                            <w:left w:val="none" w:sz="0" w:space="0" w:color="auto"/>
                            <w:bottom w:val="none" w:sz="0" w:space="0" w:color="auto"/>
                            <w:right w:val="none" w:sz="0" w:space="0" w:color="auto"/>
                          </w:divBdr>
                          <w:divsChild>
                            <w:div w:id="464852496">
                              <w:marLeft w:val="0"/>
                              <w:marRight w:val="0"/>
                              <w:marTop w:val="120"/>
                              <w:marBottom w:val="0"/>
                              <w:divBdr>
                                <w:top w:val="none" w:sz="0" w:space="0" w:color="auto"/>
                                <w:left w:val="none" w:sz="0" w:space="0" w:color="auto"/>
                                <w:bottom w:val="none" w:sz="0" w:space="0" w:color="auto"/>
                                <w:right w:val="none" w:sz="0" w:space="0" w:color="auto"/>
                              </w:divBdr>
                            </w:div>
                            <w:div w:id="17760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91089">
                  <w:marLeft w:val="0"/>
                  <w:marRight w:val="0"/>
                  <w:marTop w:val="0"/>
                  <w:marBottom w:val="0"/>
                  <w:divBdr>
                    <w:top w:val="none" w:sz="0" w:space="0" w:color="auto"/>
                    <w:left w:val="none" w:sz="0" w:space="0" w:color="auto"/>
                    <w:bottom w:val="none" w:sz="0" w:space="0" w:color="auto"/>
                    <w:right w:val="none" w:sz="0" w:space="0" w:color="auto"/>
                  </w:divBdr>
                  <w:divsChild>
                    <w:div w:id="663819674">
                      <w:marLeft w:val="0"/>
                      <w:marRight w:val="0"/>
                      <w:marTop w:val="120"/>
                      <w:marBottom w:val="0"/>
                      <w:divBdr>
                        <w:top w:val="none" w:sz="0" w:space="0" w:color="auto"/>
                        <w:left w:val="none" w:sz="0" w:space="0" w:color="auto"/>
                        <w:bottom w:val="none" w:sz="0" w:space="0" w:color="auto"/>
                        <w:right w:val="none" w:sz="0" w:space="0" w:color="auto"/>
                      </w:divBdr>
                    </w:div>
                    <w:div w:id="9804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2055">
          <w:marLeft w:val="0"/>
          <w:marRight w:val="0"/>
          <w:marTop w:val="0"/>
          <w:marBottom w:val="0"/>
          <w:divBdr>
            <w:top w:val="none" w:sz="0" w:space="0" w:color="auto"/>
            <w:left w:val="none" w:sz="0" w:space="0" w:color="auto"/>
            <w:bottom w:val="none" w:sz="0" w:space="0" w:color="auto"/>
            <w:right w:val="none" w:sz="0" w:space="0" w:color="auto"/>
          </w:divBdr>
          <w:divsChild>
            <w:div w:id="821044898">
              <w:marLeft w:val="0"/>
              <w:marRight w:val="0"/>
              <w:marTop w:val="0"/>
              <w:marBottom w:val="0"/>
              <w:divBdr>
                <w:top w:val="none" w:sz="0" w:space="0" w:color="auto"/>
                <w:left w:val="none" w:sz="0" w:space="0" w:color="auto"/>
                <w:bottom w:val="none" w:sz="0" w:space="0" w:color="auto"/>
                <w:right w:val="none" w:sz="0" w:space="0" w:color="auto"/>
              </w:divBdr>
              <w:divsChild>
                <w:div w:id="1558081399">
                  <w:marLeft w:val="0"/>
                  <w:marRight w:val="0"/>
                  <w:marTop w:val="0"/>
                  <w:marBottom w:val="0"/>
                  <w:divBdr>
                    <w:top w:val="none" w:sz="0" w:space="0" w:color="auto"/>
                    <w:left w:val="none" w:sz="0" w:space="0" w:color="auto"/>
                    <w:bottom w:val="none" w:sz="0" w:space="0" w:color="auto"/>
                    <w:right w:val="none" w:sz="0" w:space="0" w:color="auto"/>
                  </w:divBdr>
                  <w:divsChild>
                    <w:div w:id="2011057273">
                      <w:marLeft w:val="0"/>
                      <w:marRight w:val="0"/>
                      <w:marTop w:val="0"/>
                      <w:marBottom w:val="0"/>
                      <w:divBdr>
                        <w:top w:val="none" w:sz="0" w:space="0" w:color="auto"/>
                        <w:left w:val="none" w:sz="0" w:space="0" w:color="auto"/>
                        <w:bottom w:val="none" w:sz="0" w:space="0" w:color="auto"/>
                        <w:right w:val="none" w:sz="0" w:space="0" w:color="auto"/>
                      </w:divBdr>
                    </w:div>
                    <w:div w:id="2061051409">
                      <w:marLeft w:val="0"/>
                      <w:marRight w:val="0"/>
                      <w:marTop w:val="120"/>
                      <w:marBottom w:val="0"/>
                      <w:divBdr>
                        <w:top w:val="none" w:sz="0" w:space="0" w:color="auto"/>
                        <w:left w:val="none" w:sz="0" w:space="0" w:color="auto"/>
                        <w:bottom w:val="none" w:sz="0" w:space="0" w:color="auto"/>
                        <w:right w:val="none" w:sz="0" w:space="0" w:color="auto"/>
                      </w:divBdr>
                    </w:div>
                  </w:divsChild>
                </w:div>
                <w:div w:id="2109539500">
                  <w:marLeft w:val="0"/>
                  <w:marRight w:val="0"/>
                  <w:marTop w:val="0"/>
                  <w:marBottom w:val="0"/>
                  <w:divBdr>
                    <w:top w:val="none" w:sz="0" w:space="0" w:color="auto"/>
                    <w:left w:val="none" w:sz="0" w:space="0" w:color="auto"/>
                    <w:bottom w:val="none" w:sz="0" w:space="0" w:color="auto"/>
                    <w:right w:val="none" w:sz="0" w:space="0" w:color="auto"/>
                  </w:divBdr>
                  <w:divsChild>
                    <w:div w:id="891696555">
                      <w:marLeft w:val="0"/>
                      <w:marRight w:val="0"/>
                      <w:marTop w:val="0"/>
                      <w:marBottom w:val="0"/>
                      <w:divBdr>
                        <w:top w:val="none" w:sz="0" w:space="0" w:color="auto"/>
                        <w:left w:val="none" w:sz="0" w:space="0" w:color="auto"/>
                        <w:bottom w:val="none" w:sz="0" w:space="0" w:color="auto"/>
                        <w:right w:val="none" w:sz="0" w:space="0" w:color="auto"/>
                      </w:divBdr>
                    </w:div>
                    <w:div w:id="1592347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7971652">
      <w:bodyDiv w:val="1"/>
      <w:marLeft w:val="0"/>
      <w:marRight w:val="0"/>
      <w:marTop w:val="0"/>
      <w:marBottom w:val="0"/>
      <w:divBdr>
        <w:top w:val="none" w:sz="0" w:space="0" w:color="auto"/>
        <w:left w:val="none" w:sz="0" w:space="0" w:color="auto"/>
        <w:bottom w:val="none" w:sz="0" w:space="0" w:color="auto"/>
        <w:right w:val="none" w:sz="0" w:space="0" w:color="auto"/>
      </w:divBdr>
    </w:div>
    <w:div w:id="1309480548">
      <w:bodyDiv w:val="1"/>
      <w:marLeft w:val="0"/>
      <w:marRight w:val="0"/>
      <w:marTop w:val="0"/>
      <w:marBottom w:val="0"/>
      <w:divBdr>
        <w:top w:val="none" w:sz="0" w:space="0" w:color="auto"/>
        <w:left w:val="none" w:sz="0" w:space="0" w:color="auto"/>
        <w:bottom w:val="none" w:sz="0" w:space="0" w:color="auto"/>
        <w:right w:val="none" w:sz="0" w:space="0" w:color="auto"/>
      </w:divBdr>
      <w:divsChild>
        <w:div w:id="1059093961">
          <w:marLeft w:val="0"/>
          <w:marRight w:val="0"/>
          <w:marTop w:val="0"/>
          <w:marBottom w:val="0"/>
          <w:divBdr>
            <w:top w:val="none" w:sz="0" w:space="0" w:color="auto"/>
            <w:left w:val="none" w:sz="0" w:space="0" w:color="auto"/>
            <w:bottom w:val="none" w:sz="0" w:space="0" w:color="auto"/>
            <w:right w:val="none" w:sz="0" w:space="0" w:color="auto"/>
          </w:divBdr>
          <w:divsChild>
            <w:div w:id="545947542">
              <w:marLeft w:val="0"/>
              <w:marRight w:val="0"/>
              <w:marTop w:val="0"/>
              <w:marBottom w:val="0"/>
              <w:divBdr>
                <w:top w:val="none" w:sz="0" w:space="0" w:color="auto"/>
                <w:left w:val="none" w:sz="0" w:space="0" w:color="auto"/>
                <w:bottom w:val="none" w:sz="0" w:space="0" w:color="auto"/>
                <w:right w:val="none" w:sz="0" w:space="0" w:color="auto"/>
              </w:divBdr>
            </w:div>
          </w:divsChild>
        </w:div>
        <w:div w:id="1314524838">
          <w:marLeft w:val="0"/>
          <w:marRight w:val="0"/>
          <w:marTop w:val="0"/>
          <w:marBottom w:val="0"/>
          <w:divBdr>
            <w:top w:val="none" w:sz="0" w:space="0" w:color="auto"/>
            <w:left w:val="none" w:sz="0" w:space="0" w:color="auto"/>
            <w:bottom w:val="none" w:sz="0" w:space="0" w:color="auto"/>
            <w:right w:val="none" w:sz="0" w:space="0" w:color="auto"/>
          </w:divBdr>
          <w:divsChild>
            <w:div w:id="1572960947">
              <w:marLeft w:val="0"/>
              <w:marRight w:val="0"/>
              <w:marTop w:val="0"/>
              <w:marBottom w:val="0"/>
              <w:divBdr>
                <w:top w:val="none" w:sz="0" w:space="0" w:color="auto"/>
                <w:left w:val="none" w:sz="0" w:space="0" w:color="auto"/>
                <w:bottom w:val="none" w:sz="0" w:space="0" w:color="auto"/>
                <w:right w:val="none" w:sz="0" w:space="0" w:color="auto"/>
              </w:divBdr>
            </w:div>
          </w:divsChild>
        </w:div>
        <w:div w:id="1529105342">
          <w:marLeft w:val="0"/>
          <w:marRight w:val="0"/>
          <w:marTop w:val="0"/>
          <w:marBottom w:val="0"/>
          <w:divBdr>
            <w:top w:val="none" w:sz="0" w:space="0" w:color="auto"/>
            <w:left w:val="none" w:sz="0" w:space="0" w:color="auto"/>
            <w:bottom w:val="none" w:sz="0" w:space="0" w:color="auto"/>
            <w:right w:val="none" w:sz="0" w:space="0" w:color="auto"/>
          </w:divBdr>
          <w:divsChild>
            <w:div w:id="1049495858">
              <w:marLeft w:val="0"/>
              <w:marRight w:val="0"/>
              <w:marTop w:val="0"/>
              <w:marBottom w:val="0"/>
              <w:divBdr>
                <w:top w:val="none" w:sz="0" w:space="0" w:color="auto"/>
                <w:left w:val="none" w:sz="0" w:space="0" w:color="auto"/>
                <w:bottom w:val="none" w:sz="0" w:space="0" w:color="auto"/>
                <w:right w:val="none" w:sz="0" w:space="0" w:color="auto"/>
              </w:divBdr>
            </w:div>
          </w:divsChild>
        </w:div>
        <w:div w:id="2048872054">
          <w:marLeft w:val="0"/>
          <w:marRight w:val="0"/>
          <w:marTop w:val="0"/>
          <w:marBottom w:val="0"/>
          <w:divBdr>
            <w:top w:val="none" w:sz="0" w:space="0" w:color="auto"/>
            <w:left w:val="none" w:sz="0" w:space="0" w:color="auto"/>
            <w:bottom w:val="none" w:sz="0" w:space="0" w:color="auto"/>
            <w:right w:val="none" w:sz="0" w:space="0" w:color="auto"/>
          </w:divBdr>
          <w:divsChild>
            <w:div w:id="19370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3394">
      <w:bodyDiv w:val="1"/>
      <w:marLeft w:val="0"/>
      <w:marRight w:val="0"/>
      <w:marTop w:val="0"/>
      <w:marBottom w:val="0"/>
      <w:divBdr>
        <w:top w:val="none" w:sz="0" w:space="0" w:color="auto"/>
        <w:left w:val="none" w:sz="0" w:space="0" w:color="auto"/>
        <w:bottom w:val="none" w:sz="0" w:space="0" w:color="auto"/>
        <w:right w:val="none" w:sz="0" w:space="0" w:color="auto"/>
      </w:divBdr>
    </w:div>
    <w:div w:id="1323241589">
      <w:bodyDiv w:val="1"/>
      <w:marLeft w:val="0"/>
      <w:marRight w:val="0"/>
      <w:marTop w:val="0"/>
      <w:marBottom w:val="0"/>
      <w:divBdr>
        <w:top w:val="none" w:sz="0" w:space="0" w:color="auto"/>
        <w:left w:val="none" w:sz="0" w:space="0" w:color="auto"/>
        <w:bottom w:val="none" w:sz="0" w:space="0" w:color="auto"/>
        <w:right w:val="none" w:sz="0" w:space="0" w:color="auto"/>
      </w:divBdr>
    </w:div>
    <w:div w:id="1344671142">
      <w:bodyDiv w:val="1"/>
      <w:marLeft w:val="0"/>
      <w:marRight w:val="0"/>
      <w:marTop w:val="0"/>
      <w:marBottom w:val="0"/>
      <w:divBdr>
        <w:top w:val="none" w:sz="0" w:space="0" w:color="auto"/>
        <w:left w:val="none" w:sz="0" w:space="0" w:color="auto"/>
        <w:bottom w:val="none" w:sz="0" w:space="0" w:color="auto"/>
        <w:right w:val="none" w:sz="0" w:space="0" w:color="auto"/>
      </w:divBdr>
      <w:divsChild>
        <w:div w:id="1442527268">
          <w:marLeft w:val="0"/>
          <w:marRight w:val="0"/>
          <w:marTop w:val="0"/>
          <w:marBottom w:val="0"/>
          <w:divBdr>
            <w:top w:val="none" w:sz="0" w:space="0" w:color="auto"/>
            <w:left w:val="none" w:sz="0" w:space="0" w:color="auto"/>
            <w:bottom w:val="none" w:sz="0" w:space="0" w:color="auto"/>
            <w:right w:val="none" w:sz="0" w:space="0" w:color="auto"/>
          </w:divBdr>
          <w:divsChild>
            <w:div w:id="1035084551">
              <w:marLeft w:val="0"/>
              <w:marRight w:val="0"/>
              <w:marTop w:val="0"/>
              <w:marBottom w:val="0"/>
              <w:divBdr>
                <w:top w:val="none" w:sz="0" w:space="0" w:color="auto"/>
                <w:left w:val="none" w:sz="0" w:space="0" w:color="auto"/>
                <w:bottom w:val="none" w:sz="0" w:space="0" w:color="auto"/>
                <w:right w:val="none" w:sz="0" w:space="0" w:color="auto"/>
              </w:divBdr>
              <w:divsChild>
                <w:div w:id="910240414">
                  <w:marLeft w:val="0"/>
                  <w:marRight w:val="0"/>
                  <w:marTop w:val="120"/>
                  <w:marBottom w:val="0"/>
                  <w:divBdr>
                    <w:top w:val="none" w:sz="0" w:space="0" w:color="auto"/>
                    <w:left w:val="none" w:sz="0" w:space="0" w:color="auto"/>
                    <w:bottom w:val="none" w:sz="0" w:space="0" w:color="auto"/>
                    <w:right w:val="none" w:sz="0" w:space="0" w:color="auto"/>
                  </w:divBdr>
                </w:div>
                <w:div w:id="1895582089">
                  <w:marLeft w:val="0"/>
                  <w:marRight w:val="0"/>
                  <w:marTop w:val="0"/>
                  <w:marBottom w:val="0"/>
                  <w:divBdr>
                    <w:top w:val="none" w:sz="0" w:space="0" w:color="auto"/>
                    <w:left w:val="none" w:sz="0" w:space="0" w:color="auto"/>
                    <w:bottom w:val="none" w:sz="0" w:space="0" w:color="auto"/>
                    <w:right w:val="none" w:sz="0" w:space="0" w:color="auto"/>
                  </w:divBdr>
                  <w:divsChild>
                    <w:div w:id="57168488">
                      <w:marLeft w:val="0"/>
                      <w:marRight w:val="0"/>
                      <w:marTop w:val="0"/>
                      <w:marBottom w:val="0"/>
                      <w:divBdr>
                        <w:top w:val="none" w:sz="0" w:space="0" w:color="auto"/>
                        <w:left w:val="none" w:sz="0" w:space="0" w:color="auto"/>
                        <w:bottom w:val="none" w:sz="0" w:space="0" w:color="auto"/>
                        <w:right w:val="none" w:sz="0" w:space="0" w:color="auto"/>
                      </w:divBdr>
                      <w:divsChild>
                        <w:div w:id="1063330715">
                          <w:marLeft w:val="0"/>
                          <w:marRight w:val="0"/>
                          <w:marTop w:val="0"/>
                          <w:marBottom w:val="0"/>
                          <w:divBdr>
                            <w:top w:val="none" w:sz="0" w:space="0" w:color="auto"/>
                            <w:left w:val="none" w:sz="0" w:space="0" w:color="auto"/>
                            <w:bottom w:val="none" w:sz="0" w:space="0" w:color="auto"/>
                            <w:right w:val="none" w:sz="0" w:space="0" w:color="auto"/>
                          </w:divBdr>
                        </w:div>
                        <w:div w:id="1553616843">
                          <w:marLeft w:val="0"/>
                          <w:marRight w:val="0"/>
                          <w:marTop w:val="120"/>
                          <w:marBottom w:val="0"/>
                          <w:divBdr>
                            <w:top w:val="none" w:sz="0" w:space="0" w:color="auto"/>
                            <w:left w:val="none" w:sz="0" w:space="0" w:color="auto"/>
                            <w:bottom w:val="none" w:sz="0" w:space="0" w:color="auto"/>
                            <w:right w:val="none" w:sz="0" w:space="0" w:color="auto"/>
                          </w:divBdr>
                        </w:div>
                      </w:divsChild>
                    </w:div>
                    <w:div w:id="78332412">
                      <w:marLeft w:val="0"/>
                      <w:marRight w:val="0"/>
                      <w:marTop w:val="0"/>
                      <w:marBottom w:val="0"/>
                      <w:divBdr>
                        <w:top w:val="none" w:sz="0" w:space="0" w:color="auto"/>
                        <w:left w:val="none" w:sz="0" w:space="0" w:color="auto"/>
                        <w:bottom w:val="none" w:sz="0" w:space="0" w:color="auto"/>
                        <w:right w:val="none" w:sz="0" w:space="0" w:color="auto"/>
                      </w:divBdr>
                      <w:divsChild>
                        <w:div w:id="3482312">
                          <w:marLeft w:val="0"/>
                          <w:marRight w:val="0"/>
                          <w:marTop w:val="120"/>
                          <w:marBottom w:val="0"/>
                          <w:divBdr>
                            <w:top w:val="none" w:sz="0" w:space="0" w:color="auto"/>
                            <w:left w:val="none" w:sz="0" w:space="0" w:color="auto"/>
                            <w:bottom w:val="none" w:sz="0" w:space="0" w:color="auto"/>
                            <w:right w:val="none" w:sz="0" w:space="0" w:color="auto"/>
                          </w:divBdr>
                        </w:div>
                        <w:div w:id="1863932451">
                          <w:marLeft w:val="0"/>
                          <w:marRight w:val="0"/>
                          <w:marTop w:val="0"/>
                          <w:marBottom w:val="0"/>
                          <w:divBdr>
                            <w:top w:val="none" w:sz="0" w:space="0" w:color="auto"/>
                            <w:left w:val="none" w:sz="0" w:space="0" w:color="auto"/>
                            <w:bottom w:val="none" w:sz="0" w:space="0" w:color="auto"/>
                            <w:right w:val="none" w:sz="0" w:space="0" w:color="auto"/>
                          </w:divBdr>
                        </w:div>
                      </w:divsChild>
                    </w:div>
                    <w:div w:id="559677446">
                      <w:marLeft w:val="0"/>
                      <w:marRight w:val="0"/>
                      <w:marTop w:val="0"/>
                      <w:marBottom w:val="0"/>
                      <w:divBdr>
                        <w:top w:val="none" w:sz="0" w:space="0" w:color="auto"/>
                        <w:left w:val="none" w:sz="0" w:space="0" w:color="auto"/>
                        <w:bottom w:val="none" w:sz="0" w:space="0" w:color="auto"/>
                        <w:right w:val="none" w:sz="0" w:space="0" w:color="auto"/>
                      </w:divBdr>
                      <w:divsChild>
                        <w:div w:id="22638192">
                          <w:marLeft w:val="0"/>
                          <w:marRight w:val="0"/>
                          <w:marTop w:val="120"/>
                          <w:marBottom w:val="0"/>
                          <w:divBdr>
                            <w:top w:val="none" w:sz="0" w:space="0" w:color="auto"/>
                            <w:left w:val="none" w:sz="0" w:space="0" w:color="auto"/>
                            <w:bottom w:val="none" w:sz="0" w:space="0" w:color="auto"/>
                            <w:right w:val="none" w:sz="0" w:space="0" w:color="auto"/>
                          </w:divBdr>
                        </w:div>
                        <w:div w:id="18308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1285">
              <w:marLeft w:val="0"/>
              <w:marRight w:val="0"/>
              <w:marTop w:val="0"/>
              <w:marBottom w:val="0"/>
              <w:divBdr>
                <w:top w:val="none" w:sz="0" w:space="0" w:color="auto"/>
                <w:left w:val="none" w:sz="0" w:space="0" w:color="auto"/>
                <w:bottom w:val="none" w:sz="0" w:space="0" w:color="auto"/>
                <w:right w:val="none" w:sz="0" w:space="0" w:color="auto"/>
              </w:divBdr>
              <w:divsChild>
                <w:div w:id="415857372">
                  <w:marLeft w:val="0"/>
                  <w:marRight w:val="0"/>
                  <w:marTop w:val="120"/>
                  <w:marBottom w:val="0"/>
                  <w:divBdr>
                    <w:top w:val="none" w:sz="0" w:space="0" w:color="auto"/>
                    <w:left w:val="none" w:sz="0" w:space="0" w:color="auto"/>
                    <w:bottom w:val="none" w:sz="0" w:space="0" w:color="auto"/>
                    <w:right w:val="none" w:sz="0" w:space="0" w:color="auto"/>
                  </w:divBdr>
                </w:div>
                <w:div w:id="1745565806">
                  <w:marLeft w:val="0"/>
                  <w:marRight w:val="0"/>
                  <w:marTop w:val="0"/>
                  <w:marBottom w:val="0"/>
                  <w:divBdr>
                    <w:top w:val="none" w:sz="0" w:space="0" w:color="auto"/>
                    <w:left w:val="none" w:sz="0" w:space="0" w:color="auto"/>
                    <w:bottom w:val="none" w:sz="0" w:space="0" w:color="auto"/>
                    <w:right w:val="none" w:sz="0" w:space="0" w:color="auto"/>
                  </w:divBdr>
                </w:div>
              </w:divsChild>
            </w:div>
            <w:div w:id="1727756972">
              <w:marLeft w:val="0"/>
              <w:marRight w:val="0"/>
              <w:marTop w:val="0"/>
              <w:marBottom w:val="0"/>
              <w:divBdr>
                <w:top w:val="none" w:sz="0" w:space="0" w:color="auto"/>
                <w:left w:val="none" w:sz="0" w:space="0" w:color="auto"/>
                <w:bottom w:val="none" w:sz="0" w:space="0" w:color="auto"/>
                <w:right w:val="none" w:sz="0" w:space="0" w:color="auto"/>
              </w:divBdr>
              <w:divsChild>
                <w:div w:id="124393233">
                  <w:marLeft w:val="0"/>
                  <w:marRight w:val="0"/>
                  <w:marTop w:val="0"/>
                  <w:marBottom w:val="0"/>
                  <w:divBdr>
                    <w:top w:val="none" w:sz="0" w:space="0" w:color="auto"/>
                    <w:left w:val="none" w:sz="0" w:space="0" w:color="auto"/>
                    <w:bottom w:val="none" w:sz="0" w:space="0" w:color="auto"/>
                    <w:right w:val="none" w:sz="0" w:space="0" w:color="auto"/>
                  </w:divBdr>
                  <w:divsChild>
                    <w:div w:id="85808578">
                      <w:marLeft w:val="0"/>
                      <w:marRight w:val="0"/>
                      <w:marTop w:val="0"/>
                      <w:marBottom w:val="0"/>
                      <w:divBdr>
                        <w:top w:val="none" w:sz="0" w:space="0" w:color="auto"/>
                        <w:left w:val="none" w:sz="0" w:space="0" w:color="auto"/>
                        <w:bottom w:val="none" w:sz="0" w:space="0" w:color="auto"/>
                        <w:right w:val="none" w:sz="0" w:space="0" w:color="auto"/>
                      </w:divBdr>
                      <w:divsChild>
                        <w:div w:id="804200003">
                          <w:marLeft w:val="0"/>
                          <w:marRight w:val="0"/>
                          <w:marTop w:val="120"/>
                          <w:marBottom w:val="0"/>
                          <w:divBdr>
                            <w:top w:val="none" w:sz="0" w:space="0" w:color="auto"/>
                            <w:left w:val="none" w:sz="0" w:space="0" w:color="auto"/>
                            <w:bottom w:val="none" w:sz="0" w:space="0" w:color="auto"/>
                            <w:right w:val="none" w:sz="0" w:space="0" w:color="auto"/>
                          </w:divBdr>
                        </w:div>
                        <w:div w:id="1952858777">
                          <w:marLeft w:val="0"/>
                          <w:marRight w:val="0"/>
                          <w:marTop w:val="0"/>
                          <w:marBottom w:val="0"/>
                          <w:divBdr>
                            <w:top w:val="none" w:sz="0" w:space="0" w:color="auto"/>
                            <w:left w:val="none" w:sz="0" w:space="0" w:color="auto"/>
                            <w:bottom w:val="none" w:sz="0" w:space="0" w:color="auto"/>
                            <w:right w:val="none" w:sz="0" w:space="0" w:color="auto"/>
                          </w:divBdr>
                        </w:div>
                      </w:divsChild>
                    </w:div>
                    <w:div w:id="222376603">
                      <w:marLeft w:val="0"/>
                      <w:marRight w:val="0"/>
                      <w:marTop w:val="0"/>
                      <w:marBottom w:val="0"/>
                      <w:divBdr>
                        <w:top w:val="none" w:sz="0" w:space="0" w:color="auto"/>
                        <w:left w:val="none" w:sz="0" w:space="0" w:color="auto"/>
                        <w:bottom w:val="none" w:sz="0" w:space="0" w:color="auto"/>
                        <w:right w:val="none" w:sz="0" w:space="0" w:color="auto"/>
                      </w:divBdr>
                      <w:divsChild>
                        <w:div w:id="355086133">
                          <w:marLeft w:val="0"/>
                          <w:marRight w:val="0"/>
                          <w:marTop w:val="0"/>
                          <w:marBottom w:val="0"/>
                          <w:divBdr>
                            <w:top w:val="none" w:sz="0" w:space="0" w:color="auto"/>
                            <w:left w:val="none" w:sz="0" w:space="0" w:color="auto"/>
                            <w:bottom w:val="none" w:sz="0" w:space="0" w:color="auto"/>
                            <w:right w:val="none" w:sz="0" w:space="0" w:color="auto"/>
                          </w:divBdr>
                        </w:div>
                        <w:div w:id="1734622149">
                          <w:marLeft w:val="0"/>
                          <w:marRight w:val="0"/>
                          <w:marTop w:val="120"/>
                          <w:marBottom w:val="0"/>
                          <w:divBdr>
                            <w:top w:val="none" w:sz="0" w:space="0" w:color="auto"/>
                            <w:left w:val="none" w:sz="0" w:space="0" w:color="auto"/>
                            <w:bottom w:val="none" w:sz="0" w:space="0" w:color="auto"/>
                            <w:right w:val="none" w:sz="0" w:space="0" w:color="auto"/>
                          </w:divBdr>
                        </w:div>
                      </w:divsChild>
                    </w:div>
                    <w:div w:id="467435370">
                      <w:marLeft w:val="0"/>
                      <w:marRight w:val="0"/>
                      <w:marTop w:val="0"/>
                      <w:marBottom w:val="0"/>
                      <w:divBdr>
                        <w:top w:val="none" w:sz="0" w:space="0" w:color="auto"/>
                        <w:left w:val="none" w:sz="0" w:space="0" w:color="auto"/>
                        <w:bottom w:val="none" w:sz="0" w:space="0" w:color="auto"/>
                        <w:right w:val="none" w:sz="0" w:space="0" w:color="auto"/>
                      </w:divBdr>
                      <w:divsChild>
                        <w:div w:id="386803035">
                          <w:marLeft w:val="0"/>
                          <w:marRight w:val="0"/>
                          <w:marTop w:val="0"/>
                          <w:marBottom w:val="0"/>
                          <w:divBdr>
                            <w:top w:val="none" w:sz="0" w:space="0" w:color="auto"/>
                            <w:left w:val="none" w:sz="0" w:space="0" w:color="auto"/>
                            <w:bottom w:val="none" w:sz="0" w:space="0" w:color="auto"/>
                            <w:right w:val="none" w:sz="0" w:space="0" w:color="auto"/>
                          </w:divBdr>
                        </w:div>
                        <w:div w:id="701173395">
                          <w:marLeft w:val="0"/>
                          <w:marRight w:val="0"/>
                          <w:marTop w:val="120"/>
                          <w:marBottom w:val="0"/>
                          <w:divBdr>
                            <w:top w:val="none" w:sz="0" w:space="0" w:color="auto"/>
                            <w:left w:val="none" w:sz="0" w:space="0" w:color="auto"/>
                            <w:bottom w:val="none" w:sz="0" w:space="0" w:color="auto"/>
                            <w:right w:val="none" w:sz="0" w:space="0" w:color="auto"/>
                          </w:divBdr>
                        </w:div>
                      </w:divsChild>
                    </w:div>
                    <w:div w:id="1212574840">
                      <w:marLeft w:val="0"/>
                      <w:marRight w:val="0"/>
                      <w:marTop w:val="0"/>
                      <w:marBottom w:val="0"/>
                      <w:divBdr>
                        <w:top w:val="none" w:sz="0" w:space="0" w:color="auto"/>
                        <w:left w:val="none" w:sz="0" w:space="0" w:color="auto"/>
                        <w:bottom w:val="none" w:sz="0" w:space="0" w:color="auto"/>
                        <w:right w:val="none" w:sz="0" w:space="0" w:color="auto"/>
                      </w:divBdr>
                      <w:divsChild>
                        <w:div w:id="732194428">
                          <w:marLeft w:val="0"/>
                          <w:marRight w:val="0"/>
                          <w:marTop w:val="0"/>
                          <w:marBottom w:val="0"/>
                          <w:divBdr>
                            <w:top w:val="none" w:sz="0" w:space="0" w:color="auto"/>
                            <w:left w:val="none" w:sz="0" w:space="0" w:color="auto"/>
                            <w:bottom w:val="none" w:sz="0" w:space="0" w:color="auto"/>
                            <w:right w:val="none" w:sz="0" w:space="0" w:color="auto"/>
                          </w:divBdr>
                        </w:div>
                        <w:div w:id="1454252826">
                          <w:marLeft w:val="0"/>
                          <w:marRight w:val="0"/>
                          <w:marTop w:val="120"/>
                          <w:marBottom w:val="0"/>
                          <w:divBdr>
                            <w:top w:val="none" w:sz="0" w:space="0" w:color="auto"/>
                            <w:left w:val="none" w:sz="0" w:space="0" w:color="auto"/>
                            <w:bottom w:val="none" w:sz="0" w:space="0" w:color="auto"/>
                            <w:right w:val="none" w:sz="0" w:space="0" w:color="auto"/>
                          </w:divBdr>
                        </w:div>
                      </w:divsChild>
                    </w:div>
                    <w:div w:id="1388992008">
                      <w:marLeft w:val="0"/>
                      <w:marRight w:val="0"/>
                      <w:marTop w:val="0"/>
                      <w:marBottom w:val="0"/>
                      <w:divBdr>
                        <w:top w:val="none" w:sz="0" w:space="0" w:color="auto"/>
                        <w:left w:val="none" w:sz="0" w:space="0" w:color="auto"/>
                        <w:bottom w:val="none" w:sz="0" w:space="0" w:color="auto"/>
                        <w:right w:val="none" w:sz="0" w:space="0" w:color="auto"/>
                      </w:divBdr>
                      <w:divsChild>
                        <w:div w:id="808403815">
                          <w:marLeft w:val="0"/>
                          <w:marRight w:val="0"/>
                          <w:marTop w:val="0"/>
                          <w:marBottom w:val="0"/>
                          <w:divBdr>
                            <w:top w:val="none" w:sz="0" w:space="0" w:color="auto"/>
                            <w:left w:val="none" w:sz="0" w:space="0" w:color="auto"/>
                            <w:bottom w:val="none" w:sz="0" w:space="0" w:color="auto"/>
                            <w:right w:val="none" w:sz="0" w:space="0" w:color="auto"/>
                          </w:divBdr>
                        </w:div>
                        <w:div w:id="1148325693">
                          <w:marLeft w:val="0"/>
                          <w:marRight w:val="0"/>
                          <w:marTop w:val="120"/>
                          <w:marBottom w:val="0"/>
                          <w:divBdr>
                            <w:top w:val="none" w:sz="0" w:space="0" w:color="auto"/>
                            <w:left w:val="none" w:sz="0" w:space="0" w:color="auto"/>
                            <w:bottom w:val="none" w:sz="0" w:space="0" w:color="auto"/>
                            <w:right w:val="none" w:sz="0" w:space="0" w:color="auto"/>
                          </w:divBdr>
                        </w:div>
                      </w:divsChild>
                    </w:div>
                    <w:div w:id="1447777688">
                      <w:marLeft w:val="0"/>
                      <w:marRight w:val="0"/>
                      <w:marTop w:val="0"/>
                      <w:marBottom w:val="0"/>
                      <w:divBdr>
                        <w:top w:val="none" w:sz="0" w:space="0" w:color="auto"/>
                        <w:left w:val="none" w:sz="0" w:space="0" w:color="auto"/>
                        <w:bottom w:val="none" w:sz="0" w:space="0" w:color="auto"/>
                        <w:right w:val="none" w:sz="0" w:space="0" w:color="auto"/>
                      </w:divBdr>
                      <w:divsChild>
                        <w:div w:id="1779182441">
                          <w:marLeft w:val="0"/>
                          <w:marRight w:val="0"/>
                          <w:marTop w:val="120"/>
                          <w:marBottom w:val="0"/>
                          <w:divBdr>
                            <w:top w:val="none" w:sz="0" w:space="0" w:color="auto"/>
                            <w:left w:val="none" w:sz="0" w:space="0" w:color="auto"/>
                            <w:bottom w:val="none" w:sz="0" w:space="0" w:color="auto"/>
                            <w:right w:val="none" w:sz="0" w:space="0" w:color="auto"/>
                          </w:divBdr>
                        </w:div>
                        <w:div w:id="1887831096">
                          <w:marLeft w:val="0"/>
                          <w:marRight w:val="0"/>
                          <w:marTop w:val="0"/>
                          <w:marBottom w:val="0"/>
                          <w:divBdr>
                            <w:top w:val="none" w:sz="0" w:space="0" w:color="auto"/>
                            <w:left w:val="none" w:sz="0" w:space="0" w:color="auto"/>
                            <w:bottom w:val="none" w:sz="0" w:space="0" w:color="auto"/>
                            <w:right w:val="none" w:sz="0" w:space="0" w:color="auto"/>
                          </w:divBdr>
                        </w:div>
                      </w:divsChild>
                    </w:div>
                    <w:div w:id="1496145121">
                      <w:marLeft w:val="0"/>
                      <w:marRight w:val="0"/>
                      <w:marTop w:val="0"/>
                      <w:marBottom w:val="0"/>
                      <w:divBdr>
                        <w:top w:val="none" w:sz="0" w:space="0" w:color="auto"/>
                        <w:left w:val="none" w:sz="0" w:space="0" w:color="auto"/>
                        <w:bottom w:val="none" w:sz="0" w:space="0" w:color="auto"/>
                        <w:right w:val="none" w:sz="0" w:space="0" w:color="auto"/>
                      </w:divBdr>
                      <w:divsChild>
                        <w:div w:id="458185502">
                          <w:marLeft w:val="0"/>
                          <w:marRight w:val="0"/>
                          <w:marTop w:val="120"/>
                          <w:marBottom w:val="0"/>
                          <w:divBdr>
                            <w:top w:val="none" w:sz="0" w:space="0" w:color="auto"/>
                            <w:left w:val="none" w:sz="0" w:space="0" w:color="auto"/>
                            <w:bottom w:val="none" w:sz="0" w:space="0" w:color="auto"/>
                            <w:right w:val="none" w:sz="0" w:space="0" w:color="auto"/>
                          </w:divBdr>
                        </w:div>
                        <w:div w:id="828518452">
                          <w:marLeft w:val="0"/>
                          <w:marRight w:val="0"/>
                          <w:marTop w:val="0"/>
                          <w:marBottom w:val="0"/>
                          <w:divBdr>
                            <w:top w:val="none" w:sz="0" w:space="0" w:color="auto"/>
                            <w:left w:val="none" w:sz="0" w:space="0" w:color="auto"/>
                            <w:bottom w:val="none" w:sz="0" w:space="0" w:color="auto"/>
                            <w:right w:val="none" w:sz="0" w:space="0" w:color="auto"/>
                          </w:divBdr>
                        </w:div>
                      </w:divsChild>
                    </w:div>
                    <w:div w:id="1588927299">
                      <w:marLeft w:val="0"/>
                      <w:marRight w:val="0"/>
                      <w:marTop w:val="0"/>
                      <w:marBottom w:val="0"/>
                      <w:divBdr>
                        <w:top w:val="none" w:sz="0" w:space="0" w:color="auto"/>
                        <w:left w:val="none" w:sz="0" w:space="0" w:color="auto"/>
                        <w:bottom w:val="none" w:sz="0" w:space="0" w:color="auto"/>
                        <w:right w:val="none" w:sz="0" w:space="0" w:color="auto"/>
                      </w:divBdr>
                      <w:divsChild>
                        <w:div w:id="442726477">
                          <w:marLeft w:val="0"/>
                          <w:marRight w:val="0"/>
                          <w:marTop w:val="0"/>
                          <w:marBottom w:val="0"/>
                          <w:divBdr>
                            <w:top w:val="none" w:sz="0" w:space="0" w:color="auto"/>
                            <w:left w:val="none" w:sz="0" w:space="0" w:color="auto"/>
                            <w:bottom w:val="none" w:sz="0" w:space="0" w:color="auto"/>
                            <w:right w:val="none" w:sz="0" w:space="0" w:color="auto"/>
                          </w:divBdr>
                        </w:div>
                        <w:div w:id="2124155118">
                          <w:marLeft w:val="0"/>
                          <w:marRight w:val="0"/>
                          <w:marTop w:val="120"/>
                          <w:marBottom w:val="0"/>
                          <w:divBdr>
                            <w:top w:val="none" w:sz="0" w:space="0" w:color="auto"/>
                            <w:left w:val="none" w:sz="0" w:space="0" w:color="auto"/>
                            <w:bottom w:val="none" w:sz="0" w:space="0" w:color="auto"/>
                            <w:right w:val="none" w:sz="0" w:space="0" w:color="auto"/>
                          </w:divBdr>
                        </w:div>
                      </w:divsChild>
                    </w:div>
                    <w:div w:id="1621761751">
                      <w:marLeft w:val="0"/>
                      <w:marRight w:val="0"/>
                      <w:marTop w:val="0"/>
                      <w:marBottom w:val="0"/>
                      <w:divBdr>
                        <w:top w:val="none" w:sz="0" w:space="0" w:color="auto"/>
                        <w:left w:val="none" w:sz="0" w:space="0" w:color="auto"/>
                        <w:bottom w:val="none" w:sz="0" w:space="0" w:color="auto"/>
                        <w:right w:val="none" w:sz="0" w:space="0" w:color="auto"/>
                      </w:divBdr>
                      <w:divsChild>
                        <w:div w:id="201745880">
                          <w:marLeft w:val="0"/>
                          <w:marRight w:val="0"/>
                          <w:marTop w:val="120"/>
                          <w:marBottom w:val="0"/>
                          <w:divBdr>
                            <w:top w:val="none" w:sz="0" w:space="0" w:color="auto"/>
                            <w:left w:val="none" w:sz="0" w:space="0" w:color="auto"/>
                            <w:bottom w:val="none" w:sz="0" w:space="0" w:color="auto"/>
                            <w:right w:val="none" w:sz="0" w:space="0" w:color="auto"/>
                          </w:divBdr>
                        </w:div>
                        <w:div w:id="1146776970">
                          <w:marLeft w:val="0"/>
                          <w:marRight w:val="0"/>
                          <w:marTop w:val="0"/>
                          <w:marBottom w:val="0"/>
                          <w:divBdr>
                            <w:top w:val="none" w:sz="0" w:space="0" w:color="auto"/>
                            <w:left w:val="none" w:sz="0" w:space="0" w:color="auto"/>
                            <w:bottom w:val="none" w:sz="0" w:space="0" w:color="auto"/>
                            <w:right w:val="none" w:sz="0" w:space="0" w:color="auto"/>
                          </w:divBdr>
                        </w:div>
                      </w:divsChild>
                    </w:div>
                    <w:div w:id="1803452047">
                      <w:marLeft w:val="0"/>
                      <w:marRight w:val="0"/>
                      <w:marTop w:val="0"/>
                      <w:marBottom w:val="0"/>
                      <w:divBdr>
                        <w:top w:val="none" w:sz="0" w:space="0" w:color="auto"/>
                        <w:left w:val="none" w:sz="0" w:space="0" w:color="auto"/>
                        <w:bottom w:val="none" w:sz="0" w:space="0" w:color="auto"/>
                        <w:right w:val="none" w:sz="0" w:space="0" w:color="auto"/>
                      </w:divBdr>
                      <w:divsChild>
                        <w:div w:id="163130526">
                          <w:marLeft w:val="0"/>
                          <w:marRight w:val="0"/>
                          <w:marTop w:val="120"/>
                          <w:marBottom w:val="0"/>
                          <w:divBdr>
                            <w:top w:val="none" w:sz="0" w:space="0" w:color="auto"/>
                            <w:left w:val="none" w:sz="0" w:space="0" w:color="auto"/>
                            <w:bottom w:val="none" w:sz="0" w:space="0" w:color="auto"/>
                            <w:right w:val="none" w:sz="0" w:space="0" w:color="auto"/>
                          </w:divBdr>
                        </w:div>
                        <w:div w:id="994651909">
                          <w:marLeft w:val="0"/>
                          <w:marRight w:val="0"/>
                          <w:marTop w:val="0"/>
                          <w:marBottom w:val="0"/>
                          <w:divBdr>
                            <w:top w:val="none" w:sz="0" w:space="0" w:color="auto"/>
                            <w:left w:val="none" w:sz="0" w:space="0" w:color="auto"/>
                            <w:bottom w:val="none" w:sz="0" w:space="0" w:color="auto"/>
                            <w:right w:val="none" w:sz="0" w:space="0" w:color="auto"/>
                          </w:divBdr>
                        </w:div>
                      </w:divsChild>
                    </w:div>
                    <w:div w:id="1931547511">
                      <w:marLeft w:val="0"/>
                      <w:marRight w:val="0"/>
                      <w:marTop w:val="0"/>
                      <w:marBottom w:val="0"/>
                      <w:divBdr>
                        <w:top w:val="none" w:sz="0" w:space="0" w:color="auto"/>
                        <w:left w:val="none" w:sz="0" w:space="0" w:color="auto"/>
                        <w:bottom w:val="none" w:sz="0" w:space="0" w:color="auto"/>
                        <w:right w:val="none" w:sz="0" w:space="0" w:color="auto"/>
                      </w:divBdr>
                      <w:divsChild>
                        <w:div w:id="1244560038">
                          <w:marLeft w:val="0"/>
                          <w:marRight w:val="0"/>
                          <w:marTop w:val="120"/>
                          <w:marBottom w:val="0"/>
                          <w:divBdr>
                            <w:top w:val="none" w:sz="0" w:space="0" w:color="auto"/>
                            <w:left w:val="none" w:sz="0" w:space="0" w:color="auto"/>
                            <w:bottom w:val="none" w:sz="0" w:space="0" w:color="auto"/>
                            <w:right w:val="none" w:sz="0" w:space="0" w:color="auto"/>
                          </w:divBdr>
                        </w:div>
                        <w:div w:id="1753042055">
                          <w:marLeft w:val="0"/>
                          <w:marRight w:val="0"/>
                          <w:marTop w:val="0"/>
                          <w:marBottom w:val="0"/>
                          <w:divBdr>
                            <w:top w:val="none" w:sz="0" w:space="0" w:color="auto"/>
                            <w:left w:val="none" w:sz="0" w:space="0" w:color="auto"/>
                            <w:bottom w:val="none" w:sz="0" w:space="0" w:color="auto"/>
                            <w:right w:val="none" w:sz="0" w:space="0" w:color="auto"/>
                          </w:divBdr>
                        </w:div>
                      </w:divsChild>
                    </w:div>
                    <w:div w:id="1957906707">
                      <w:marLeft w:val="0"/>
                      <w:marRight w:val="0"/>
                      <w:marTop w:val="0"/>
                      <w:marBottom w:val="0"/>
                      <w:divBdr>
                        <w:top w:val="none" w:sz="0" w:space="0" w:color="auto"/>
                        <w:left w:val="none" w:sz="0" w:space="0" w:color="auto"/>
                        <w:bottom w:val="none" w:sz="0" w:space="0" w:color="auto"/>
                        <w:right w:val="none" w:sz="0" w:space="0" w:color="auto"/>
                      </w:divBdr>
                      <w:divsChild>
                        <w:div w:id="783187258">
                          <w:marLeft w:val="0"/>
                          <w:marRight w:val="0"/>
                          <w:marTop w:val="120"/>
                          <w:marBottom w:val="0"/>
                          <w:divBdr>
                            <w:top w:val="none" w:sz="0" w:space="0" w:color="auto"/>
                            <w:left w:val="none" w:sz="0" w:space="0" w:color="auto"/>
                            <w:bottom w:val="none" w:sz="0" w:space="0" w:color="auto"/>
                            <w:right w:val="none" w:sz="0" w:space="0" w:color="auto"/>
                          </w:divBdr>
                        </w:div>
                        <w:div w:id="982730967">
                          <w:marLeft w:val="0"/>
                          <w:marRight w:val="0"/>
                          <w:marTop w:val="0"/>
                          <w:marBottom w:val="0"/>
                          <w:divBdr>
                            <w:top w:val="none" w:sz="0" w:space="0" w:color="auto"/>
                            <w:left w:val="none" w:sz="0" w:space="0" w:color="auto"/>
                            <w:bottom w:val="none" w:sz="0" w:space="0" w:color="auto"/>
                            <w:right w:val="none" w:sz="0" w:space="0" w:color="auto"/>
                          </w:divBdr>
                        </w:div>
                      </w:divsChild>
                    </w:div>
                    <w:div w:id="2035306351">
                      <w:marLeft w:val="0"/>
                      <w:marRight w:val="0"/>
                      <w:marTop w:val="0"/>
                      <w:marBottom w:val="0"/>
                      <w:divBdr>
                        <w:top w:val="none" w:sz="0" w:space="0" w:color="auto"/>
                        <w:left w:val="none" w:sz="0" w:space="0" w:color="auto"/>
                        <w:bottom w:val="none" w:sz="0" w:space="0" w:color="auto"/>
                        <w:right w:val="none" w:sz="0" w:space="0" w:color="auto"/>
                      </w:divBdr>
                      <w:divsChild>
                        <w:div w:id="96566909">
                          <w:marLeft w:val="0"/>
                          <w:marRight w:val="0"/>
                          <w:marTop w:val="120"/>
                          <w:marBottom w:val="0"/>
                          <w:divBdr>
                            <w:top w:val="none" w:sz="0" w:space="0" w:color="auto"/>
                            <w:left w:val="none" w:sz="0" w:space="0" w:color="auto"/>
                            <w:bottom w:val="none" w:sz="0" w:space="0" w:color="auto"/>
                            <w:right w:val="none" w:sz="0" w:space="0" w:color="auto"/>
                          </w:divBdr>
                        </w:div>
                        <w:div w:id="832649787">
                          <w:marLeft w:val="0"/>
                          <w:marRight w:val="0"/>
                          <w:marTop w:val="0"/>
                          <w:marBottom w:val="0"/>
                          <w:divBdr>
                            <w:top w:val="none" w:sz="0" w:space="0" w:color="auto"/>
                            <w:left w:val="none" w:sz="0" w:space="0" w:color="auto"/>
                            <w:bottom w:val="none" w:sz="0" w:space="0" w:color="auto"/>
                            <w:right w:val="none" w:sz="0" w:space="0" w:color="auto"/>
                          </w:divBdr>
                        </w:div>
                      </w:divsChild>
                    </w:div>
                    <w:div w:id="2140566731">
                      <w:marLeft w:val="0"/>
                      <w:marRight w:val="0"/>
                      <w:marTop w:val="0"/>
                      <w:marBottom w:val="0"/>
                      <w:divBdr>
                        <w:top w:val="none" w:sz="0" w:space="0" w:color="auto"/>
                        <w:left w:val="none" w:sz="0" w:space="0" w:color="auto"/>
                        <w:bottom w:val="none" w:sz="0" w:space="0" w:color="auto"/>
                        <w:right w:val="none" w:sz="0" w:space="0" w:color="auto"/>
                      </w:divBdr>
                      <w:divsChild>
                        <w:div w:id="1300502552">
                          <w:marLeft w:val="0"/>
                          <w:marRight w:val="0"/>
                          <w:marTop w:val="120"/>
                          <w:marBottom w:val="0"/>
                          <w:divBdr>
                            <w:top w:val="none" w:sz="0" w:space="0" w:color="auto"/>
                            <w:left w:val="none" w:sz="0" w:space="0" w:color="auto"/>
                            <w:bottom w:val="none" w:sz="0" w:space="0" w:color="auto"/>
                            <w:right w:val="none" w:sz="0" w:space="0" w:color="auto"/>
                          </w:divBdr>
                        </w:div>
                        <w:div w:id="17421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5841387">
      <w:bodyDiv w:val="1"/>
      <w:marLeft w:val="0"/>
      <w:marRight w:val="0"/>
      <w:marTop w:val="0"/>
      <w:marBottom w:val="0"/>
      <w:divBdr>
        <w:top w:val="none" w:sz="0" w:space="0" w:color="auto"/>
        <w:left w:val="none" w:sz="0" w:space="0" w:color="auto"/>
        <w:bottom w:val="none" w:sz="0" w:space="0" w:color="auto"/>
        <w:right w:val="none" w:sz="0" w:space="0" w:color="auto"/>
      </w:divBdr>
      <w:divsChild>
        <w:div w:id="9768314">
          <w:marLeft w:val="0"/>
          <w:marRight w:val="0"/>
          <w:marTop w:val="0"/>
          <w:marBottom w:val="0"/>
          <w:divBdr>
            <w:top w:val="none" w:sz="0" w:space="0" w:color="auto"/>
            <w:left w:val="none" w:sz="0" w:space="0" w:color="auto"/>
            <w:bottom w:val="none" w:sz="0" w:space="0" w:color="auto"/>
            <w:right w:val="none" w:sz="0" w:space="0" w:color="auto"/>
          </w:divBdr>
          <w:divsChild>
            <w:div w:id="441849951">
              <w:marLeft w:val="0"/>
              <w:marRight w:val="0"/>
              <w:marTop w:val="0"/>
              <w:marBottom w:val="0"/>
              <w:divBdr>
                <w:top w:val="none" w:sz="0" w:space="0" w:color="auto"/>
                <w:left w:val="none" w:sz="0" w:space="0" w:color="auto"/>
                <w:bottom w:val="none" w:sz="0" w:space="0" w:color="auto"/>
                <w:right w:val="none" w:sz="0" w:space="0" w:color="auto"/>
              </w:divBdr>
              <w:divsChild>
                <w:div w:id="1222443826">
                  <w:marLeft w:val="0"/>
                  <w:marRight w:val="0"/>
                  <w:marTop w:val="0"/>
                  <w:marBottom w:val="0"/>
                  <w:divBdr>
                    <w:top w:val="none" w:sz="0" w:space="0" w:color="auto"/>
                    <w:left w:val="none" w:sz="0" w:space="0" w:color="auto"/>
                    <w:bottom w:val="none" w:sz="0" w:space="0" w:color="auto"/>
                    <w:right w:val="none" w:sz="0" w:space="0" w:color="auto"/>
                  </w:divBdr>
                  <w:divsChild>
                    <w:div w:id="598562794">
                      <w:marLeft w:val="0"/>
                      <w:marRight w:val="0"/>
                      <w:marTop w:val="0"/>
                      <w:marBottom w:val="0"/>
                      <w:divBdr>
                        <w:top w:val="none" w:sz="0" w:space="0" w:color="auto"/>
                        <w:left w:val="none" w:sz="0" w:space="0" w:color="auto"/>
                        <w:bottom w:val="none" w:sz="0" w:space="0" w:color="auto"/>
                        <w:right w:val="none" w:sz="0" w:space="0" w:color="auto"/>
                      </w:divBdr>
                    </w:div>
                    <w:div w:id="791095637">
                      <w:marLeft w:val="0"/>
                      <w:marRight w:val="0"/>
                      <w:marTop w:val="120"/>
                      <w:marBottom w:val="0"/>
                      <w:divBdr>
                        <w:top w:val="none" w:sz="0" w:space="0" w:color="auto"/>
                        <w:left w:val="none" w:sz="0" w:space="0" w:color="auto"/>
                        <w:bottom w:val="none" w:sz="0" w:space="0" w:color="auto"/>
                        <w:right w:val="none" w:sz="0" w:space="0" w:color="auto"/>
                      </w:divBdr>
                    </w:div>
                  </w:divsChild>
                </w:div>
                <w:div w:id="1553535332">
                  <w:marLeft w:val="0"/>
                  <w:marRight w:val="0"/>
                  <w:marTop w:val="0"/>
                  <w:marBottom w:val="0"/>
                  <w:divBdr>
                    <w:top w:val="none" w:sz="0" w:space="0" w:color="auto"/>
                    <w:left w:val="none" w:sz="0" w:space="0" w:color="auto"/>
                    <w:bottom w:val="none" w:sz="0" w:space="0" w:color="auto"/>
                    <w:right w:val="none" w:sz="0" w:space="0" w:color="auto"/>
                  </w:divBdr>
                  <w:divsChild>
                    <w:div w:id="747070503">
                      <w:marLeft w:val="0"/>
                      <w:marRight w:val="0"/>
                      <w:marTop w:val="0"/>
                      <w:marBottom w:val="0"/>
                      <w:divBdr>
                        <w:top w:val="none" w:sz="0" w:space="0" w:color="auto"/>
                        <w:left w:val="none" w:sz="0" w:space="0" w:color="auto"/>
                        <w:bottom w:val="none" w:sz="0" w:space="0" w:color="auto"/>
                        <w:right w:val="none" w:sz="0" w:space="0" w:color="auto"/>
                      </w:divBdr>
                    </w:div>
                    <w:div w:id="13023416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9092286">
          <w:marLeft w:val="0"/>
          <w:marRight w:val="0"/>
          <w:marTop w:val="0"/>
          <w:marBottom w:val="0"/>
          <w:divBdr>
            <w:top w:val="none" w:sz="0" w:space="0" w:color="auto"/>
            <w:left w:val="none" w:sz="0" w:space="0" w:color="auto"/>
            <w:bottom w:val="none" w:sz="0" w:space="0" w:color="auto"/>
            <w:right w:val="none" w:sz="0" w:space="0" w:color="auto"/>
          </w:divBdr>
          <w:divsChild>
            <w:div w:id="1886794369">
              <w:marLeft w:val="0"/>
              <w:marRight w:val="0"/>
              <w:marTop w:val="0"/>
              <w:marBottom w:val="0"/>
              <w:divBdr>
                <w:top w:val="none" w:sz="0" w:space="0" w:color="auto"/>
                <w:left w:val="none" w:sz="0" w:space="0" w:color="auto"/>
                <w:bottom w:val="none" w:sz="0" w:space="0" w:color="auto"/>
                <w:right w:val="none" w:sz="0" w:space="0" w:color="auto"/>
              </w:divBdr>
              <w:divsChild>
                <w:div w:id="277179422">
                  <w:marLeft w:val="0"/>
                  <w:marRight w:val="0"/>
                  <w:marTop w:val="0"/>
                  <w:marBottom w:val="0"/>
                  <w:divBdr>
                    <w:top w:val="none" w:sz="0" w:space="0" w:color="auto"/>
                    <w:left w:val="none" w:sz="0" w:space="0" w:color="auto"/>
                    <w:bottom w:val="none" w:sz="0" w:space="0" w:color="auto"/>
                    <w:right w:val="none" w:sz="0" w:space="0" w:color="auto"/>
                  </w:divBdr>
                  <w:divsChild>
                    <w:div w:id="77602436">
                      <w:marLeft w:val="0"/>
                      <w:marRight w:val="0"/>
                      <w:marTop w:val="120"/>
                      <w:marBottom w:val="0"/>
                      <w:divBdr>
                        <w:top w:val="none" w:sz="0" w:space="0" w:color="auto"/>
                        <w:left w:val="none" w:sz="0" w:space="0" w:color="auto"/>
                        <w:bottom w:val="none" w:sz="0" w:space="0" w:color="auto"/>
                        <w:right w:val="none" w:sz="0" w:space="0" w:color="auto"/>
                      </w:divBdr>
                    </w:div>
                    <w:div w:id="1295914396">
                      <w:marLeft w:val="0"/>
                      <w:marRight w:val="0"/>
                      <w:marTop w:val="0"/>
                      <w:marBottom w:val="0"/>
                      <w:divBdr>
                        <w:top w:val="none" w:sz="0" w:space="0" w:color="auto"/>
                        <w:left w:val="none" w:sz="0" w:space="0" w:color="auto"/>
                        <w:bottom w:val="none" w:sz="0" w:space="0" w:color="auto"/>
                        <w:right w:val="none" w:sz="0" w:space="0" w:color="auto"/>
                      </w:divBdr>
                    </w:div>
                  </w:divsChild>
                </w:div>
                <w:div w:id="849611826">
                  <w:marLeft w:val="0"/>
                  <w:marRight w:val="0"/>
                  <w:marTop w:val="0"/>
                  <w:marBottom w:val="0"/>
                  <w:divBdr>
                    <w:top w:val="none" w:sz="0" w:space="0" w:color="auto"/>
                    <w:left w:val="none" w:sz="0" w:space="0" w:color="auto"/>
                    <w:bottom w:val="none" w:sz="0" w:space="0" w:color="auto"/>
                    <w:right w:val="none" w:sz="0" w:space="0" w:color="auto"/>
                  </w:divBdr>
                  <w:divsChild>
                    <w:div w:id="53552996">
                      <w:marLeft w:val="0"/>
                      <w:marRight w:val="0"/>
                      <w:marTop w:val="0"/>
                      <w:marBottom w:val="0"/>
                      <w:divBdr>
                        <w:top w:val="none" w:sz="0" w:space="0" w:color="auto"/>
                        <w:left w:val="none" w:sz="0" w:space="0" w:color="auto"/>
                        <w:bottom w:val="none" w:sz="0" w:space="0" w:color="auto"/>
                        <w:right w:val="none" w:sz="0" w:space="0" w:color="auto"/>
                      </w:divBdr>
                    </w:div>
                    <w:div w:id="1613245653">
                      <w:marLeft w:val="0"/>
                      <w:marRight w:val="0"/>
                      <w:marTop w:val="120"/>
                      <w:marBottom w:val="0"/>
                      <w:divBdr>
                        <w:top w:val="none" w:sz="0" w:space="0" w:color="auto"/>
                        <w:left w:val="none" w:sz="0" w:space="0" w:color="auto"/>
                        <w:bottom w:val="none" w:sz="0" w:space="0" w:color="auto"/>
                        <w:right w:val="none" w:sz="0" w:space="0" w:color="auto"/>
                      </w:divBdr>
                    </w:div>
                  </w:divsChild>
                </w:div>
                <w:div w:id="918102331">
                  <w:marLeft w:val="0"/>
                  <w:marRight w:val="0"/>
                  <w:marTop w:val="0"/>
                  <w:marBottom w:val="0"/>
                  <w:divBdr>
                    <w:top w:val="none" w:sz="0" w:space="0" w:color="auto"/>
                    <w:left w:val="none" w:sz="0" w:space="0" w:color="auto"/>
                    <w:bottom w:val="none" w:sz="0" w:space="0" w:color="auto"/>
                    <w:right w:val="none" w:sz="0" w:space="0" w:color="auto"/>
                  </w:divBdr>
                  <w:divsChild>
                    <w:div w:id="915438932">
                      <w:marLeft w:val="0"/>
                      <w:marRight w:val="0"/>
                      <w:marTop w:val="0"/>
                      <w:marBottom w:val="0"/>
                      <w:divBdr>
                        <w:top w:val="none" w:sz="0" w:space="0" w:color="auto"/>
                        <w:left w:val="none" w:sz="0" w:space="0" w:color="auto"/>
                        <w:bottom w:val="none" w:sz="0" w:space="0" w:color="auto"/>
                        <w:right w:val="none" w:sz="0" w:space="0" w:color="auto"/>
                      </w:divBdr>
                    </w:div>
                    <w:div w:id="1943025779">
                      <w:marLeft w:val="0"/>
                      <w:marRight w:val="0"/>
                      <w:marTop w:val="120"/>
                      <w:marBottom w:val="0"/>
                      <w:divBdr>
                        <w:top w:val="none" w:sz="0" w:space="0" w:color="auto"/>
                        <w:left w:val="none" w:sz="0" w:space="0" w:color="auto"/>
                        <w:bottom w:val="none" w:sz="0" w:space="0" w:color="auto"/>
                        <w:right w:val="none" w:sz="0" w:space="0" w:color="auto"/>
                      </w:divBdr>
                    </w:div>
                  </w:divsChild>
                </w:div>
                <w:div w:id="1273367637">
                  <w:marLeft w:val="0"/>
                  <w:marRight w:val="0"/>
                  <w:marTop w:val="0"/>
                  <w:marBottom w:val="0"/>
                  <w:divBdr>
                    <w:top w:val="none" w:sz="0" w:space="0" w:color="auto"/>
                    <w:left w:val="none" w:sz="0" w:space="0" w:color="auto"/>
                    <w:bottom w:val="none" w:sz="0" w:space="0" w:color="auto"/>
                    <w:right w:val="none" w:sz="0" w:space="0" w:color="auto"/>
                  </w:divBdr>
                  <w:divsChild>
                    <w:div w:id="1243098894">
                      <w:marLeft w:val="0"/>
                      <w:marRight w:val="0"/>
                      <w:marTop w:val="0"/>
                      <w:marBottom w:val="0"/>
                      <w:divBdr>
                        <w:top w:val="none" w:sz="0" w:space="0" w:color="auto"/>
                        <w:left w:val="none" w:sz="0" w:space="0" w:color="auto"/>
                        <w:bottom w:val="none" w:sz="0" w:space="0" w:color="auto"/>
                        <w:right w:val="none" w:sz="0" w:space="0" w:color="auto"/>
                      </w:divBdr>
                      <w:divsChild>
                        <w:div w:id="453443610">
                          <w:marLeft w:val="0"/>
                          <w:marRight w:val="0"/>
                          <w:marTop w:val="0"/>
                          <w:marBottom w:val="0"/>
                          <w:divBdr>
                            <w:top w:val="none" w:sz="0" w:space="0" w:color="auto"/>
                            <w:left w:val="none" w:sz="0" w:space="0" w:color="auto"/>
                            <w:bottom w:val="none" w:sz="0" w:space="0" w:color="auto"/>
                            <w:right w:val="none" w:sz="0" w:space="0" w:color="auto"/>
                          </w:divBdr>
                          <w:divsChild>
                            <w:div w:id="156968176">
                              <w:marLeft w:val="0"/>
                              <w:marRight w:val="0"/>
                              <w:marTop w:val="0"/>
                              <w:marBottom w:val="0"/>
                              <w:divBdr>
                                <w:top w:val="none" w:sz="0" w:space="0" w:color="auto"/>
                                <w:left w:val="none" w:sz="0" w:space="0" w:color="auto"/>
                                <w:bottom w:val="none" w:sz="0" w:space="0" w:color="auto"/>
                                <w:right w:val="none" w:sz="0" w:space="0" w:color="auto"/>
                              </w:divBdr>
                            </w:div>
                            <w:div w:id="1266378522">
                              <w:marLeft w:val="0"/>
                              <w:marRight w:val="0"/>
                              <w:marTop w:val="120"/>
                              <w:marBottom w:val="0"/>
                              <w:divBdr>
                                <w:top w:val="none" w:sz="0" w:space="0" w:color="auto"/>
                                <w:left w:val="none" w:sz="0" w:space="0" w:color="auto"/>
                                <w:bottom w:val="none" w:sz="0" w:space="0" w:color="auto"/>
                                <w:right w:val="none" w:sz="0" w:space="0" w:color="auto"/>
                              </w:divBdr>
                            </w:div>
                          </w:divsChild>
                        </w:div>
                        <w:div w:id="1447309748">
                          <w:marLeft w:val="0"/>
                          <w:marRight w:val="0"/>
                          <w:marTop w:val="0"/>
                          <w:marBottom w:val="0"/>
                          <w:divBdr>
                            <w:top w:val="none" w:sz="0" w:space="0" w:color="auto"/>
                            <w:left w:val="none" w:sz="0" w:space="0" w:color="auto"/>
                            <w:bottom w:val="none" w:sz="0" w:space="0" w:color="auto"/>
                            <w:right w:val="none" w:sz="0" w:space="0" w:color="auto"/>
                          </w:divBdr>
                          <w:divsChild>
                            <w:div w:id="220098547">
                              <w:marLeft w:val="0"/>
                              <w:marRight w:val="0"/>
                              <w:marTop w:val="0"/>
                              <w:marBottom w:val="0"/>
                              <w:divBdr>
                                <w:top w:val="none" w:sz="0" w:space="0" w:color="auto"/>
                                <w:left w:val="none" w:sz="0" w:space="0" w:color="auto"/>
                                <w:bottom w:val="none" w:sz="0" w:space="0" w:color="auto"/>
                                <w:right w:val="none" w:sz="0" w:space="0" w:color="auto"/>
                              </w:divBdr>
                            </w:div>
                            <w:div w:id="19412532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4093281">
                      <w:marLeft w:val="0"/>
                      <w:marRight w:val="0"/>
                      <w:marTop w:val="120"/>
                      <w:marBottom w:val="0"/>
                      <w:divBdr>
                        <w:top w:val="none" w:sz="0" w:space="0" w:color="auto"/>
                        <w:left w:val="none" w:sz="0" w:space="0" w:color="auto"/>
                        <w:bottom w:val="none" w:sz="0" w:space="0" w:color="auto"/>
                        <w:right w:val="none" w:sz="0" w:space="0" w:color="auto"/>
                      </w:divBdr>
                    </w:div>
                  </w:divsChild>
                </w:div>
                <w:div w:id="1802263342">
                  <w:marLeft w:val="0"/>
                  <w:marRight w:val="0"/>
                  <w:marTop w:val="0"/>
                  <w:marBottom w:val="0"/>
                  <w:divBdr>
                    <w:top w:val="none" w:sz="0" w:space="0" w:color="auto"/>
                    <w:left w:val="none" w:sz="0" w:space="0" w:color="auto"/>
                    <w:bottom w:val="none" w:sz="0" w:space="0" w:color="auto"/>
                    <w:right w:val="none" w:sz="0" w:space="0" w:color="auto"/>
                  </w:divBdr>
                  <w:divsChild>
                    <w:div w:id="296840356">
                      <w:marLeft w:val="0"/>
                      <w:marRight w:val="0"/>
                      <w:marTop w:val="120"/>
                      <w:marBottom w:val="0"/>
                      <w:divBdr>
                        <w:top w:val="none" w:sz="0" w:space="0" w:color="auto"/>
                        <w:left w:val="none" w:sz="0" w:space="0" w:color="auto"/>
                        <w:bottom w:val="none" w:sz="0" w:space="0" w:color="auto"/>
                        <w:right w:val="none" w:sz="0" w:space="0" w:color="auto"/>
                      </w:divBdr>
                    </w:div>
                    <w:div w:id="20939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8001">
          <w:marLeft w:val="0"/>
          <w:marRight w:val="0"/>
          <w:marTop w:val="0"/>
          <w:marBottom w:val="0"/>
          <w:divBdr>
            <w:top w:val="none" w:sz="0" w:space="0" w:color="auto"/>
            <w:left w:val="none" w:sz="0" w:space="0" w:color="auto"/>
            <w:bottom w:val="none" w:sz="0" w:space="0" w:color="auto"/>
            <w:right w:val="none" w:sz="0" w:space="0" w:color="auto"/>
          </w:divBdr>
          <w:divsChild>
            <w:div w:id="363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514">
      <w:bodyDiv w:val="1"/>
      <w:marLeft w:val="0"/>
      <w:marRight w:val="0"/>
      <w:marTop w:val="0"/>
      <w:marBottom w:val="0"/>
      <w:divBdr>
        <w:top w:val="none" w:sz="0" w:space="0" w:color="auto"/>
        <w:left w:val="none" w:sz="0" w:space="0" w:color="auto"/>
        <w:bottom w:val="none" w:sz="0" w:space="0" w:color="auto"/>
        <w:right w:val="none" w:sz="0" w:space="0" w:color="auto"/>
      </w:divBdr>
      <w:divsChild>
        <w:div w:id="523901416">
          <w:marLeft w:val="0"/>
          <w:marRight w:val="0"/>
          <w:marTop w:val="0"/>
          <w:marBottom w:val="0"/>
          <w:divBdr>
            <w:top w:val="none" w:sz="0" w:space="0" w:color="auto"/>
            <w:left w:val="none" w:sz="0" w:space="0" w:color="auto"/>
            <w:bottom w:val="none" w:sz="0" w:space="0" w:color="auto"/>
            <w:right w:val="none" w:sz="0" w:space="0" w:color="auto"/>
          </w:divBdr>
          <w:divsChild>
            <w:div w:id="215287692">
              <w:marLeft w:val="0"/>
              <w:marRight w:val="0"/>
              <w:marTop w:val="0"/>
              <w:marBottom w:val="0"/>
              <w:divBdr>
                <w:top w:val="none" w:sz="0" w:space="0" w:color="auto"/>
                <w:left w:val="none" w:sz="0" w:space="0" w:color="auto"/>
                <w:bottom w:val="none" w:sz="0" w:space="0" w:color="auto"/>
                <w:right w:val="none" w:sz="0" w:space="0" w:color="auto"/>
              </w:divBdr>
            </w:div>
          </w:divsChild>
        </w:div>
        <w:div w:id="858736133">
          <w:marLeft w:val="0"/>
          <w:marRight w:val="0"/>
          <w:marTop w:val="0"/>
          <w:marBottom w:val="0"/>
          <w:divBdr>
            <w:top w:val="none" w:sz="0" w:space="0" w:color="auto"/>
            <w:left w:val="none" w:sz="0" w:space="0" w:color="auto"/>
            <w:bottom w:val="none" w:sz="0" w:space="0" w:color="auto"/>
            <w:right w:val="none" w:sz="0" w:space="0" w:color="auto"/>
          </w:divBdr>
          <w:divsChild>
            <w:div w:id="624581816">
              <w:marLeft w:val="0"/>
              <w:marRight w:val="0"/>
              <w:marTop w:val="0"/>
              <w:marBottom w:val="0"/>
              <w:divBdr>
                <w:top w:val="none" w:sz="0" w:space="0" w:color="auto"/>
                <w:left w:val="none" w:sz="0" w:space="0" w:color="auto"/>
                <w:bottom w:val="none" w:sz="0" w:space="0" w:color="auto"/>
                <w:right w:val="none" w:sz="0" w:space="0" w:color="auto"/>
              </w:divBdr>
            </w:div>
            <w:div w:id="1603757454">
              <w:marLeft w:val="0"/>
              <w:marRight w:val="0"/>
              <w:marTop w:val="120"/>
              <w:marBottom w:val="0"/>
              <w:divBdr>
                <w:top w:val="none" w:sz="0" w:space="0" w:color="auto"/>
                <w:left w:val="none" w:sz="0" w:space="0" w:color="auto"/>
                <w:bottom w:val="none" w:sz="0" w:space="0" w:color="auto"/>
                <w:right w:val="none" w:sz="0" w:space="0" w:color="auto"/>
              </w:divBdr>
            </w:div>
          </w:divsChild>
        </w:div>
        <w:div w:id="861434877">
          <w:marLeft w:val="0"/>
          <w:marRight w:val="0"/>
          <w:marTop w:val="0"/>
          <w:marBottom w:val="0"/>
          <w:divBdr>
            <w:top w:val="none" w:sz="0" w:space="0" w:color="auto"/>
            <w:left w:val="none" w:sz="0" w:space="0" w:color="auto"/>
            <w:bottom w:val="none" w:sz="0" w:space="0" w:color="auto"/>
            <w:right w:val="none" w:sz="0" w:space="0" w:color="auto"/>
          </w:divBdr>
          <w:divsChild>
            <w:div w:id="159545143">
              <w:marLeft w:val="0"/>
              <w:marRight w:val="0"/>
              <w:marTop w:val="0"/>
              <w:marBottom w:val="0"/>
              <w:divBdr>
                <w:top w:val="none" w:sz="0" w:space="0" w:color="auto"/>
                <w:left w:val="none" w:sz="0" w:space="0" w:color="auto"/>
                <w:bottom w:val="none" w:sz="0" w:space="0" w:color="auto"/>
                <w:right w:val="none" w:sz="0" w:space="0" w:color="auto"/>
              </w:divBdr>
            </w:div>
            <w:div w:id="1077166622">
              <w:marLeft w:val="0"/>
              <w:marRight w:val="0"/>
              <w:marTop w:val="120"/>
              <w:marBottom w:val="0"/>
              <w:divBdr>
                <w:top w:val="none" w:sz="0" w:space="0" w:color="auto"/>
                <w:left w:val="none" w:sz="0" w:space="0" w:color="auto"/>
                <w:bottom w:val="none" w:sz="0" w:space="0" w:color="auto"/>
                <w:right w:val="none" w:sz="0" w:space="0" w:color="auto"/>
              </w:divBdr>
            </w:div>
          </w:divsChild>
        </w:div>
        <w:div w:id="1802728902">
          <w:marLeft w:val="0"/>
          <w:marRight w:val="0"/>
          <w:marTop w:val="0"/>
          <w:marBottom w:val="0"/>
          <w:divBdr>
            <w:top w:val="none" w:sz="0" w:space="0" w:color="auto"/>
            <w:left w:val="none" w:sz="0" w:space="0" w:color="auto"/>
            <w:bottom w:val="none" w:sz="0" w:space="0" w:color="auto"/>
            <w:right w:val="none" w:sz="0" w:space="0" w:color="auto"/>
          </w:divBdr>
          <w:divsChild>
            <w:div w:id="133258946">
              <w:marLeft w:val="0"/>
              <w:marRight w:val="0"/>
              <w:marTop w:val="0"/>
              <w:marBottom w:val="0"/>
              <w:divBdr>
                <w:top w:val="none" w:sz="0" w:space="0" w:color="auto"/>
                <w:left w:val="none" w:sz="0" w:space="0" w:color="auto"/>
                <w:bottom w:val="none" w:sz="0" w:space="0" w:color="auto"/>
                <w:right w:val="none" w:sz="0" w:space="0" w:color="auto"/>
              </w:divBdr>
            </w:div>
            <w:div w:id="1730690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4987555">
      <w:bodyDiv w:val="1"/>
      <w:marLeft w:val="0"/>
      <w:marRight w:val="0"/>
      <w:marTop w:val="0"/>
      <w:marBottom w:val="0"/>
      <w:divBdr>
        <w:top w:val="none" w:sz="0" w:space="0" w:color="auto"/>
        <w:left w:val="none" w:sz="0" w:space="0" w:color="auto"/>
        <w:bottom w:val="none" w:sz="0" w:space="0" w:color="auto"/>
        <w:right w:val="none" w:sz="0" w:space="0" w:color="auto"/>
      </w:divBdr>
      <w:divsChild>
        <w:div w:id="241793942">
          <w:marLeft w:val="0"/>
          <w:marRight w:val="0"/>
          <w:marTop w:val="0"/>
          <w:marBottom w:val="0"/>
          <w:divBdr>
            <w:top w:val="none" w:sz="0" w:space="0" w:color="auto"/>
            <w:left w:val="none" w:sz="0" w:space="0" w:color="auto"/>
            <w:bottom w:val="none" w:sz="0" w:space="0" w:color="auto"/>
            <w:right w:val="none" w:sz="0" w:space="0" w:color="auto"/>
          </w:divBdr>
          <w:divsChild>
            <w:div w:id="123813509">
              <w:marLeft w:val="0"/>
              <w:marRight w:val="0"/>
              <w:marTop w:val="0"/>
              <w:marBottom w:val="0"/>
              <w:divBdr>
                <w:top w:val="none" w:sz="0" w:space="0" w:color="auto"/>
                <w:left w:val="none" w:sz="0" w:space="0" w:color="auto"/>
                <w:bottom w:val="none" w:sz="0" w:space="0" w:color="auto"/>
                <w:right w:val="none" w:sz="0" w:space="0" w:color="auto"/>
              </w:divBdr>
            </w:div>
            <w:div w:id="547686194">
              <w:marLeft w:val="0"/>
              <w:marRight w:val="0"/>
              <w:marTop w:val="120"/>
              <w:marBottom w:val="0"/>
              <w:divBdr>
                <w:top w:val="none" w:sz="0" w:space="0" w:color="auto"/>
                <w:left w:val="none" w:sz="0" w:space="0" w:color="auto"/>
                <w:bottom w:val="none" w:sz="0" w:space="0" w:color="auto"/>
                <w:right w:val="none" w:sz="0" w:space="0" w:color="auto"/>
              </w:divBdr>
            </w:div>
          </w:divsChild>
        </w:div>
        <w:div w:id="1643777703">
          <w:marLeft w:val="0"/>
          <w:marRight w:val="0"/>
          <w:marTop w:val="0"/>
          <w:marBottom w:val="0"/>
          <w:divBdr>
            <w:top w:val="none" w:sz="0" w:space="0" w:color="auto"/>
            <w:left w:val="none" w:sz="0" w:space="0" w:color="auto"/>
            <w:bottom w:val="none" w:sz="0" w:space="0" w:color="auto"/>
            <w:right w:val="none" w:sz="0" w:space="0" w:color="auto"/>
          </w:divBdr>
          <w:divsChild>
            <w:div w:id="236135746">
              <w:marLeft w:val="0"/>
              <w:marRight w:val="0"/>
              <w:marTop w:val="0"/>
              <w:marBottom w:val="0"/>
              <w:divBdr>
                <w:top w:val="none" w:sz="0" w:space="0" w:color="auto"/>
                <w:left w:val="none" w:sz="0" w:space="0" w:color="auto"/>
                <w:bottom w:val="none" w:sz="0" w:space="0" w:color="auto"/>
                <w:right w:val="none" w:sz="0" w:space="0" w:color="auto"/>
              </w:divBdr>
            </w:div>
            <w:div w:id="13819795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2003596">
      <w:bodyDiv w:val="1"/>
      <w:marLeft w:val="0"/>
      <w:marRight w:val="0"/>
      <w:marTop w:val="0"/>
      <w:marBottom w:val="0"/>
      <w:divBdr>
        <w:top w:val="none" w:sz="0" w:space="0" w:color="auto"/>
        <w:left w:val="none" w:sz="0" w:space="0" w:color="auto"/>
        <w:bottom w:val="none" w:sz="0" w:space="0" w:color="auto"/>
        <w:right w:val="none" w:sz="0" w:space="0" w:color="auto"/>
      </w:divBdr>
    </w:div>
    <w:div w:id="1401058948">
      <w:bodyDiv w:val="1"/>
      <w:marLeft w:val="0"/>
      <w:marRight w:val="0"/>
      <w:marTop w:val="0"/>
      <w:marBottom w:val="0"/>
      <w:divBdr>
        <w:top w:val="none" w:sz="0" w:space="0" w:color="auto"/>
        <w:left w:val="none" w:sz="0" w:space="0" w:color="auto"/>
        <w:bottom w:val="none" w:sz="0" w:space="0" w:color="auto"/>
        <w:right w:val="none" w:sz="0" w:space="0" w:color="auto"/>
      </w:divBdr>
    </w:div>
    <w:div w:id="1406418646">
      <w:bodyDiv w:val="1"/>
      <w:marLeft w:val="0"/>
      <w:marRight w:val="0"/>
      <w:marTop w:val="0"/>
      <w:marBottom w:val="0"/>
      <w:divBdr>
        <w:top w:val="none" w:sz="0" w:space="0" w:color="auto"/>
        <w:left w:val="none" w:sz="0" w:space="0" w:color="auto"/>
        <w:bottom w:val="none" w:sz="0" w:space="0" w:color="auto"/>
        <w:right w:val="none" w:sz="0" w:space="0" w:color="auto"/>
      </w:divBdr>
      <w:divsChild>
        <w:div w:id="934023925">
          <w:marLeft w:val="0"/>
          <w:marRight w:val="0"/>
          <w:marTop w:val="0"/>
          <w:marBottom w:val="0"/>
          <w:divBdr>
            <w:top w:val="none" w:sz="0" w:space="0" w:color="auto"/>
            <w:left w:val="none" w:sz="0" w:space="0" w:color="auto"/>
            <w:bottom w:val="none" w:sz="0" w:space="0" w:color="auto"/>
            <w:right w:val="none" w:sz="0" w:space="0" w:color="auto"/>
          </w:divBdr>
          <w:divsChild>
            <w:div w:id="1751122548">
              <w:marLeft w:val="0"/>
              <w:marRight w:val="0"/>
              <w:marTop w:val="0"/>
              <w:marBottom w:val="0"/>
              <w:divBdr>
                <w:top w:val="none" w:sz="0" w:space="0" w:color="auto"/>
                <w:left w:val="none" w:sz="0" w:space="0" w:color="auto"/>
                <w:bottom w:val="none" w:sz="0" w:space="0" w:color="auto"/>
                <w:right w:val="none" w:sz="0" w:space="0" w:color="auto"/>
              </w:divBdr>
            </w:div>
          </w:divsChild>
        </w:div>
        <w:div w:id="2145540011">
          <w:marLeft w:val="0"/>
          <w:marRight w:val="0"/>
          <w:marTop w:val="0"/>
          <w:marBottom w:val="0"/>
          <w:divBdr>
            <w:top w:val="none" w:sz="0" w:space="0" w:color="auto"/>
            <w:left w:val="none" w:sz="0" w:space="0" w:color="auto"/>
            <w:bottom w:val="none" w:sz="0" w:space="0" w:color="auto"/>
            <w:right w:val="none" w:sz="0" w:space="0" w:color="auto"/>
          </w:divBdr>
          <w:divsChild>
            <w:div w:id="1561164265">
              <w:marLeft w:val="0"/>
              <w:marRight w:val="0"/>
              <w:marTop w:val="0"/>
              <w:marBottom w:val="0"/>
              <w:divBdr>
                <w:top w:val="none" w:sz="0" w:space="0" w:color="auto"/>
                <w:left w:val="none" w:sz="0" w:space="0" w:color="auto"/>
                <w:bottom w:val="none" w:sz="0" w:space="0" w:color="auto"/>
                <w:right w:val="none" w:sz="0" w:space="0" w:color="auto"/>
              </w:divBdr>
            </w:div>
            <w:div w:id="16196751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8308295">
      <w:bodyDiv w:val="1"/>
      <w:marLeft w:val="0"/>
      <w:marRight w:val="0"/>
      <w:marTop w:val="0"/>
      <w:marBottom w:val="0"/>
      <w:divBdr>
        <w:top w:val="none" w:sz="0" w:space="0" w:color="auto"/>
        <w:left w:val="none" w:sz="0" w:space="0" w:color="auto"/>
        <w:bottom w:val="none" w:sz="0" w:space="0" w:color="auto"/>
        <w:right w:val="none" w:sz="0" w:space="0" w:color="auto"/>
      </w:divBdr>
      <w:divsChild>
        <w:div w:id="1791244114">
          <w:marLeft w:val="0"/>
          <w:marRight w:val="0"/>
          <w:marTop w:val="0"/>
          <w:marBottom w:val="0"/>
          <w:divBdr>
            <w:top w:val="none" w:sz="0" w:space="0" w:color="auto"/>
            <w:left w:val="none" w:sz="0" w:space="0" w:color="auto"/>
            <w:bottom w:val="none" w:sz="0" w:space="0" w:color="auto"/>
            <w:right w:val="none" w:sz="0" w:space="0" w:color="auto"/>
          </w:divBdr>
          <w:divsChild>
            <w:div w:id="361594745">
              <w:marLeft w:val="0"/>
              <w:marRight w:val="0"/>
              <w:marTop w:val="0"/>
              <w:marBottom w:val="0"/>
              <w:divBdr>
                <w:top w:val="none" w:sz="0" w:space="0" w:color="auto"/>
                <w:left w:val="none" w:sz="0" w:space="0" w:color="auto"/>
                <w:bottom w:val="none" w:sz="0" w:space="0" w:color="auto"/>
                <w:right w:val="none" w:sz="0" w:space="0" w:color="auto"/>
              </w:divBdr>
              <w:divsChild>
                <w:div w:id="1019545568">
                  <w:marLeft w:val="0"/>
                  <w:marRight w:val="0"/>
                  <w:marTop w:val="0"/>
                  <w:marBottom w:val="0"/>
                  <w:divBdr>
                    <w:top w:val="none" w:sz="0" w:space="0" w:color="auto"/>
                    <w:left w:val="none" w:sz="0" w:space="0" w:color="auto"/>
                    <w:bottom w:val="none" w:sz="0" w:space="0" w:color="auto"/>
                    <w:right w:val="none" w:sz="0" w:space="0" w:color="auto"/>
                  </w:divBdr>
                </w:div>
                <w:div w:id="1311443587">
                  <w:marLeft w:val="0"/>
                  <w:marRight w:val="0"/>
                  <w:marTop w:val="120"/>
                  <w:marBottom w:val="0"/>
                  <w:divBdr>
                    <w:top w:val="none" w:sz="0" w:space="0" w:color="auto"/>
                    <w:left w:val="none" w:sz="0" w:space="0" w:color="auto"/>
                    <w:bottom w:val="none" w:sz="0" w:space="0" w:color="auto"/>
                    <w:right w:val="none" w:sz="0" w:space="0" w:color="auto"/>
                  </w:divBdr>
                </w:div>
              </w:divsChild>
            </w:div>
            <w:div w:id="392043938">
              <w:marLeft w:val="0"/>
              <w:marRight w:val="0"/>
              <w:marTop w:val="0"/>
              <w:marBottom w:val="0"/>
              <w:divBdr>
                <w:top w:val="none" w:sz="0" w:space="0" w:color="auto"/>
                <w:left w:val="none" w:sz="0" w:space="0" w:color="auto"/>
                <w:bottom w:val="none" w:sz="0" w:space="0" w:color="auto"/>
                <w:right w:val="none" w:sz="0" w:space="0" w:color="auto"/>
              </w:divBdr>
              <w:divsChild>
                <w:div w:id="66198005">
                  <w:marLeft w:val="0"/>
                  <w:marRight w:val="0"/>
                  <w:marTop w:val="120"/>
                  <w:marBottom w:val="0"/>
                  <w:divBdr>
                    <w:top w:val="none" w:sz="0" w:space="0" w:color="auto"/>
                    <w:left w:val="none" w:sz="0" w:space="0" w:color="auto"/>
                    <w:bottom w:val="none" w:sz="0" w:space="0" w:color="auto"/>
                    <w:right w:val="none" w:sz="0" w:space="0" w:color="auto"/>
                  </w:divBdr>
                </w:div>
                <w:div w:id="1841001267">
                  <w:marLeft w:val="0"/>
                  <w:marRight w:val="0"/>
                  <w:marTop w:val="0"/>
                  <w:marBottom w:val="0"/>
                  <w:divBdr>
                    <w:top w:val="none" w:sz="0" w:space="0" w:color="auto"/>
                    <w:left w:val="none" w:sz="0" w:space="0" w:color="auto"/>
                    <w:bottom w:val="none" w:sz="0" w:space="0" w:color="auto"/>
                    <w:right w:val="none" w:sz="0" w:space="0" w:color="auto"/>
                  </w:divBdr>
                </w:div>
              </w:divsChild>
            </w:div>
            <w:div w:id="595745269">
              <w:marLeft w:val="0"/>
              <w:marRight w:val="0"/>
              <w:marTop w:val="0"/>
              <w:marBottom w:val="0"/>
              <w:divBdr>
                <w:top w:val="none" w:sz="0" w:space="0" w:color="auto"/>
                <w:left w:val="none" w:sz="0" w:space="0" w:color="auto"/>
                <w:bottom w:val="none" w:sz="0" w:space="0" w:color="auto"/>
                <w:right w:val="none" w:sz="0" w:space="0" w:color="auto"/>
              </w:divBdr>
              <w:divsChild>
                <w:div w:id="1071080502">
                  <w:marLeft w:val="0"/>
                  <w:marRight w:val="0"/>
                  <w:marTop w:val="0"/>
                  <w:marBottom w:val="0"/>
                  <w:divBdr>
                    <w:top w:val="none" w:sz="0" w:space="0" w:color="auto"/>
                    <w:left w:val="none" w:sz="0" w:space="0" w:color="auto"/>
                    <w:bottom w:val="none" w:sz="0" w:space="0" w:color="auto"/>
                    <w:right w:val="none" w:sz="0" w:space="0" w:color="auto"/>
                  </w:divBdr>
                </w:div>
                <w:div w:id="1821798950">
                  <w:marLeft w:val="0"/>
                  <w:marRight w:val="0"/>
                  <w:marTop w:val="120"/>
                  <w:marBottom w:val="0"/>
                  <w:divBdr>
                    <w:top w:val="none" w:sz="0" w:space="0" w:color="auto"/>
                    <w:left w:val="none" w:sz="0" w:space="0" w:color="auto"/>
                    <w:bottom w:val="none" w:sz="0" w:space="0" w:color="auto"/>
                    <w:right w:val="none" w:sz="0" w:space="0" w:color="auto"/>
                  </w:divBdr>
                </w:div>
              </w:divsChild>
            </w:div>
            <w:div w:id="1921674828">
              <w:marLeft w:val="0"/>
              <w:marRight w:val="0"/>
              <w:marTop w:val="0"/>
              <w:marBottom w:val="0"/>
              <w:divBdr>
                <w:top w:val="none" w:sz="0" w:space="0" w:color="auto"/>
                <w:left w:val="none" w:sz="0" w:space="0" w:color="auto"/>
                <w:bottom w:val="none" w:sz="0" w:space="0" w:color="auto"/>
                <w:right w:val="none" w:sz="0" w:space="0" w:color="auto"/>
              </w:divBdr>
              <w:divsChild>
                <w:div w:id="267928040">
                  <w:marLeft w:val="0"/>
                  <w:marRight w:val="0"/>
                  <w:marTop w:val="0"/>
                  <w:marBottom w:val="0"/>
                  <w:divBdr>
                    <w:top w:val="none" w:sz="0" w:space="0" w:color="auto"/>
                    <w:left w:val="none" w:sz="0" w:space="0" w:color="auto"/>
                    <w:bottom w:val="none" w:sz="0" w:space="0" w:color="auto"/>
                    <w:right w:val="none" w:sz="0" w:space="0" w:color="auto"/>
                  </w:divBdr>
                </w:div>
                <w:div w:id="747849243">
                  <w:marLeft w:val="0"/>
                  <w:marRight w:val="0"/>
                  <w:marTop w:val="120"/>
                  <w:marBottom w:val="0"/>
                  <w:divBdr>
                    <w:top w:val="none" w:sz="0" w:space="0" w:color="auto"/>
                    <w:left w:val="none" w:sz="0" w:space="0" w:color="auto"/>
                    <w:bottom w:val="none" w:sz="0" w:space="0" w:color="auto"/>
                    <w:right w:val="none" w:sz="0" w:space="0" w:color="auto"/>
                  </w:divBdr>
                </w:div>
              </w:divsChild>
            </w:div>
            <w:div w:id="2130316128">
              <w:marLeft w:val="0"/>
              <w:marRight w:val="0"/>
              <w:marTop w:val="0"/>
              <w:marBottom w:val="0"/>
              <w:divBdr>
                <w:top w:val="none" w:sz="0" w:space="0" w:color="auto"/>
                <w:left w:val="none" w:sz="0" w:space="0" w:color="auto"/>
                <w:bottom w:val="none" w:sz="0" w:space="0" w:color="auto"/>
                <w:right w:val="none" w:sz="0" w:space="0" w:color="auto"/>
              </w:divBdr>
              <w:divsChild>
                <w:div w:id="507796383">
                  <w:marLeft w:val="0"/>
                  <w:marRight w:val="0"/>
                  <w:marTop w:val="0"/>
                  <w:marBottom w:val="0"/>
                  <w:divBdr>
                    <w:top w:val="none" w:sz="0" w:space="0" w:color="auto"/>
                    <w:left w:val="none" w:sz="0" w:space="0" w:color="auto"/>
                    <w:bottom w:val="none" w:sz="0" w:space="0" w:color="auto"/>
                    <w:right w:val="none" w:sz="0" w:space="0" w:color="auto"/>
                  </w:divBdr>
                </w:div>
                <w:div w:id="10656453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0955935">
      <w:bodyDiv w:val="1"/>
      <w:marLeft w:val="0"/>
      <w:marRight w:val="0"/>
      <w:marTop w:val="0"/>
      <w:marBottom w:val="0"/>
      <w:divBdr>
        <w:top w:val="none" w:sz="0" w:space="0" w:color="auto"/>
        <w:left w:val="none" w:sz="0" w:space="0" w:color="auto"/>
        <w:bottom w:val="none" w:sz="0" w:space="0" w:color="auto"/>
        <w:right w:val="none" w:sz="0" w:space="0" w:color="auto"/>
      </w:divBdr>
      <w:divsChild>
        <w:div w:id="10769196">
          <w:marLeft w:val="600"/>
          <w:marRight w:val="0"/>
          <w:marTop w:val="0"/>
          <w:marBottom w:val="0"/>
          <w:divBdr>
            <w:top w:val="none" w:sz="0" w:space="0" w:color="auto"/>
            <w:left w:val="none" w:sz="0" w:space="0" w:color="auto"/>
            <w:bottom w:val="none" w:sz="0" w:space="0" w:color="auto"/>
            <w:right w:val="none" w:sz="0" w:space="0" w:color="auto"/>
          </w:divBdr>
        </w:div>
        <w:div w:id="1029797232">
          <w:marLeft w:val="600"/>
          <w:marRight w:val="0"/>
          <w:marTop w:val="0"/>
          <w:marBottom w:val="0"/>
          <w:divBdr>
            <w:top w:val="none" w:sz="0" w:space="0" w:color="auto"/>
            <w:left w:val="none" w:sz="0" w:space="0" w:color="auto"/>
            <w:bottom w:val="none" w:sz="0" w:space="0" w:color="auto"/>
            <w:right w:val="none" w:sz="0" w:space="0" w:color="auto"/>
          </w:divBdr>
        </w:div>
        <w:div w:id="1307473650">
          <w:marLeft w:val="720"/>
          <w:marRight w:val="0"/>
          <w:marTop w:val="0"/>
          <w:marBottom w:val="0"/>
          <w:divBdr>
            <w:top w:val="none" w:sz="0" w:space="0" w:color="auto"/>
            <w:left w:val="none" w:sz="0" w:space="0" w:color="auto"/>
            <w:bottom w:val="none" w:sz="0" w:space="0" w:color="auto"/>
            <w:right w:val="none" w:sz="0" w:space="0" w:color="auto"/>
          </w:divBdr>
        </w:div>
      </w:divsChild>
    </w:div>
    <w:div w:id="1414005679">
      <w:bodyDiv w:val="1"/>
      <w:marLeft w:val="0"/>
      <w:marRight w:val="0"/>
      <w:marTop w:val="0"/>
      <w:marBottom w:val="0"/>
      <w:divBdr>
        <w:top w:val="none" w:sz="0" w:space="0" w:color="auto"/>
        <w:left w:val="none" w:sz="0" w:space="0" w:color="auto"/>
        <w:bottom w:val="none" w:sz="0" w:space="0" w:color="auto"/>
        <w:right w:val="none" w:sz="0" w:space="0" w:color="auto"/>
      </w:divBdr>
    </w:div>
    <w:div w:id="1417364690">
      <w:bodyDiv w:val="1"/>
      <w:marLeft w:val="0"/>
      <w:marRight w:val="0"/>
      <w:marTop w:val="0"/>
      <w:marBottom w:val="0"/>
      <w:divBdr>
        <w:top w:val="none" w:sz="0" w:space="0" w:color="auto"/>
        <w:left w:val="none" w:sz="0" w:space="0" w:color="auto"/>
        <w:bottom w:val="none" w:sz="0" w:space="0" w:color="auto"/>
        <w:right w:val="none" w:sz="0" w:space="0" w:color="auto"/>
      </w:divBdr>
      <w:divsChild>
        <w:div w:id="234095408">
          <w:marLeft w:val="0"/>
          <w:marRight w:val="0"/>
          <w:marTop w:val="0"/>
          <w:marBottom w:val="0"/>
          <w:divBdr>
            <w:top w:val="none" w:sz="0" w:space="0" w:color="auto"/>
            <w:left w:val="none" w:sz="0" w:space="0" w:color="auto"/>
            <w:bottom w:val="none" w:sz="0" w:space="0" w:color="auto"/>
            <w:right w:val="none" w:sz="0" w:space="0" w:color="auto"/>
          </w:divBdr>
          <w:divsChild>
            <w:div w:id="5795628">
              <w:marLeft w:val="0"/>
              <w:marRight w:val="0"/>
              <w:marTop w:val="0"/>
              <w:marBottom w:val="0"/>
              <w:divBdr>
                <w:top w:val="none" w:sz="0" w:space="0" w:color="auto"/>
                <w:left w:val="none" w:sz="0" w:space="0" w:color="auto"/>
                <w:bottom w:val="none" w:sz="0" w:space="0" w:color="auto"/>
                <w:right w:val="none" w:sz="0" w:space="0" w:color="auto"/>
              </w:divBdr>
            </w:div>
          </w:divsChild>
        </w:div>
        <w:div w:id="708264180">
          <w:marLeft w:val="0"/>
          <w:marRight w:val="0"/>
          <w:marTop w:val="0"/>
          <w:marBottom w:val="0"/>
          <w:divBdr>
            <w:top w:val="none" w:sz="0" w:space="0" w:color="auto"/>
            <w:left w:val="none" w:sz="0" w:space="0" w:color="auto"/>
            <w:bottom w:val="none" w:sz="0" w:space="0" w:color="auto"/>
            <w:right w:val="none" w:sz="0" w:space="0" w:color="auto"/>
          </w:divBdr>
          <w:divsChild>
            <w:div w:id="825973204">
              <w:marLeft w:val="0"/>
              <w:marRight w:val="0"/>
              <w:marTop w:val="0"/>
              <w:marBottom w:val="0"/>
              <w:divBdr>
                <w:top w:val="none" w:sz="0" w:space="0" w:color="auto"/>
                <w:left w:val="none" w:sz="0" w:space="0" w:color="auto"/>
                <w:bottom w:val="none" w:sz="0" w:space="0" w:color="auto"/>
                <w:right w:val="none" w:sz="0" w:space="0" w:color="auto"/>
              </w:divBdr>
            </w:div>
          </w:divsChild>
        </w:div>
        <w:div w:id="1509448128">
          <w:marLeft w:val="0"/>
          <w:marRight w:val="0"/>
          <w:marTop w:val="0"/>
          <w:marBottom w:val="0"/>
          <w:divBdr>
            <w:top w:val="none" w:sz="0" w:space="0" w:color="auto"/>
            <w:left w:val="none" w:sz="0" w:space="0" w:color="auto"/>
            <w:bottom w:val="none" w:sz="0" w:space="0" w:color="auto"/>
            <w:right w:val="none" w:sz="0" w:space="0" w:color="auto"/>
          </w:divBdr>
          <w:divsChild>
            <w:div w:id="424157585">
              <w:marLeft w:val="0"/>
              <w:marRight w:val="0"/>
              <w:marTop w:val="0"/>
              <w:marBottom w:val="0"/>
              <w:divBdr>
                <w:top w:val="none" w:sz="0" w:space="0" w:color="auto"/>
                <w:left w:val="none" w:sz="0" w:space="0" w:color="auto"/>
                <w:bottom w:val="none" w:sz="0" w:space="0" w:color="auto"/>
                <w:right w:val="none" w:sz="0" w:space="0" w:color="auto"/>
              </w:divBdr>
              <w:divsChild>
                <w:div w:id="18630034">
                  <w:marLeft w:val="0"/>
                  <w:marRight w:val="0"/>
                  <w:marTop w:val="0"/>
                  <w:marBottom w:val="0"/>
                  <w:divBdr>
                    <w:top w:val="none" w:sz="0" w:space="0" w:color="auto"/>
                    <w:left w:val="none" w:sz="0" w:space="0" w:color="auto"/>
                    <w:bottom w:val="none" w:sz="0" w:space="0" w:color="auto"/>
                    <w:right w:val="none" w:sz="0" w:space="0" w:color="auto"/>
                  </w:divBdr>
                  <w:divsChild>
                    <w:div w:id="1145509619">
                      <w:marLeft w:val="0"/>
                      <w:marRight w:val="0"/>
                      <w:marTop w:val="0"/>
                      <w:marBottom w:val="0"/>
                      <w:divBdr>
                        <w:top w:val="none" w:sz="0" w:space="0" w:color="auto"/>
                        <w:left w:val="none" w:sz="0" w:space="0" w:color="auto"/>
                        <w:bottom w:val="none" w:sz="0" w:space="0" w:color="auto"/>
                        <w:right w:val="none" w:sz="0" w:space="0" w:color="auto"/>
                      </w:divBdr>
                    </w:div>
                    <w:div w:id="1486970304">
                      <w:marLeft w:val="0"/>
                      <w:marRight w:val="0"/>
                      <w:marTop w:val="120"/>
                      <w:marBottom w:val="0"/>
                      <w:divBdr>
                        <w:top w:val="none" w:sz="0" w:space="0" w:color="auto"/>
                        <w:left w:val="none" w:sz="0" w:space="0" w:color="auto"/>
                        <w:bottom w:val="none" w:sz="0" w:space="0" w:color="auto"/>
                        <w:right w:val="none" w:sz="0" w:space="0" w:color="auto"/>
                      </w:divBdr>
                    </w:div>
                  </w:divsChild>
                </w:div>
                <w:div w:id="379666602">
                  <w:marLeft w:val="0"/>
                  <w:marRight w:val="0"/>
                  <w:marTop w:val="0"/>
                  <w:marBottom w:val="0"/>
                  <w:divBdr>
                    <w:top w:val="none" w:sz="0" w:space="0" w:color="auto"/>
                    <w:left w:val="none" w:sz="0" w:space="0" w:color="auto"/>
                    <w:bottom w:val="none" w:sz="0" w:space="0" w:color="auto"/>
                    <w:right w:val="none" w:sz="0" w:space="0" w:color="auto"/>
                  </w:divBdr>
                  <w:divsChild>
                    <w:div w:id="520627927">
                      <w:marLeft w:val="0"/>
                      <w:marRight w:val="0"/>
                      <w:marTop w:val="0"/>
                      <w:marBottom w:val="0"/>
                      <w:divBdr>
                        <w:top w:val="none" w:sz="0" w:space="0" w:color="auto"/>
                        <w:left w:val="none" w:sz="0" w:space="0" w:color="auto"/>
                        <w:bottom w:val="none" w:sz="0" w:space="0" w:color="auto"/>
                        <w:right w:val="none" w:sz="0" w:space="0" w:color="auto"/>
                      </w:divBdr>
                    </w:div>
                    <w:div w:id="1874880133">
                      <w:marLeft w:val="0"/>
                      <w:marRight w:val="0"/>
                      <w:marTop w:val="120"/>
                      <w:marBottom w:val="0"/>
                      <w:divBdr>
                        <w:top w:val="none" w:sz="0" w:space="0" w:color="auto"/>
                        <w:left w:val="none" w:sz="0" w:space="0" w:color="auto"/>
                        <w:bottom w:val="none" w:sz="0" w:space="0" w:color="auto"/>
                        <w:right w:val="none" w:sz="0" w:space="0" w:color="auto"/>
                      </w:divBdr>
                    </w:div>
                  </w:divsChild>
                </w:div>
                <w:div w:id="630400000">
                  <w:marLeft w:val="0"/>
                  <w:marRight w:val="0"/>
                  <w:marTop w:val="0"/>
                  <w:marBottom w:val="0"/>
                  <w:divBdr>
                    <w:top w:val="none" w:sz="0" w:space="0" w:color="auto"/>
                    <w:left w:val="none" w:sz="0" w:space="0" w:color="auto"/>
                    <w:bottom w:val="none" w:sz="0" w:space="0" w:color="auto"/>
                    <w:right w:val="none" w:sz="0" w:space="0" w:color="auto"/>
                  </w:divBdr>
                  <w:divsChild>
                    <w:div w:id="1105734165">
                      <w:marLeft w:val="0"/>
                      <w:marRight w:val="0"/>
                      <w:marTop w:val="120"/>
                      <w:marBottom w:val="0"/>
                      <w:divBdr>
                        <w:top w:val="none" w:sz="0" w:space="0" w:color="auto"/>
                        <w:left w:val="none" w:sz="0" w:space="0" w:color="auto"/>
                        <w:bottom w:val="none" w:sz="0" w:space="0" w:color="auto"/>
                        <w:right w:val="none" w:sz="0" w:space="0" w:color="auto"/>
                      </w:divBdr>
                    </w:div>
                    <w:div w:id="1897623340">
                      <w:marLeft w:val="0"/>
                      <w:marRight w:val="0"/>
                      <w:marTop w:val="0"/>
                      <w:marBottom w:val="0"/>
                      <w:divBdr>
                        <w:top w:val="none" w:sz="0" w:space="0" w:color="auto"/>
                        <w:left w:val="none" w:sz="0" w:space="0" w:color="auto"/>
                        <w:bottom w:val="none" w:sz="0" w:space="0" w:color="auto"/>
                        <w:right w:val="none" w:sz="0" w:space="0" w:color="auto"/>
                      </w:divBdr>
                    </w:div>
                  </w:divsChild>
                </w:div>
                <w:div w:id="1985969082">
                  <w:marLeft w:val="0"/>
                  <w:marRight w:val="0"/>
                  <w:marTop w:val="0"/>
                  <w:marBottom w:val="0"/>
                  <w:divBdr>
                    <w:top w:val="none" w:sz="0" w:space="0" w:color="auto"/>
                    <w:left w:val="none" w:sz="0" w:space="0" w:color="auto"/>
                    <w:bottom w:val="none" w:sz="0" w:space="0" w:color="auto"/>
                    <w:right w:val="none" w:sz="0" w:space="0" w:color="auto"/>
                  </w:divBdr>
                  <w:divsChild>
                    <w:div w:id="379090928">
                      <w:marLeft w:val="0"/>
                      <w:marRight w:val="0"/>
                      <w:marTop w:val="120"/>
                      <w:marBottom w:val="0"/>
                      <w:divBdr>
                        <w:top w:val="none" w:sz="0" w:space="0" w:color="auto"/>
                        <w:left w:val="none" w:sz="0" w:space="0" w:color="auto"/>
                        <w:bottom w:val="none" w:sz="0" w:space="0" w:color="auto"/>
                        <w:right w:val="none" w:sz="0" w:space="0" w:color="auto"/>
                      </w:divBdr>
                    </w:div>
                    <w:div w:id="16150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5482">
          <w:marLeft w:val="0"/>
          <w:marRight w:val="0"/>
          <w:marTop w:val="0"/>
          <w:marBottom w:val="0"/>
          <w:divBdr>
            <w:top w:val="none" w:sz="0" w:space="0" w:color="auto"/>
            <w:left w:val="none" w:sz="0" w:space="0" w:color="auto"/>
            <w:bottom w:val="none" w:sz="0" w:space="0" w:color="auto"/>
            <w:right w:val="none" w:sz="0" w:space="0" w:color="auto"/>
          </w:divBdr>
          <w:divsChild>
            <w:div w:id="1318264119">
              <w:marLeft w:val="0"/>
              <w:marRight w:val="0"/>
              <w:marTop w:val="0"/>
              <w:marBottom w:val="0"/>
              <w:divBdr>
                <w:top w:val="none" w:sz="0" w:space="0" w:color="auto"/>
                <w:left w:val="none" w:sz="0" w:space="0" w:color="auto"/>
                <w:bottom w:val="none" w:sz="0" w:space="0" w:color="auto"/>
                <w:right w:val="none" w:sz="0" w:space="0" w:color="auto"/>
              </w:divBdr>
            </w:div>
          </w:divsChild>
        </w:div>
        <w:div w:id="1600528880">
          <w:marLeft w:val="0"/>
          <w:marRight w:val="0"/>
          <w:marTop w:val="0"/>
          <w:marBottom w:val="0"/>
          <w:divBdr>
            <w:top w:val="none" w:sz="0" w:space="0" w:color="auto"/>
            <w:left w:val="none" w:sz="0" w:space="0" w:color="auto"/>
            <w:bottom w:val="none" w:sz="0" w:space="0" w:color="auto"/>
            <w:right w:val="none" w:sz="0" w:space="0" w:color="auto"/>
          </w:divBdr>
          <w:divsChild>
            <w:div w:id="147330322">
              <w:marLeft w:val="0"/>
              <w:marRight w:val="0"/>
              <w:marTop w:val="0"/>
              <w:marBottom w:val="0"/>
              <w:divBdr>
                <w:top w:val="none" w:sz="0" w:space="0" w:color="auto"/>
                <w:left w:val="none" w:sz="0" w:space="0" w:color="auto"/>
                <w:bottom w:val="none" w:sz="0" w:space="0" w:color="auto"/>
                <w:right w:val="none" w:sz="0" w:space="0" w:color="auto"/>
              </w:divBdr>
              <w:divsChild>
                <w:div w:id="517233979">
                  <w:marLeft w:val="0"/>
                  <w:marRight w:val="0"/>
                  <w:marTop w:val="120"/>
                  <w:marBottom w:val="0"/>
                  <w:divBdr>
                    <w:top w:val="none" w:sz="0" w:space="0" w:color="auto"/>
                    <w:left w:val="none" w:sz="0" w:space="0" w:color="auto"/>
                    <w:bottom w:val="none" w:sz="0" w:space="0" w:color="auto"/>
                    <w:right w:val="none" w:sz="0" w:space="0" w:color="auto"/>
                  </w:divBdr>
                </w:div>
                <w:div w:id="987129026">
                  <w:marLeft w:val="0"/>
                  <w:marRight w:val="0"/>
                  <w:marTop w:val="120"/>
                  <w:marBottom w:val="0"/>
                  <w:divBdr>
                    <w:top w:val="none" w:sz="0" w:space="0" w:color="auto"/>
                    <w:left w:val="none" w:sz="0" w:space="0" w:color="auto"/>
                    <w:bottom w:val="none" w:sz="0" w:space="0" w:color="auto"/>
                    <w:right w:val="none" w:sz="0" w:space="0" w:color="auto"/>
                  </w:divBdr>
                </w:div>
                <w:div w:id="14961891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1943667">
          <w:marLeft w:val="0"/>
          <w:marRight w:val="0"/>
          <w:marTop w:val="0"/>
          <w:marBottom w:val="0"/>
          <w:divBdr>
            <w:top w:val="none" w:sz="0" w:space="0" w:color="auto"/>
            <w:left w:val="none" w:sz="0" w:space="0" w:color="auto"/>
            <w:bottom w:val="none" w:sz="0" w:space="0" w:color="auto"/>
            <w:right w:val="none" w:sz="0" w:space="0" w:color="auto"/>
          </w:divBdr>
          <w:divsChild>
            <w:div w:id="1908497007">
              <w:marLeft w:val="0"/>
              <w:marRight w:val="0"/>
              <w:marTop w:val="0"/>
              <w:marBottom w:val="0"/>
              <w:divBdr>
                <w:top w:val="none" w:sz="0" w:space="0" w:color="auto"/>
                <w:left w:val="none" w:sz="0" w:space="0" w:color="auto"/>
                <w:bottom w:val="none" w:sz="0" w:space="0" w:color="auto"/>
                <w:right w:val="none" w:sz="0" w:space="0" w:color="auto"/>
              </w:divBdr>
              <w:divsChild>
                <w:div w:id="673726865">
                  <w:marLeft w:val="0"/>
                  <w:marRight w:val="0"/>
                  <w:marTop w:val="0"/>
                  <w:marBottom w:val="0"/>
                  <w:divBdr>
                    <w:top w:val="none" w:sz="0" w:space="0" w:color="auto"/>
                    <w:left w:val="none" w:sz="0" w:space="0" w:color="auto"/>
                    <w:bottom w:val="none" w:sz="0" w:space="0" w:color="auto"/>
                    <w:right w:val="none" w:sz="0" w:space="0" w:color="auto"/>
                  </w:divBdr>
                  <w:divsChild>
                    <w:div w:id="65610885">
                      <w:marLeft w:val="0"/>
                      <w:marRight w:val="0"/>
                      <w:marTop w:val="0"/>
                      <w:marBottom w:val="0"/>
                      <w:divBdr>
                        <w:top w:val="none" w:sz="0" w:space="0" w:color="auto"/>
                        <w:left w:val="none" w:sz="0" w:space="0" w:color="auto"/>
                        <w:bottom w:val="none" w:sz="0" w:space="0" w:color="auto"/>
                        <w:right w:val="none" w:sz="0" w:space="0" w:color="auto"/>
                      </w:divBdr>
                    </w:div>
                    <w:div w:id="1987464641">
                      <w:marLeft w:val="0"/>
                      <w:marRight w:val="0"/>
                      <w:marTop w:val="120"/>
                      <w:marBottom w:val="0"/>
                      <w:divBdr>
                        <w:top w:val="none" w:sz="0" w:space="0" w:color="auto"/>
                        <w:left w:val="none" w:sz="0" w:space="0" w:color="auto"/>
                        <w:bottom w:val="none" w:sz="0" w:space="0" w:color="auto"/>
                        <w:right w:val="none" w:sz="0" w:space="0" w:color="auto"/>
                      </w:divBdr>
                    </w:div>
                  </w:divsChild>
                </w:div>
                <w:div w:id="1444691769">
                  <w:marLeft w:val="0"/>
                  <w:marRight w:val="0"/>
                  <w:marTop w:val="0"/>
                  <w:marBottom w:val="0"/>
                  <w:divBdr>
                    <w:top w:val="none" w:sz="0" w:space="0" w:color="auto"/>
                    <w:left w:val="none" w:sz="0" w:space="0" w:color="auto"/>
                    <w:bottom w:val="none" w:sz="0" w:space="0" w:color="auto"/>
                    <w:right w:val="none" w:sz="0" w:space="0" w:color="auto"/>
                  </w:divBdr>
                  <w:divsChild>
                    <w:div w:id="312753902">
                      <w:marLeft w:val="0"/>
                      <w:marRight w:val="0"/>
                      <w:marTop w:val="0"/>
                      <w:marBottom w:val="0"/>
                      <w:divBdr>
                        <w:top w:val="none" w:sz="0" w:space="0" w:color="auto"/>
                        <w:left w:val="none" w:sz="0" w:space="0" w:color="auto"/>
                        <w:bottom w:val="none" w:sz="0" w:space="0" w:color="auto"/>
                        <w:right w:val="none" w:sz="0" w:space="0" w:color="auto"/>
                      </w:divBdr>
                    </w:div>
                    <w:div w:id="1283920704">
                      <w:marLeft w:val="0"/>
                      <w:marRight w:val="0"/>
                      <w:marTop w:val="120"/>
                      <w:marBottom w:val="0"/>
                      <w:divBdr>
                        <w:top w:val="none" w:sz="0" w:space="0" w:color="auto"/>
                        <w:left w:val="none" w:sz="0" w:space="0" w:color="auto"/>
                        <w:bottom w:val="none" w:sz="0" w:space="0" w:color="auto"/>
                        <w:right w:val="none" w:sz="0" w:space="0" w:color="auto"/>
                      </w:divBdr>
                    </w:div>
                  </w:divsChild>
                </w:div>
                <w:div w:id="1528251268">
                  <w:marLeft w:val="0"/>
                  <w:marRight w:val="0"/>
                  <w:marTop w:val="0"/>
                  <w:marBottom w:val="0"/>
                  <w:divBdr>
                    <w:top w:val="none" w:sz="0" w:space="0" w:color="auto"/>
                    <w:left w:val="none" w:sz="0" w:space="0" w:color="auto"/>
                    <w:bottom w:val="none" w:sz="0" w:space="0" w:color="auto"/>
                    <w:right w:val="none" w:sz="0" w:space="0" w:color="auto"/>
                  </w:divBdr>
                  <w:divsChild>
                    <w:div w:id="338235913">
                      <w:marLeft w:val="0"/>
                      <w:marRight w:val="0"/>
                      <w:marTop w:val="120"/>
                      <w:marBottom w:val="0"/>
                      <w:divBdr>
                        <w:top w:val="none" w:sz="0" w:space="0" w:color="auto"/>
                        <w:left w:val="none" w:sz="0" w:space="0" w:color="auto"/>
                        <w:bottom w:val="none" w:sz="0" w:space="0" w:color="auto"/>
                        <w:right w:val="none" w:sz="0" w:space="0" w:color="auto"/>
                      </w:divBdr>
                    </w:div>
                    <w:div w:id="1774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3492">
          <w:marLeft w:val="0"/>
          <w:marRight w:val="0"/>
          <w:marTop w:val="0"/>
          <w:marBottom w:val="0"/>
          <w:divBdr>
            <w:top w:val="none" w:sz="0" w:space="0" w:color="auto"/>
            <w:left w:val="none" w:sz="0" w:space="0" w:color="auto"/>
            <w:bottom w:val="none" w:sz="0" w:space="0" w:color="auto"/>
            <w:right w:val="none" w:sz="0" w:space="0" w:color="auto"/>
          </w:divBdr>
          <w:divsChild>
            <w:div w:id="20297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6313">
      <w:bodyDiv w:val="1"/>
      <w:marLeft w:val="0"/>
      <w:marRight w:val="0"/>
      <w:marTop w:val="0"/>
      <w:marBottom w:val="0"/>
      <w:divBdr>
        <w:top w:val="none" w:sz="0" w:space="0" w:color="auto"/>
        <w:left w:val="none" w:sz="0" w:space="0" w:color="auto"/>
        <w:bottom w:val="none" w:sz="0" w:space="0" w:color="auto"/>
        <w:right w:val="none" w:sz="0" w:space="0" w:color="auto"/>
      </w:divBdr>
    </w:div>
    <w:div w:id="1425228692">
      <w:bodyDiv w:val="1"/>
      <w:marLeft w:val="0"/>
      <w:marRight w:val="0"/>
      <w:marTop w:val="0"/>
      <w:marBottom w:val="0"/>
      <w:divBdr>
        <w:top w:val="none" w:sz="0" w:space="0" w:color="auto"/>
        <w:left w:val="none" w:sz="0" w:space="0" w:color="auto"/>
        <w:bottom w:val="none" w:sz="0" w:space="0" w:color="auto"/>
        <w:right w:val="none" w:sz="0" w:space="0" w:color="auto"/>
      </w:divBdr>
      <w:divsChild>
        <w:div w:id="128209581">
          <w:marLeft w:val="0"/>
          <w:marRight w:val="0"/>
          <w:marTop w:val="0"/>
          <w:marBottom w:val="0"/>
          <w:divBdr>
            <w:top w:val="none" w:sz="0" w:space="0" w:color="auto"/>
            <w:left w:val="none" w:sz="0" w:space="0" w:color="auto"/>
            <w:bottom w:val="none" w:sz="0" w:space="0" w:color="auto"/>
            <w:right w:val="none" w:sz="0" w:space="0" w:color="auto"/>
          </w:divBdr>
          <w:divsChild>
            <w:div w:id="859782128">
              <w:marLeft w:val="0"/>
              <w:marRight w:val="0"/>
              <w:marTop w:val="0"/>
              <w:marBottom w:val="0"/>
              <w:divBdr>
                <w:top w:val="none" w:sz="0" w:space="0" w:color="auto"/>
                <w:left w:val="none" w:sz="0" w:space="0" w:color="auto"/>
                <w:bottom w:val="none" w:sz="0" w:space="0" w:color="auto"/>
                <w:right w:val="none" w:sz="0" w:space="0" w:color="auto"/>
              </w:divBdr>
            </w:div>
          </w:divsChild>
        </w:div>
        <w:div w:id="1179931151">
          <w:marLeft w:val="0"/>
          <w:marRight w:val="0"/>
          <w:marTop w:val="0"/>
          <w:marBottom w:val="0"/>
          <w:divBdr>
            <w:top w:val="none" w:sz="0" w:space="0" w:color="auto"/>
            <w:left w:val="none" w:sz="0" w:space="0" w:color="auto"/>
            <w:bottom w:val="none" w:sz="0" w:space="0" w:color="auto"/>
            <w:right w:val="none" w:sz="0" w:space="0" w:color="auto"/>
          </w:divBdr>
          <w:divsChild>
            <w:div w:id="1282344268">
              <w:marLeft w:val="0"/>
              <w:marRight w:val="0"/>
              <w:marTop w:val="0"/>
              <w:marBottom w:val="0"/>
              <w:divBdr>
                <w:top w:val="none" w:sz="0" w:space="0" w:color="auto"/>
                <w:left w:val="none" w:sz="0" w:space="0" w:color="auto"/>
                <w:bottom w:val="none" w:sz="0" w:space="0" w:color="auto"/>
                <w:right w:val="none" w:sz="0" w:space="0" w:color="auto"/>
              </w:divBdr>
              <w:divsChild>
                <w:div w:id="8603480">
                  <w:marLeft w:val="0"/>
                  <w:marRight w:val="0"/>
                  <w:marTop w:val="0"/>
                  <w:marBottom w:val="0"/>
                  <w:divBdr>
                    <w:top w:val="none" w:sz="0" w:space="0" w:color="auto"/>
                    <w:left w:val="none" w:sz="0" w:space="0" w:color="auto"/>
                    <w:bottom w:val="none" w:sz="0" w:space="0" w:color="auto"/>
                    <w:right w:val="none" w:sz="0" w:space="0" w:color="auto"/>
                  </w:divBdr>
                  <w:divsChild>
                    <w:div w:id="88627285">
                      <w:marLeft w:val="0"/>
                      <w:marRight w:val="0"/>
                      <w:marTop w:val="120"/>
                      <w:marBottom w:val="0"/>
                      <w:divBdr>
                        <w:top w:val="none" w:sz="0" w:space="0" w:color="auto"/>
                        <w:left w:val="none" w:sz="0" w:space="0" w:color="auto"/>
                        <w:bottom w:val="none" w:sz="0" w:space="0" w:color="auto"/>
                        <w:right w:val="none" w:sz="0" w:space="0" w:color="auto"/>
                      </w:divBdr>
                    </w:div>
                    <w:div w:id="1095053455">
                      <w:marLeft w:val="0"/>
                      <w:marRight w:val="0"/>
                      <w:marTop w:val="0"/>
                      <w:marBottom w:val="0"/>
                      <w:divBdr>
                        <w:top w:val="none" w:sz="0" w:space="0" w:color="auto"/>
                        <w:left w:val="none" w:sz="0" w:space="0" w:color="auto"/>
                        <w:bottom w:val="none" w:sz="0" w:space="0" w:color="auto"/>
                        <w:right w:val="none" w:sz="0" w:space="0" w:color="auto"/>
                      </w:divBdr>
                      <w:divsChild>
                        <w:div w:id="262999411">
                          <w:marLeft w:val="0"/>
                          <w:marRight w:val="0"/>
                          <w:marTop w:val="0"/>
                          <w:marBottom w:val="0"/>
                          <w:divBdr>
                            <w:top w:val="none" w:sz="0" w:space="0" w:color="auto"/>
                            <w:left w:val="none" w:sz="0" w:space="0" w:color="auto"/>
                            <w:bottom w:val="none" w:sz="0" w:space="0" w:color="auto"/>
                            <w:right w:val="none" w:sz="0" w:space="0" w:color="auto"/>
                          </w:divBdr>
                          <w:divsChild>
                            <w:div w:id="287593764">
                              <w:marLeft w:val="0"/>
                              <w:marRight w:val="0"/>
                              <w:marTop w:val="120"/>
                              <w:marBottom w:val="0"/>
                              <w:divBdr>
                                <w:top w:val="none" w:sz="0" w:space="0" w:color="auto"/>
                                <w:left w:val="none" w:sz="0" w:space="0" w:color="auto"/>
                                <w:bottom w:val="none" w:sz="0" w:space="0" w:color="auto"/>
                                <w:right w:val="none" w:sz="0" w:space="0" w:color="auto"/>
                              </w:divBdr>
                            </w:div>
                            <w:div w:id="1988044993">
                              <w:marLeft w:val="0"/>
                              <w:marRight w:val="0"/>
                              <w:marTop w:val="0"/>
                              <w:marBottom w:val="0"/>
                              <w:divBdr>
                                <w:top w:val="none" w:sz="0" w:space="0" w:color="auto"/>
                                <w:left w:val="none" w:sz="0" w:space="0" w:color="auto"/>
                                <w:bottom w:val="none" w:sz="0" w:space="0" w:color="auto"/>
                                <w:right w:val="none" w:sz="0" w:space="0" w:color="auto"/>
                              </w:divBdr>
                            </w:div>
                          </w:divsChild>
                        </w:div>
                        <w:div w:id="710034925">
                          <w:marLeft w:val="0"/>
                          <w:marRight w:val="0"/>
                          <w:marTop w:val="0"/>
                          <w:marBottom w:val="0"/>
                          <w:divBdr>
                            <w:top w:val="none" w:sz="0" w:space="0" w:color="auto"/>
                            <w:left w:val="none" w:sz="0" w:space="0" w:color="auto"/>
                            <w:bottom w:val="none" w:sz="0" w:space="0" w:color="auto"/>
                            <w:right w:val="none" w:sz="0" w:space="0" w:color="auto"/>
                          </w:divBdr>
                          <w:divsChild>
                            <w:div w:id="55082534">
                              <w:marLeft w:val="0"/>
                              <w:marRight w:val="0"/>
                              <w:marTop w:val="120"/>
                              <w:marBottom w:val="0"/>
                              <w:divBdr>
                                <w:top w:val="none" w:sz="0" w:space="0" w:color="auto"/>
                                <w:left w:val="none" w:sz="0" w:space="0" w:color="auto"/>
                                <w:bottom w:val="none" w:sz="0" w:space="0" w:color="auto"/>
                                <w:right w:val="none" w:sz="0" w:space="0" w:color="auto"/>
                              </w:divBdr>
                            </w:div>
                            <w:div w:id="427314442">
                              <w:marLeft w:val="0"/>
                              <w:marRight w:val="0"/>
                              <w:marTop w:val="0"/>
                              <w:marBottom w:val="0"/>
                              <w:divBdr>
                                <w:top w:val="none" w:sz="0" w:space="0" w:color="auto"/>
                                <w:left w:val="none" w:sz="0" w:space="0" w:color="auto"/>
                                <w:bottom w:val="none" w:sz="0" w:space="0" w:color="auto"/>
                                <w:right w:val="none" w:sz="0" w:space="0" w:color="auto"/>
                              </w:divBdr>
                            </w:div>
                          </w:divsChild>
                        </w:div>
                        <w:div w:id="1346444274">
                          <w:marLeft w:val="0"/>
                          <w:marRight w:val="0"/>
                          <w:marTop w:val="0"/>
                          <w:marBottom w:val="0"/>
                          <w:divBdr>
                            <w:top w:val="none" w:sz="0" w:space="0" w:color="auto"/>
                            <w:left w:val="none" w:sz="0" w:space="0" w:color="auto"/>
                            <w:bottom w:val="none" w:sz="0" w:space="0" w:color="auto"/>
                            <w:right w:val="none" w:sz="0" w:space="0" w:color="auto"/>
                          </w:divBdr>
                          <w:divsChild>
                            <w:div w:id="800423547">
                              <w:marLeft w:val="0"/>
                              <w:marRight w:val="0"/>
                              <w:marTop w:val="0"/>
                              <w:marBottom w:val="0"/>
                              <w:divBdr>
                                <w:top w:val="none" w:sz="0" w:space="0" w:color="auto"/>
                                <w:left w:val="none" w:sz="0" w:space="0" w:color="auto"/>
                                <w:bottom w:val="none" w:sz="0" w:space="0" w:color="auto"/>
                                <w:right w:val="none" w:sz="0" w:space="0" w:color="auto"/>
                              </w:divBdr>
                            </w:div>
                            <w:div w:id="1283463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79865772">
                  <w:marLeft w:val="0"/>
                  <w:marRight w:val="0"/>
                  <w:marTop w:val="0"/>
                  <w:marBottom w:val="0"/>
                  <w:divBdr>
                    <w:top w:val="none" w:sz="0" w:space="0" w:color="auto"/>
                    <w:left w:val="none" w:sz="0" w:space="0" w:color="auto"/>
                    <w:bottom w:val="none" w:sz="0" w:space="0" w:color="auto"/>
                    <w:right w:val="none" w:sz="0" w:space="0" w:color="auto"/>
                  </w:divBdr>
                  <w:divsChild>
                    <w:div w:id="23136517">
                      <w:marLeft w:val="0"/>
                      <w:marRight w:val="0"/>
                      <w:marTop w:val="0"/>
                      <w:marBottom w:val="0"/>
                      <w:divBdr>
                        <w:top w:val="none" w:sz="0" w:space="0" w:color="auto"/>
                        <w:left w:val="none" w:sz="0" w:space="0" w:color="auto"/>
                        <w:bottom w:val="none" w:sz="0" w:space="0" w:color="auto"/>
                        <w:right w:val="none" w:sz="0" w:space="0" w:color="auto"/>
                      </w:divBdr>
                    </w:div>
                    <w:div w:id="1255238794">
                      <w:marLeft w:val="0"/>
                      <w:marRight w:val="0"/>
                      <w:marTop w:val="120"/>
                      <w:marBottom w:val="0"/>
                      <w:divBdr>
                        <w:top w:val="none" w:sz="0" w:space="0" w:color="auto"/>
                        <w:left w:val="none" w:sz="0" w:space="0" w:color="auto"/>
                        <w:bottom w:val="none" w:sz="0" w:space="0" w:color="auto"/>
                        <w:right w:val="none" w:sz="0" w:space="0" w:color="auto"/>
                      </w:divBdr>
                    </w:div>
                  </w:divsChild>
                </w:div>
                <w:div w:id="1398632538">
                  <w:marLeft w:val="0"/>
                  <w:marRight w:val="0"/>
                  <w:marTop w:val="0"/>
                  <w:marBottom w:val="0"/>
                  <w:divBdr>
                    <w:top w:val="none" w:sz="0" w:space="0" w:color="auto"/>
                    <w:left w:val="none" w:sz="0" w:space="0" w:color="auto"/>
                    <w:bottom w:val="none" w:sz="0" w:space="0" w:color="auto"/>
                    <w:right w:val="none" w:sz="0" w:space="0" w:color="auto"/>
                  </w:divBdr>
                  <w:divsChild>
                    <w:div w:id="316227111">
                      <w:marLeft w:val="0"/>
                      <w:marRight w:val="0"/>
                      <w:marTop w:val="120"/>
                      <w:marBottom w:val="0"/>
                      <w:divBdr>
                        <w:top w:val="none" w:sz="0" w:space="0" w:color="auto"/>
                        <w:left w:val="none" w:sz="0" w:space="0" w:color="auto"/>
                        <w:bottom w:val="none" w:sz="0" w:space="0" w:color="auto"/>
                        <w:right w:val="none" w:sz="0" w:space="0" w:color="auto"/>
                      </w:divBdr>
                    </w:div>
                    <w:div w:id="19557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6172">
          <w:marLeft w:val="0"/>
          <w:marRight w:val="0"/>
          <w:marTop w:val="0"/>
          <w:marBottom w:val="0"/>
          <w:divBdr>
            <w:top w:val="none" w:sz="0" w:space="0" w:color="auto"/>
            <w:left w:val="none" w:sz="0" w:space="0" w:color="auto"/>
            <w:bottom w:val="none" w:sz="0" w:space="0" w:color="auto"/>
            <w:right w:val="none" w:sz="0" w:space="0" w:color="auto"/>
          </w:divBdr>
          <w:divsChild>
            <w:div w:id="1948191727">
              <w:marLeft w:val="0"/>
              <w:marRight w:val="0"/>
              <w:marTop w:val="0"/>
              <w:marBottom w:val="0"/>
              <w:divBdr>
                <w:top w:val="none" w:sz="0" w:space="0" w:color="auto"/>
                <w:left w:val="none" w:sz="0" w:space="0" w:color="auto"/>
                <w:bottom w:val="none" w:sz="0" w:space="0" w:color="auto"/>
                <w:right w:val="none" w:sz="0" w:space="0" w:color="auto"/>
              </w:divBdr>
              <w:divsChild>
                <w:div w:id="639309745">
                  <w:marLeft w:val="0"/>
                  <w:marRight w:val="0"/>
                  <w:marTop w:val="0"/>
                  <w:marBottom w:val="0"/>
                  <w:divBdr>
                    <w:top w:val="none" w:sz="0" w:space="0" w:color="auto"/>
                    <w:left w:val="none" w:sz="0" w:space="0" w:color="auto"/>
                    <w:bottom w:val="none" w:sz="0" w:space="0" w:color="auto"/>
                    <w:right w:val="none" w:sz="0" w:space="0" w:color="auto"/>
                  </w:divBdr>
                  <w:divsChild>
                    <w:div w:id="1033386566">
                      <w:marLeft w:val="0"/>
                      <w:marRight w:val="0"/>
                      <w:marTop w:val="0"/>
                      <w:marBottom w:val="0"/>
                      <w:divBdr>
                        <w:top w:val="none" w:sz="0" w:space="0" w:color="auto"/>
                        <w:left w:val="none" w:sz="0" w:space="0" w:color="auto"/>
                        <w:bottom w:val="none" w:sz="0" w:space="0" w:color="auto"/>
                        <w:right w:val="none" w:sz="0" w:space="0" w:color="auto"/>
                      </w:divBdr>
                    </w:div>
                    <w:div w:id="1920826275">
                      <w:marLeft w:val="0"/>
                      <w:marRight w:val="0"/>
                      <w:marTop w:val="120"/>
                      <w:marBottom w:val="0"/>
                      <w:divBdr>
                        <w:top w:val="none" w:sz="0" w:space="0" w:color="auto"/>
                        <w:left w:val="none" w:sz="0" w:space="0" w:color="auto"/>
                        <w:bottom w:val="none" w:sz="0" w:space="0" w:color="auto"/>
                        <w:right w:val="none" w:sz="0" w:space="0" w:color="auto"/>
                      </w:divBdr>
                    </w:div>
                  </w:divsChild>
                </w:div>
                <w:div w:id="937372496">
                  <w:marLeft w:val="0"/>
                  <w:marRight w:val="0"/>
                  <w:marTop w:val="0"/>
                  <w:marBottom w:val="0"/>
                  <w:divBdr>
                    <w:top w:val="none" w:sz="0" w:space="0" w:color="auto"/>
                    <w:left w:val="none" w:sz="0" w:space="0" w:color="auto"/>
                    <w:bottom w:val="none" w:sz="0" w:space="0" w:color="auto"/>
                    <w:right w:val="none" w:sz="0" w:space="0" w:color="auto"/>
                  </w:divBdr>
                  <w:divsChild>
                    <w:div w:id="476411303">
                      <w:marLeft w:val="0"/>
                      <w:marRight w:val="0"/>
                      <w:marTop w:val="0"/>
                      <w:marBottom w:val="0"/>
                      <w:divBdr>
                        <w:top w:val="none" w:sz="0" w:space="0" w:color="auto"/>
                        <w:left w:val="none" w:sz="0" w:space="0" w:color="auto"/>
                        <w:bottom w:val="none" w:sz="0" w:space="0" w:color="auto"/>
                        <w:right w:val="none" w:sz="0" w:space="0" w:color="auto"/>
                      </w:divBdr>
                      <w:divsChild>
                        <w:div w:id="1443459424">
                          <w:marLeft w:val="0"/>
                          <w:marRight w:val="0"/>
                          <w:marTop w:val="0"/>
                          <w:marBottom w:val="0"/>
                          <w:divBdr>
                            <w:top w:val="none" w:sz="0" w:space="0" w:color="auto"/>
                            <w:left w:val="none" w:sz="0" w:space="0" w:color="auto"/>
                            <w:bottom w:val="none" w:sz="0" w:space="0" w:color="auto"/>
                            <w:right w:val="none" w:sz="0" w:space="0" w:color="auto"/>
                          </w:divBdr>
                          <w:divsChild>
                            <w:div w:id="255555608">
                              <w:marLeft w:val="0"/>
                              <w:marRight w:val="0"/>
                              <w:marTop w:val="120"/>
                              <w:marBottom w:val="0"/>
                              <w:divBdr>
                                <w:top w:val="none" w:sz="0" w:space="0" w:color="auto"/>
                                <w:left w:val="none" w:sz="0" w:space="0" w:color="auto"/>
                                <w:bottom w:val="none" w:sz="0" w:space="0" w:color="auto"/>
                                <w:right w:val="none" w:sz="0" w:space="0" w:color="auto"/>
                              </w:divBdr>
                            </w:div>
                            <w:div w:id="1787582863">
                              <w:marLeft w:val="0"/>
                              <w:marRight w:val="0"/>
                              <w:marTop w:val="0"/>
                              <w:marBottom w:val="0"/>
                              <w:divBdr>
                                <w:top w:val="none" w:sz="0" w:space="0" w:color="auto"/>
                                <w:left w:val="none" w:sz="0" w:space="0" w:color="auto"/>
                                <w:bottom w:val="none" w:sz="0" w:space="0" w:color="auto"/>
                                <w:right w:val="none" w:sz="0" w:space="0" w:color="auto"/>
                              </w:divBdr>
                            </w:div>
                          </w:divsChild>
                        </w:div>
                        <w:div w:id="1644651043">
                          <w:marLeft w:val="0"/>
                          <w:marRight w:val="0"/>
                          <w:marTop w:val="0"/>
                          <w:marBottom w:val="0"/>
                          <w:divBdr>
                            <w:top w:val="none" w:sz="0" w:space="0" w:color="auto"/>
                            <w:left w:val="none" w:sz="0" w:space="0" w:color="auto"/>
                            <w:bottom w:val="none" w:sz="0" w:space="0" w:color="auto"/>
                            <w:right w:val="none" w:sz="0" w:space="0" w:color="auto"/>
                          </w:divBdr>
                          <w:divsChild>
                            <w:div w:id="642202397">
                              <w:marLeft w:val="0"/>
                              <w:marRight w:val="0"/>
                              <w:marTop w:val="0"/>
                              <w:marBottom w:val="0"/>
                              <w:divBdr>
                                <w:top w:val="none" w:sz="0" w:space="0" w:color="auto"/>
                                <w:left w:val="none" w:sz="0" w:space="0" w:color="auto"/>
                                <w:bottom w:val="none" w:sz="0" w:space="0" w:color="auto"/>
                                <w:right w:val="none" w:sz="0" w:space="0" w:color="auto"/>
                              </w:divBdr>
                            </w:div>
                            <w:div w:id="18415085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9355740">
                      <w:marLeft w:val="0"/>
                      <w:marRight w:val="0"/>
                      <w:marTop w:val="120"/>
                      <w:marBottom w:val="0"/>
                      <w:divBdr>
                        <w:top w:val="none" w:sz="0" w:space="0" w:color="auto"/>
                        <w:left w:val="none" w:sz="0" w:space="0" w:color="auto"/>
                        <w:bottom w:val="none" w:sz="0" w:space="0" w:color="auto"/>
                        <w:right w:val="none" w:sz="0" w:space="0" w:color="auto"/>
                      </w:divBdr>
                    </w:div>
                  </w:divsChild>
                </w:div>
                <w:div w:id="1360425848">
                  <w:marLeft w:val="0"/>
                  <w:marRight w:val="0"/>
                  <w:marTop w:val="0"/>
                  <w:marBottom w:val="0"/>
                  <w:divBdr>
                    <w:top w:val="none" w:sz="0" w:space="0" w:color="auto"/>
                    <w:left w:val="none" w:sz="0" w:space="0" w:color="auto"/>
                    <w:bottom w:val="none" w:sz="0" w:space="0" w:color="auto"/>
                    <w:right w:val="none" w:sz="0" w:space="0" w:color="auto"/>
                  </w:divBdr>
                  <w:divsChild>
                    <w:div w:id="870415601">
                      <w:marLeft w:val="0"/>
                      <w:marRight w:val="0"/>
                      <w:marTop w:val="0"/>
                      <w:marBottom w:val="0"/>
                      <w:divBdr>
                        <w:top w:val="none" w:sz="0" w:space="0" w:color="auto"/>
                        <w:left w:val="none" w:sz="0" w:space="0" w:color="auto"/>
                        <w:bottom w:val="none" w:sz="0" w:space="0" w:color="auto"/>
                        <w:right w:val="none" w:sz="0" w:space="0" w:color="auto"/>
                      </w:divBdr>
                    </w:div>
                    <w:div w:id="971592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6802763">
      <w:bodyDiv w:val="1"/>
      <w:marLeft w:val="0"/>
      <w:marRight w:val="0"/>
      <w:marTop w:val="0"/>
      <w:marBottom w:val="0"/>
      <w:divBdr>
        <w:top w:val="none" w:sz="0" w:space="0" w:color="auto"/>
        <w:left w:val="none" w:sz="0" w:space="0" w:color="auto"/>
        <w:bottom w:val="none" w:sz="0" w:space="0" w:color="auto"/>
        <w:right w:val="none" w:sz="0" w:space="0" w:color="auto"/>
      </w:divBdr>
    </w:div>
    <w:div w:id="1434279852">
      <w:bodyDiv w:val="1"/>
      <w:marLeft w:val="0"/>
      <w:marRight w:val="0"/>
      <w:marTop w:val="0"/>
      <w:marBottom w:val="0"/>
      <w:divBdr>
        <w:top w:val="none" w:sz="0" w:space="0" w:color="auto"/>
        <w:left w:val="none" w:sz="0" w:space="0" w:color="auto"/>
        <w:bottom w:val="none" w:sz="0" w:space="0" w:color="auto"/>
        <w:right w:val="none" w:sz="0" w:space="0" w:color="auto"/>
      </w:divBdr>
      <w:divsChild>
        <w:div w:id="872309185">
          <w:marLeft w:val="0"/>
          <w:marRight w:val="0"/>
          <w:marTop w:val="0"/>
          <w:marBottom w:val="0"/>
          <w:divBdr>
            <w:top w:val="none" w:sz="0" w:space="0" w:color="auto"/>
            <w:left w:val="none" w:sz="0" w:space="0" w:color="auto"/>
            <w:bottom w:val="none" w:sz="0" w:space="0" w:color="auto"/>
            <w:right w:val="none" w:sz="0" w:space="0" w:color="auto"/>
          </w:divBdr>
          <w:divsChild>
            <w:div w:id="1224178861">
              <w:marLeft w:val="0"/>
              <w:marRight w:val="0"/>
              <w:marTop w:val="0"/>
              <w:marBottom w:val="0"/>
              <w:divBdr>
                <w:top w:val="none" w:sz="0" w:space="0" w:color="auto"/>
                <w:left w:val="none" w:sz="0" w:space="0" w:color="auto"/>
                <w:bottom w:val="none" w:sz="0" w:space="0" w:color="auto"/>
                <w:right w:val="none" w:sz="0" w:space="0" w:color="auto"/>
              </w:divBdr>
              <w:divsChild>
                <w:div w:id="208417239">
                  <w:marLeft w:val="0"/>
                  <w:marRight w:val="0"/>
                  <w:marTop w:val="0"/>
                  <w:marBottom w:val="0"/>
                  <w:divBdr>
                    <w:top w:val="none" w:sz="0" w:space="0" w:color="auto"/>
                    <w:left w:val="none" w:sz="0" w:space="0" w:color="auto"/>
                    <w:bottom w:val="none" w:sz="0" w:space="0" w:color="auto"/>
                    <w:right w:val="none" w:sz="0" w:space="0" w:color="auto"/>
                  </w:divBdr>
                  <w:divsChild>
                    <w:div w:id="1456948709">
                      <w:marLeft w:val="0"/>
                      <w:marRight w:val="0"/>
                      <w:marTop w:val="120"/>
                      <w:marBottom w:val="0"/>
                      <w:divBdr>
                        <w:top w:val="none" w:sz="0" w:space="0" w:color="auto"/>
                        <w:left w:val="none" w:sz="0" w:space="0" w:color="auto"/>
                        <w:bottom w:val="none" w:sz="0" w:space="0" w:color="auto"/>
                        <w:right w:val="none" w:sz="0" w:space="0" w:color="auto"/>
                      </w:divBdr>
                    </w:div>
                    <w:div w:id="2109083486">
                      <w:marLeft w:val="0"/>
                      <w:marRight w:val="0"/>
                      <w:marTop w:val="0"/>
                      <w:marBottom w:val="0"/>
                      <w:divBdr>
                        <w:top w:val="none" w:sz="0" w:space="0" w:color="auto"/>
                        <w:left w:val="none" w:sz="0" w:space="0" w:color="auto"/>
                        <w:bottom w:val="none" w:sz="0" w:space="0" w:color="auto"/>
                        <w:right w:val="none" w:sz="0" w:space="0" w:color="auto"/>
                      </w:divBdr>
                    </w:div>
                  </w:divsChild>
                </w:div>
                <w:div w:id="264385634">
                  <w:marLeft w:val="0"/>
                  <w:marRight w:val="0"/>
                  <w:marTop w:val="0"/>
                  <w:marBottom w:val="0"/>
                  <w:divBdr>
                    <w:top w:val="none" w:sz="0" w:space="0" w:color="auto"/>
                    <w:left w:val="none" w:sz="0" w:space="0" w:color="auto"/>
                    <w:bottom w:val="none" w:sz="0" w:space="0" w:color="auto"/>
                    <w:right w:val="none" w:sz="0" w:space="0" w:color="auto"/>
                  </w:divBdr>
                  <w:divsChild>
                    <w:div w:id="464398326">
                      <w:marLeft w:val="0"/>
                      <w:marRight w:val="0"/>
                      <w:marTop w:val="0"/>
                      <w:marBottom w:val="0"/>
                      <w:divBdr>
                        <w:top w:val="none" w:sz="0" w:space="0" w:color="auto"/>
                        <w:left w:val="none" w:sz="0" w:space="0" w:color="auto"/>
                        <w:bottom w:val="none" w:sz="0" w:space="0" w:color="auto"/>
                        <w:right w:val="none" w:sz="0" w:space="0" w:color="auto"/>
                      </w:divBdr>
                    </w:div>
                    <w:div w:id="1436825274">
                      <w:marLeft w:val="0"/>
                      <w:marRight w:val="0"/>
                      <w:marTop w:val="120"/>
                      <w:marBottom w:val="0"/>
                      <w:divBdr>
                        <w:top w:val="none" w:sz="0" w:space="0" w:color="auto"/>
                        <w:left w:val="none" w:sz="0" w:space="0" w:color="auto"/>
                        <w:bottom w:val="none" w:sz="0" w:space="0" w:color="auto"/>
                        <w:right w:val="none" w:sz="0" w:space="0" w:color="auto"/>
                      </w:divBdr>
                    </w:div>
                  </w:divsChild>
                </w:div>
                <w:div w:id="961808560">
                  <w:marLeft w:val="0"/>
                  <w:marRight w:val="0"/>
                  <w:marTop w:val="0"/>
                  <w:marBottom w:val="0"/>
                  <w:divBdr>
                    <w:top w:val="none" w:sz="0" w:space="0" w:color="auto"/>
                    <w:left w:val="none" w:sz="0" w:space="0" w:color="auto"/>
                    <w:bottom w:val="none" w:sz="0" w:space="0" w:color="auto"/>
                    <w:right w:val="none" w:sz="0" w:space="0" w:color="auto"/>
                  </w:divBdr>
                  <w:divsChild>
                    <w:div w:id="363483460">
                      <w:marLeft w:val="0"/>
                      <w:marRight w:val="0"/>
                      <w:marTop w:val="120"/>
                      <w:marBottom w:val="0"/>
                      <w:divBdr>
                        <w:top w:val="none" w:sz="0" w:space="0" w:color="auto"/>
                        <w:left w:val="none" w:sz="0" w:space="0" w:color="auto"/>
                        <w:bottom w:val="none" w:sz="0" w:space="0" w:color="auto"/>
                        <w:right w:val="none" w:sz="0" w:space="0" w:color="auto"/>
                      </w:divBdr>
                    </w:div>
                    <w:div w:id="572860560">
                      <w:marLeft w:val="0"/>
                      <w:marRight w:val="0"/>
                      <w:marTop w:val="0"/>
                      <w:marBottom w:val="0"/>
                      <w:divBdr>
                        <w:top w:val="none" w:sz="0" w:space="0" w:color="auto"/>
                        <w:left w:val="none" w:sz="0" w:space="0" w:color="auto"/>
                        <w:bottom w:val="none" w:sz="0" w:space="0" w:color="auto"/>
                        <w:right w:val="none" w:sz="0" w:space="0" w:color="auto"/>
                      </w:divBdr>
                      <w:divsChild>
                        <w:div w:id="203564241">
                          <w:marLeft w:val="0"/>
                          <w:marRight w:val="0"/>
                          <w:marTop w:val="0"/>
                          <w:marBottom w:val="0"/>
                          <w:divBdr>
                            <w:top w:val="none" w:sz="0" w:space="0" w:color="auto"/>
                            <w:left w:val="none" w:sz="0" w:space="0" w:color="auto"/>
                            <w:bottom w:val="none" w:sz="0" w:space="0" w:color="auto"/>
                            <w:right w:val="none" w:sz="0" w:space="0" w:color="auto"/>
                          </w:divBdr>
                          <w:divsChild>
                            <w:div w:id="29577742">
                              <w:marLeft w:val="0"/>
                              <w:marRight w:val="0"/>
                              <w:marTop w:val="120"/>
                              <w:marBottom w:val="0"/>
                              <w:divBdr>
                                <w:top w:val="none" w:sz="0" w:space="0" w:color="auto"/>
                                <w:left w:val="none" w:sz="0" w:space="0" w:color="auto"/>
                                <w:bottom w:val="none" w:sz="0" w:space="0" w:color="auto"/>
                                <w:right w:val="none" w:sz="0" w:space="0" w:color="auto"/>
                              </w:divBdr>
                            </w:div>
                            <w:div w:id="245385652">
                              <w:marLeft w:val="0"/>
                              <w:marRight w:val="0"/>
                              <w:marTop w:val="0"/>
                              <w:marBottom w:val="0"/>
                              <w:divBdr>
                                <w:top w:val="none" w:sz="0" w:space="0" w:color="auto"/>
                                <w:left w:val="none" w:sz="0" w:space="0" w:color="auto"/>
                                <w:bottom w:val="none" w:sz="0" w:space="0" w:color="auto"/>
                                <w:right w:val="none" w:sz="0" w:space="0" w:color="auto"/>
                              </w:divBdr>
                            </w:div>
                          </w:divsChild>
                        </w:div>
                        <w:div w:id="391275277">
                          <w:marLeft w:val="0"/>
                          <w:marRight w:val="0"/>
                          <w:marTop w:val="0"/>
                          <w:marBottom w:val="0"/>
                          <w:divBdr>
                            <w:top w:val="none" w:sz="0" w:space="0" w:color="auto"/>
                            <w:left w:val="none" w:sz="0" w:space="0" w:color="auto"/>
                            <w:bottom w:val="none" w:sz="0" w:space="0" w:color="auto"/>
                            <w:right w:val="none" w:sz="0" w:space="0" w:color="auto"/>
                          </w:divBdr>
                          <w:divsChild>
                            <w:div w:id="544224176">
                              <w:marLeft w:val="0"/>
                              <w:marRight w:val="0"/>
                              <w:marTop w:val="120"/>
                              <w:marBottom w:val="0"/>
                              <w:divBdr>
                                <w:top w:val="none" w:sz="0" w:space="0" w:color="auto"/>
                                <w:left w:val="none" w:sz="0" w:space="0" w:color="auto"/>
                                <w:bottom w:val="none" w:sz="0" w:space="0" w:color="auto"/>
                                <w:right w:val="none" w:sz="0" w:space="0" w:color="auto"/>
                              </w:divBdr>
                            </w:div>
                            <w:div w:id="2107187289">
                              <w:marLeft w:val="0"/>
                              <w:marRight w:val="0"/>
                              <w:marTop w:val="0"/>
                              <w:marBottom w:val="0"/>
                              <w:divBdr>
                                <w:top w:val="none" w:sz="0" w:space="0" w:color="auto"/>
                                <w:left w:val="none" w:sz="0" w:space="0" w:color="auto"/>
                                <w:bottom w:val="none" w:sz="0" w:space="0" w:color="auto"/>
                                <w:right w:val="none" w:sz="0" w:space="0" w:color="auto"/>
                              </w:divBdr>
                            </w:div>
                          </w:divsChild>
                        </w:div>
                        <w:div w:id="884758824">
                          <w:marLeft w:val="0"/>
                          <w:marRight w:val="0"/>
                          <w:marTop w:val="0"/>
                          <w:marBottom w:val="0"/>
                          <w:divBdr>
                            <w:top w:val="none" w:sz="0" w:space="0" w:color="auto"/>
                            <w:left w:val="none" w:sz="0" w:space="0" w:color="auto"/>
                            <w:bottom w:val="none" w:sz="0" w:space="0" w:color="auto"/>
                            <w:right w:val="none" w:sz="0" w:space="0" w:color="auto"/>
                          </w:divBdr>
                          <w:divsChild>
                            <w:div w:id="486943966">
                              <w:marLeft w:val="0"/>
                              <w:marRight w:val="0"/>
                              <w:marTop w:val="120"/>
                              <w:marBottom w:val="0"/>
                              <w:divBdr>
                                <w:top w:val="none" w:sz="0" w:space="0" w:color="auto"/>
                                <w:left w:val="none" w:sz="0" w:space="0" w:color="auto"/>
                                <w:bottom w:val="none" w:sz="0" w:space="0" w:color="auto"/>
                                <w:right w:val="none" w:sz="0" w:space="0" w:color="auto"/>
                              </w:divBdr>
                            </w:div>
                            <w:div w:id="1268923184">
                              <w:marLeft w:val="0"/>
                              <w:marRight w:val="0"/>
                              <w:marTop w:val="0"/>
                              <w:marBottom w:val="0"/>
                              <w:divBdr>
                                <w:top w:val="none" w:sz="0" w:space="0" w:color="auto"/>
                                <w:left w:val="none" w:sz="0" w:space="0" w:color="auto"/>
                                <w:bottom w:val="none" w:sz="0" w:space="0" w:color="auto"/>
                                <w:right w:val="none" w:sz="0" w:space="0" w:color="auto"/>
                              </w:divBdr>
                            </w:div>
                          </w:divsChild>
                        </w:div>
                        <w:div w:id="1065570363">
                          <w:marLeft w:val="0"/>
                          <w:marRight w:val="0"/>
                          <w:marTop w:val="0"/>
                          <w:marBottom w:val="0"/>
                          <w:divBdr>
                            <w:top w:val="none" w:sz="0" w:space="0" w:color="auto"/>
                            <w:left w:val="none" w:sz="0" w:space="0" w:color="auto"/>
                            <w:bottom w:val="none" w:sz="0" w:space="0" w:color="auto"/>
                            <w:right w:val="none" w:sz="0" w:space="0" w:color="auto"/>
                          </w:divBdr>
                          <w:divsChild>
                            <w:div w:id="868105909">
                              <w:marLeft w:val="0"/>
                              <w:marRight w:val="0"/>
                              <w:marTop w:val="0"/>
                              <w:marBottom w:val="0"/>
                              <w:divBdr>
                                <w:top w:val="none" w:sz="0" w:space="0" w:color="auto"/>
                                <w:left w:val="none" w:sz="0" w:space="0" w:color="auto"/>
                                <w:bottom w:val="none" w:sz="0" w:space="0" w:color="auto"/>
                                <w:right w:val="none" w:sz="0" w:space="0" w:color="auto"/>
                              </w:divBdr>
                            </w:div>
                            <w:div w:id="1805539165">
                              <w:marLeft w:val="0"/>
                              <w:marRight w:val="0"/>
                              <w:marTop w:val="120"/>
                              <w:marBottom w:val="0"/>
                              <w:divBdr>
                                <w:top w:val="none" w:sz="0" w:space="0" w:color="auto"/>
                                <w:left w:val="none" w:sz="0" w:space="0" w:color="auto"/>
                                <w:bottom w:val="none" w:sz="0" w:space="0" w:color="auto"/>
                                <w:right w:val="none" w:sz="0" w:space="0" w:color="auto"/>
                              </w:divBdr>
                            </w:div>
                          </w:divsChild>
                        </w:div>
                        <w:div w:id="1196624460">
                          <w:marLeft w:val="0"/>
                          <w:marRight w:val="0"/>
                          <w:marTop w:val="0"/>
                          <w:marBottom w:val="0"/>
                          <w:divBdr>
                            <w:top w:val="none" w:sz="0" w:space="0" w:color="auto"/>
                            <w:left w:val="none" w:sz="0" w:space="0" w:color="auto"/>
                            <w:bottom w:val="none" w:sz="0" w:space="0" w:color="auto"/>
                            <w:right w:val="none" w:sz="0" w:space="0" w:color="auto"/>
                          </w:divBdr>
                          <w:divsChild>
                            <w:div w:id="727536345">
                              <w:marLeft w:val="0"/>
                              <w:marRight w:val="0"/>
                              <w:marTop w:val="120"/>
                              <w:marBottom w:val="0"/>
                              <w:divBdr>
                                <w:top w:val="none" w:sz="0" w:space="0" w:color="auto"/>
                                <w:left w:val="none" w:sz="0" w:space="0" w:color="auto"/>
                                <w:bottom w:val="none" w:sz="0" w:space="0" w:color="auto"/>
                                <w:right w:val="none" w:sz="0" w:space="0" w:color="auto"/>
                              </w:divBdr>
                            </w:div>
                            <w:div w:id="2085058640">
                              <w:marLeft w:val="0"/>
                              <w:marRight w:val="0"/>
                              <w:marTop w:val="0"/>
                              <w:marBottom w:val="0"/>
                              <w:divBdr>
                                <w:top w:val="none" w:sz="0" w:space="0" w:color="auto"/>
                                <w:left w:val="none" w:sz="0" w:space="0" w:color="auto"/>
                                <w:bottom w:val="none" w:sz="0" w:space="0" w:color="auto"/>
                                <w:right w:val="none" w:sz="0" w:space="0" w:color="auto"/>
                              </w:divBdr>
                            </w:div>
                          </w:divsChild>
                        </w:div>
                        <w:div w:id="1740009414">
                          <w:marLeft w:val="0"/>
                          <w:marRight w:val="0"/>
                          <w:marTop w:val="0"/>
                          <w:marBottom w:val="0"/>
                          <w:divBdr>
                            <w:top w:val="none" w:sz="0" w:space="0" w:color="auto"/>
                            <w:left w:val="none" w:sz="0" w:space="0" w:color="auto"/>
                            <w:bottom w:val="none" w:sz="0" w:space="0" w:color="auto"/>
                            <w:right w:val="none" w:sz="0" w:space="0" w:color="auto"/>
                          </w:divBdr>
                          <w:divsChild>
                            <w:div w:id="116416648">
                              <w:marLeft w:val="0"/>
                              <w:marRight w:val="0"/>
                              <w:marTop w:val="0"/>
                              <w:marBottom w:val="0"/>
                              <w:divBdr>
                                <w:top w:val="none" w:sz="0" w:space="0" w:color="auto"/>
                                <w:left w:val="none" w:sz="0" w:space="0" w:color="auto"/>
                                <w:bottom w:val="none" w:sz="0" w:space="0" w:color="auto"/>
                                <w:right w:val="none" w:sz="0" w:space="0" w:color="auto"/>
                              </w:divBdr>
                            </w:div>
                            <w:div w:id="1996765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29467592">
                  <w:marLeft w:val="0"/>
                  <w:marRight w:val="0"/>
                  <w:marTop w:val="0"/>
                  <w:marBottom w:val="0"/>
                  <w:divBdr>
                    <w:top w:val="none" w:sz="0" w:space="0" w:color="auto"/>
                    <w:left w:val="none" w:sz="0" w:space="0" w:color="auto"/>
                    <w:bottom w:val="none" w:sz="0" w:space="0" w:color="auto"/>
                    <w:right w:val="none" w:sz="0" w:space="0" w:color="auto"/>
                  </w:divBdr>
                  <w:divsChild>
                    <w:div w:id="560019542">
                      <w:marLeft w:val="0"/>
                      <w:marRight w:val="0"/>
                      <w:marTop w:val="120"/>
                      <w:marBottom w:val="0"/>
                      <w:divBdr>
                        <w:top w:val="none" w:sz="0" w:space="0" w:color="auto"/>
                        <w:left w:val="none" w:sz="0" w:space="0" w:color="auto"/>
                        <w:bottom w:val="none" w:sz="0" w:space="0" w:color="auto"/>
                        <w:right w:val="none" w:sz="0" w:space="0" w:color="auto"/>
                      </w:divBdr>
                    </w:div>
                    <w:div w:id="16137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0021">
          <w:marLeft w:val="0"/>
          <w:marRight w:val="0"/>
          <w:marTop w:val="0"/>
          <w:marBottom w:val="0"/>
          <w:divBdr>
            <w:top w:val="none" w:sz="0" w:space="0" w:color="auto"/>
            <w:left w:val="none" w:sz="0" w:space="0" w:color="auto"/>
            <w:bottom w:val="none" w:sz="0" w:space="0" w:color="auto"/>
            <w:right w:val="none" w:sz="0" w:space="0" w:color="auto"/>
          </w:divBdr>
          <w:divsChild>
            <w:div w:id="332028586">
              <w:marLeft w:val="0"/>
              <w:marRight w:val="0"/>
              <w:marTop w:val="0"/>
              <w:marBottom w:val="0"/>
              <w:divBdr>
                <w:top w:val="none" w:sz="0" w:space="0" w:color="auto"/>
                <w:left w:val="none" w:sz="0" w:space="0" w:color="auto"/>
                <w:bottom w:val="none" w:sz="0" w:space="0" w:color="auto"/>
                <w:right w:val="none" w:sz="0" w:space="0" w:color="auto"/>
              </w:divBdr>
            </w:div>
          </w:divsChild>
        </w:div>
        <w:div w:id="1504585369">
          <w:marLeft w:val="0"/>
          <w:marRight w:val="0"/>
          <w:marTop w:val="0"/>
          <w:marBottom w:val="0"/>
          <w:divBdr>
            <w:top w:val="none" w:sz="0" w:space="0" w:color="auto"/>
            <w:left w:val="none" w:sz="0" w:space="0" w:color="auto"/>
            <w:bottom w:val="none" w:sz="0" w:space="0" w:color="auto"/>
            <w:right w:val="none" w:sz="0" w:space="0" w:color="auto"/>
          </w:divBdr>
          <w:divsChild>
            <w:div w:id="1085105895">
              <w:marLeft w:val="0"/>
              <w:marRight w:val="0"/>
              <w:marTop w:val="0"/>
              <w:marBottom w:val="0"/>
              <w:divBdr>
                <w:top w:val="none" w:sz="0" w:space="0" w:color="auto"/>
                <w:left w:val="none" w:sz="0" w:space="0" w:color="auto"/>
                <w:bottom w:val="none" w:sz="0" w:space="0" w:color="auto"/>
                <w:right w:val="none" w:sz="0" w:space="0" w:color="auto"/>
              </w:divBdr>
              <w:divsChild>
                <w:div w:id="1927423022">
                  <w:marLeft w:val="0"/>
                  <w:marRight w:val="0"/>
                  <w:marTop w:val="0"/>
                  <w:marBottom w:val="0"/>
                  <w:divBdr>
                    <w:top w:val="none" w:sz="0" w:space="0" w:color="auto"/>
                    <w:left w:val="none" w:sz="0" w:space="0" w:color="auto"/>
                    <w:bottom w:val="none" w:sz="0" w:space="0" w:color="auto"/>
                    <w:right w:val="none" w:sz="0" w:space="0" w:color="auto"/>
                  </w:divBdr>
                  <w:divsChild>
                    <w:div w:id="70279094">
                      <w:marLeft w:val="0"/>
                      <w:marRight w:val="0"/>
                      <w:marTop w:val="0"/>
                      <w:marBottom w:val="0"/>
                      <w:divBdr>
                        <w:top w:val="none" w:sz="0" w:space="0" w:color="auto"/>
                        <w:left w:val="none" w:sz="0" w:space="0" w:color="auto"/>
                        <w:bottom w:val="none" w:sz="0" w:space="0" w:color="auto"/>
                        <w:right w:val="none" w:sz="0" w:space="0" w:color="auto"/>
                      </w:divBdr>
                    </w:div>
                    <w:div w:id="998340001">
                      <w:marLeft w:val="0"/>
                      <w:marRight w:val="0"/>
                      <w:marTop w:val="120"/>
                      <w:marBottom w:val="0"/>
                      <w:divBdr>
                        <w:top w:val="none" w:sz="0" w:space="0" w:color="auto"/>
                        <w:left w:val="none" w:sz="0" w:space="0" w:color="auto"/>
                        <w:bottom w:val="none" w:sz="0" w:space="0" w:color="auto"/>
                        <w:right w:val="none" w:sz="0" w:space="0" w:color="auto"/>
                      </w:divBdr>
                    </w:div>
                  </w:divsChild>
                </w:div>
                <w:div w:id="2096785554">
                  <w:marLeft w:val="0"/>
                  <w:marRight w:val="0"/>
                  <w:marTop w:val="0"/>
                  <w:marBottom w:val="0"/>
                  <w:divBdr>
                    <w:top w:val="none" w:sz="0" w:space="0" w:color="auto"/>
                    <w:left w:val="none" w:sz="0" w:space="0" w:color="auto"/>
                    <w:bottom w:val="none" w:sz="0" w:space="0" w:color="auto"/>
                    <w:right w:val="none" w:sz="0" w:space="0" w:color="auto"/>
                  </w:divBdr>
                  <w:divsChild>
                    <w:div w:id="82387076">
                      <w:marLeft w:val="0"/>
                      <w:marRight w:val="0"/>
                      <w:marTop w:val="120"/>
                      <w:marBottom w:val="0"/>
                      <w:divBdr>
                        <w:top w:val="none" w:sz="0" w:space="0" w:color="auto"/>
                        <w:left w:val="none" w:sz="0" w:space="0" w:color="auto"/>
                        <w:bottom w:val="none" w:sz="0" w:space="0" w:color="auto"/>
                        <w:right w:val="none" w:sz="0" w:space="0" w:color="auto"/>
                      </w:divBdr>
                    </w:div>
                    <w:div w:id="5636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0228">
          <w:marLeft w:val="0"/>
          <w:marRight w:val="0"/>
          <w:marTop w:val="0"/>
          <w:marBottom w:val="0"/>
          <w:divBdr>
            <w:top w:val="none" w:sz="0" w:space="0" w:color="auto"/>
            <w:left w:val="none" w:sz="0" w:space="0" w:color="auto"/>
            <w:bottom w:val="none" w:sz="0" w:space="0" w:color="auto"/>
            <w:right w:val="none" w:sz="0" w:space="0" w:color="auto"/>
          </w:divBdr>
          <w:divsChild>
            <w:div w:id="9793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2032">
      <w:bodyDiv w:val="1"/>
      <w:marLeft w:val="0"/>
      <w:marRight w:val="0"/>
      <w:marTop w:val="0"/>
      <w:marBottom w:val="0"/>
      <w:divBdr>
        <w:top w:val="none" w:sz="0" w:space="0" w:color="auto"/>
        <w:left w:val="none" w:sz="0" w:space="0" w:color="auto"/>
        <w:bottom w:val="none" w:sz="0" w:space="0" w:color="auto"/>
        <w:right w:val="none" w:sz="0" w:space="0" w:color="auto"/>
      </w:divBdr>
      <w:divsChild>
        <w:div w:id="921570824">
          <w:marLeft w:val="0"/>
          <w:marRight w:val="0"/>
          <w:marTop w:val="0"/>
          <w:marBottom w:val="0"/>
          <w:divBdr>
            <w:top w:val="none" w:sz="0" w:space="0" w:color="auto"/>
            <w:left w:val="none" w:sz="0" w:space="0" w:color="auto"/>
            <w:bottom w:val="none" w:sz="0" w:space="0" w:color="auto"/>
            <w:right w:val="none" w:sz="0" w:space="0" w:color="auto"/>
          </w:divBdr>
          <w:divsChild>
            <w:div w:id="336273672">
              <w:marLeft w:val="0"/>
              <w:marRight w:val="0"/>
              <w:marTop w:val="0"/>
              <w:marBottom w:val="0"/>
              <w:divBdr>
                <w:top w:val="none" w:sz="0" w:space="0" w:color="auto"/>
                <w:left w:val="none" w:sz="0" w:space="0" w:color="auto"/>
                <w:bottom w:val="none" w:sz="0" w:space="0" w:color="auto"/>
                <w:right w:val="none" w:sz="0" w:space="0" w:color="auto"/>
              </w:divBdr>
              <w:divsChild>
                <w:div w:id="1980383341">
                  <w:marLeft w:val="0"/>
                  <w:marRight w:val="0"/>
                  <w:marTop w:val="0"/>
                  <w:marBottom w:val="0"/>
                  <w:divBdr>
                    <w:top w:val="none" w:sz="0" w:space="0" w:color="auto"/>
                    <w:left w:val="none" w:sz="0" w:space="0" w:color="auto"/>
                    <w:bottom w:val="none" w:sz="0" w:space="0" w:color="auto"/>
                    <w:right w:val="none" w:sz="0" w:space="0" w:color="auto"/>
                  </w:divBdr>
                  <w:divsChild>
                    <w:div w:id="1373070626">
                      <w:marLeft w:val="0"/>
                      <w:marRight w:val="0"/>
                      <w:marTop w:val="120"/>
                      <w:marBottom w:val="0"/>
                      <w:divBdr>
                        <w:top w:val="none" w:sz="0" w:space="0" w:color="auto"/>
                        <w:left w:val="none" w:sz="0" w:space="0" w:color="auto"/>
                        <w:bottom w:val="none" w:sz="0" w:space="0" w:color="auto"/>
                        <w:right w:val="none" w:sz="0" w:space="0" w:color="auto"/>
                      </w:divBdr>
                    </w:div>
                    <w:div w:id="798962191">
                      <w:marLeft w:val="0"/>
                      <w:marRight w:val="0"/>
                      <w:marTop w:val="0"/>
                      <w:marBottom w:val="0"/>
                      <w:divBdr>
                        <w:top w:val="none" w:sz="0" w:space="0" w:color="auto"/>
                        <w:left w:val="none" w:sz="0" w:space="0" w:color="auto"/>
                        <w:bottom w:val="none" w:sz="0" w:space="0" w:color="auto"/>
                        <w:right w:val="none" w:sz="0" w:space="0" w:color="auto"/>
                      </w:divBdr>
                      <w:divsChild>
                        <w:div w:id="1174803797">
                          <w:marLeft w:val="0"/>
                          <w:marRight w:val="0"/>
                          <w:marTop w:val="0"/>
                          <w:marBottom w:val="0"/>
                          <w:divBdr>
                            <w:top w:val="none" w:sz="0" w:space="0" w:color="auto"/>
                            <w:left w:val="none" w:sz="0" w:space="0" w:color="auto"/>
                            <w:bottom w:val="none" w:sz="0" w:space="0" w:color="auto"/>
                            <w:right w:val="none" w:sz="0" w:space="0" w:color="auto"/>
                          </w:divBdr>
                          <w:divsChild>
                            <w:div w:id="1934896902">
                              <w:marLeft w:val="0"/>
                              <w:marRight w:val="0"/>
                              <w:marTop w:val="120"/>
                              <w:marBottom w:val="0"/>
                              <w:divBdr>
                                <w:top w:val="none" w:sz="0" w:space="0" w:color="auto"/>
                                <w:left w:val="none" w:sz="0" w:space="0" w:color="auto"/>
                                <w:bottom w:val="none" w:sz="0" w:space="0" w:color="auto"/>
                                <w:right w:val="none" w:sz="0" w:space="0" w:color="auto"/>
                              </w:divBdr>
                            </w:div>
                            <w:div w:id="23873593">
                              <w:marLeft w:val="0"/>
                              <w:marRight w:val="0"/>
                              <w:marTop w:val="0"/>
                              <w:marBottom w:val="0"/>
                              <w:divBdr>
                                <w:top w:val="none" w:sz="0" w:space="0" w:color="auto"/>
                                <w:left w:val="none" w:sz="0" w:space="0" w:color="auto"/>
                                <w:bottom w:val="none" w:sz="0" w:space="0" w:color="auto"/>
                                <w:right w:val="none" w:sz="0" w:space="0" w:color="auto"/>
                              </w:divBdr>
                            </w:div>
                          </w:divsChild>
                        </w:div>
                        <w:div w:id="1592590521">
                          <w:marLeft w:val="0"/>
                          <w:marRight w:val="0"/>
                          <w:marTop w:val="0"/>
                          <w:marBottom w:val="0"/>
                          <w:divBdr>
                            <w:top w:val="none" w:sz="0" w:space="0" w:color="auto"/>
                            <w:left w:val="none" w:sz="0" w:space="0" w:color="auto"/>
                            <w:bottom w:val="none" w:sz="0" w:space="0" w:color="auto"/>
                            <w:right w:val="none" w:sz="0" w:space="0" w:color="auto"/>
                          </w:divBdr>
                          <w:divsChild>
                            <w:div w:id="2134472603">
                              <w:marLeft w:val="0"/>
                              <w:marRight w:val="0"/>
                              <w:marTop w:val="120"/>
                              <w:marBottom w:val="0"/>
                              <w:divBdr>
                                <w:top w:val="none" w:sz="0" w:space="0" w:color="auto"/>
                                <w:left w:val="none" w:sz="0" w:space="0" w:color="auto"/>
                                <w:bottom w:val="none" w:sz="0" w:space="0" w:color="auto"/>
                                <w:right w:val="none" w:sz="0" w:space="0" w:color="auto"/>
                              </w:divBdr>
                            </w:div>
                            <w:div w:id="790326869">
                              <w:marLeft w:val="0"/>
                              <w:marRight w:val="0"/>
                              <w:marTop w:val="0"/>
                              <w:marBottom w:val="0"/>
                              <w:divBdr>
                                <w:top w:val="none" w:sz="0" w:space="0" w:color="auto"/>
                                <w:left w:val="none" w:sz="0" w:space="0" w:color="auto"/>
                                <w:bottom w:val="none" w:sz="0" w:space="0" w:color="auto"/>
                                <w:right w:val="none" w:sz="0" w:space="0" w:color="auto"/>
                              </w:divBdr>
                            </w:div>
                          </w:divsChild>
                        </w:div>
                        <w:div w:id="1591280277">
                          <w:marLeft w:val="0"/>
                          <w:marRight w:val="0"/>
                          <w:marTop w:val="0"/>
                          <w:marBottom w:val="0"/>
                          <w:divBdr>
                            <w:top w:val="none" w:sz="0" w:space="0" w:color="auto"/>
                            <w:left w:val="none" w:sz="0" w:space="0" w:color="auto"/>
                            <w:bottom w:val="none" w:sz="0" w:space="0" w:color="auto"/>
                            <w:right w:val="none" w:sz="0" w:space="0" w:color="auto"/>
                          </w:divBdr>
                          <w:divsChild>
                            <w:div w:id="1254320905">
                              <w:marLeft w:val="0"/>
                              <w:marRight w:val="0"/>
                              <w:marTop w:val="120"/>
                              <w:marBottom w:val="0"/>
                              <w:divBdr>
                                <w:top w:val="none" w:sz="0" w:space="0" w:color="auto"/>
                                <w:left w:val="none" w:sz="0" w:space="0" w:color="auto"/>
                                <w:bottom w:val="none" w:sz="0" w:space="0" w:color="auto"/>
                                <w:right w:val="none" w:sz="0" w:space="0" w:color="auto"/>
                              </w:divBdr>
                            </w:div>
                            <w:div w:id="1553229730">
                              <w:marLeft w:val="0"/>
                              <w:marRight w:val="0"/>
                              <w:marTop w:val="0"/>
                              <w:marBottom w:val="0"/>
                              <w:divBdr>
                                <w:top w:val="none" w:sz="0" w:space="0" w:color="auto"/>
                                <w:left w:val="none" w:sz="0" w:space="0" w:color="auto"/>
                                <w:bottom w:val="none" w:sz="0" w:space="0" w:color="auto"/>
                                <w:right w:val="none" w:sz="0" w:space="0" w:color="auto"/>
                              </w:divBdr>
                            </w:div>
                          </w:divsChild>
                        </w:div>
                        <w:div w:id="1294290704">
                          <w:marLeft w:val="0"/>
                          <w:marRight w:val="0"/>
                          <w:marTop w:val="0"/>
                          <w:marBottom w:val="0"/>
                          <w:divBdr>
                            <w:top w:val="none" w:sz="0" w:space="0" w:color="auto"/>
                            <w:left w:val="none" w:sz="0" w:space="0" w:color="auto"/>
                            <w:bottom w:val="none" w:sz="0" w:space="0" w:color="auto"/>
                            <w:right w:val="none" w:sz="0" w:space="0" w:color="auto"/>
                          </w:divBdr>
                          <w:divsChild>
                            <w:div w:id="391277802">
                              <w:marLeft w:val="0"/>
                              <w:marRight w:val="0"/>
                              <w:marTop w:val="120"/>
                              <w:marBottom w:val="0"/>
                              <w:divBdr>
                                <w:top w:val="none" w:sz="0" w:space="0" w:color="auto"/>
                                <w:left w:val="none" w:sz="0" w:space="0" w:color="auto"/>
                                <w:bottom w:val="none" w:sz="0" w:space="0" w:color="auto"/>
                                <w:right w:val="none" w:sz="0" w:space="0" w:color="auto"/>
                              </w:divBdr>
                            </w:div>
                            <w:div w:id="20421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526">
                  <w:marLeft w:val="0"/>
                  <w:marRight w:val="0"/>
                  <w:marTop w:val="0"/>
                  <w:marBottom w:val="0"/>
                  <w:divBdr>
                    <w:top w:val="none" w:sz="0" w:space="0" w:color="auto"/>
                    <w:left w:val="none" w:sz="0" w:space="0" w:color="auto"/>
                    <w:bottom w:val="none" w:sz="0" w:space="0" w:color="auto"/>
                    <w:right w:val="none" w:sz="0" w:space="0" w:color="auto"/>
                  </w:divBdr>
                  <w:divsChild>
                    <w:div w:id="507139603">
                      <w:marLeft w:val="0"/>
                      <w:marRight w:val="0"/>
                      <w:marTop w:val="120"/>
                      <w:marBottom w:val="0"/>
                      <w:divBdr>
                        <w:top w:val="none" w:sz="0" w:space="0" w:color="auto"/>
                        <w:left w:val="none" w:sz="0" w:space="0" w:color="auto"/>
                        <w:bottom w:val="none" w:sz="0" w:space="0" w:color="auto"/>
                        <w:right w:val="none" w:sz="0" w:space="0" w:color="auto"/>
                      </w:divBdr>
                    </w:div>
                    <w:div w:id="630785778">
                      <w:marLeft w:val="0"/>
                      <w:marRight w:val="0"/>
                      <w:marTop w:val="0"/>
                      <w:marBottom w:val="0"/>
                      <w:divBdr>
                        <w:top w:val="none" w:sz="0" w:space="0" w:color="auto"/>
                        <w:left w:val="none" w:sz="0" w:space="0" w:color="auto"/>
                        <w:bottom w:val="none" w:sz="0" w:space="0" w:color="auto"/>
                        <w:right w:val="none" w:sz="0" w:space="0" w:color="auto"/>
                      </w:divBdr>
                      <w:divsChild>
                        <w:div w:id="196819419">
                          <w:marLeft w:val="0"/>
                          <w:marRight w:val="0"/>
                          <w:marTop w:val="0"/>
                          <w:marBottom w:val="0"/>
                          <w:divBdr>
                            <w:top w:val="none" w:sz="0" w:space="0" w:color="auto"/>
                            <w:left w:val="none" w:sz="0" w:space="0" w:color="auto"/>
                            <w:bottom w:val="none" w:sz="0" w:space="0" w:color="auto"/>
                            <w:right w:val="none" w:sz="0" w:space="0" w:color="auto"/>
                          </w:divBdr>
                          <w:divsChild>
                            <w:div w:id="702437745">
                              <w:marLeft w:val="0"/>
                              <w:marRight w:val="0"/>
                              <w:marTop w:val="120"/>
                              <w:marBottom w:val="0"/>
                              <w:divBdr>
                                <w:top w:val="none" w:sz="0" w:space="0" w:color="auto"/>
                                <w:left w:val="none" w:sz="0" w:space="0" w:color="auto"/>
                                <w:bottom w:val="none" w:sz="0" w:space="0" w:color="auto"/>
                                <w:right w:val="none" w:sz="0" w:space="0" w:color="auto"/>
                              </w:divBdr>
                            </w:div>
                            <w:div w:id="1749886989">
                              <w:marLeft w:val="0"/>
                              <w:marRight w:val="0"/>
                              <w:marTop w:val="0"/>
                              <w:marBottom w:val="0"/>
                              <w:divBdr>
                                <w:top w:val="none" w:sz="0" w:space="0" w:color="auto"/>
                                <w:left w:val="none" w:sz="0" w:space="0" w:color="auto"/>
                                <w:bottom w:val="none" w:sz="0" w:space="0" w:color="auto"/>
                                <w:right w:val="none" w:sz="0" w:space="0" w:color="auto"/>
                              </w:divBdr>
                            </w:div>
                          </w:divsChild>
                        </w:div>
                        <w:div w:id="1079911517">
                          <w:marLeft w:val="0"/>
                          <w:marRight w:val="0"/>
                          <w:marTop w:val="0"/>
                          <w:marBottom w:val="0"/>
                          <w:divBdr>
                            <w:top w:val="none" w:sz="0" w:space="0" w:color="auto"/>
                            <w:left w:val="none" w:sz="0" w:space="0" w:color="auto"/>
                            <w:bottom w:val="none" w:sz="0" w:space="0" w:color="auto"/>
                            <w:right w:val="none" w:sz="0" w:space="0" w:color="auto"/>
                          </w:divBdr>
                          <w:divsChild>
                            <w:div w:id="713697947">
                              <w:marLeft w:val="0"/>
                              <w:marRight w:val="0"/>
                              <w:marTop w:val="120"/>
                              <w:marBottom w:val="0"/>
                              <w:divBdr>
                                <w:top w:val="none" w:sz="0" w:space="0" w:color="auto"/>
                                <w:left w:val="none" w:sz="0" w:space="0" w:color="auto"/>
                                <w:bottom w:val="none" w:sz="0" w:space="0" w:color="auto"/>
                                <w:right w:val="none" w:sz="0" w:space="0" w:color="auto"/>
                              </w:divBdr>
                            </w:div>
                            <w:div w:id="1177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6121">
                  <w:marLeft w:val="0"/>
                  <w:marRight w:val="0"/>
                  <w:marTop w:val="0"/>
                  <w:marBottom w:val="0"/>
                  <w:divBdr>
                    <w:top w:val="none" w:sz="0" w:space="0" w:color="auto"/>
                    <w:left w:val="none" w:sz="0" w:space="0" w:color="auto"/>
                    <w:bottom w:val="none" w:sz="0" w:space="0" w:color="auto"/>
                    <w:right w:val="none" w:sz="0" w:space="0" w:color="auto"/>
                  </w:divBdr>
                  <w:divsChild>
                    <w:div w:id="1286816902">
                      <w:marLeft w:val="0"/>
                      <w:marRight w:val="0"/>
                      <w:marTop w:val="120"/>
                      <w:marBottom w:val="0"/>
                      <w:divBdr>
                        <w:top w:val="none" w:sz="0" w:space="0" w:color="auto"/>
                        <w:left w:val="none" w:sz="0" w:space="0" w:color="auto"/>
                        <w:bottom w:val="none" w:sz="0" w:space="0" w:color="auto"/>
                        <w:right w:val="none" w:sz="0" w:space="0" w:color="auto"/>
                      </w:divBdr>
                    </w:div>
                    <w:div w:id="15880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59925">
      <w:bodyDiv w:val="1"/>
      <w:marLeft w:val="0"/>
      <w:marRight w:val="0"/>
      <w:marTop w:val="0"/>
      <w:marBottom w:val="0"/>
      <w:divBdr>
        <w:top w:val="none" w:sz="0" w:space="0" w:color="auto"/>
        <w:left w:val="none" w:sz="0" w:space="0" w:color="auto"/>
        <w:bottom w:val="none" w:sz="0" w:space="0" w:color="auto"/>
        <w:right w:val="none" w:sz="0" w:space="0" w:color="auto"/>
      </w:divBdr>
    </w:div>
    <w:div w:id="1443496616">
      <w:bodyDiv w:val="1"/>
      <w:marLeft w:val="0"/>
      <w:marRight w:val="0"/>
      <w:marTop w:val="0"/>
      <w:marBottom w:val="0"/>
      <w:divBdr>
        <w:top w:val="none" w:sz="0" w:space="0" w:color="auto"/>
        <w:left w:val="none" w:sz="0" w:space="0" w:color="auto"/>
        <w:bottom w:val="none" w:sz="0" w:space="0" w:color="auto"/>
        <w:right w:val="none" w:sz="0" w:space="0" w:color="auto"/>
      </w:divBdr>
      <w:divsChild>
        <w:div w:id="238759267">
          <w:marLeft w:val="0"/>
          <w:marRight w:val="0"/>
          <w:marTop w:val="0"/>
          <w:marBottom w:val="0"/>
          <w:divBdr>
            <w:top w:val="none" w:sz="0" w:space="0" w:color="auto"/>
            <w:left w:val="none" w:sz="0" w:space="0" w:color="auto"/>
            <w:bottom w:val="none" w:sz="0" w:space="0" w:color="auto"/>
            <w:right w:val="none" w:sz="0" w:space="0" w:color="auto"/>
          </w:divBdr>
          <w:divsChild>
            <w:div w:id="5988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7841">
      <w:bodyDiv w:val="1"/>
      <w:marLeft w:val="0"/>
      <w:marRight w:val="0"/>
      <w:marTop w:val="0"/>
      <w:marBottom w:val="0"/>
      <w:divBdr>
        <w:top w:val="none" w:sz="0" w:space="0" w:color="auto"/>
        <w:left w:val="none" w:sz="0" w:space="0" w:color="auto"/>
        <w:bottom w:val="none" w:sz="0" w:space="0" w:color="auto"/>
        <w:right w:val="none" w:sz="0" w:space="0" w:color="auto"/>
      </w:divBdr>
    </w:div>
    <w:div w:id="1453205351">
      <w:bodyDiv w:val="1"/>
      <w:marLeft w:val="0"/>
      <w:marRight w:val="0"/>
      <w:marTop w:val="0"/>
      <w:marBottom w:val="0"/>
      <w:divBdr>
        <w:top w:val="none" w:sz="0" w:space="0" w:color="auto"/>
        <w:left w:val="none" w:sz="0" w:space="0" w:color="auto"/>
        <w:bottom w:val="none" w:sz="0" w:space="0" w:color="auto"/>
        <w:right w:val="none" w:sz="0" w:space="0" w:color="auto"/>
      </w:divBdr>
    </w:div>
    <w:div w:id="1455320554">
      <w:bodyDiv w:val="1"/>
      <w:marLeft w:val="0"/>
      <w:marRight w:val="0"/>
      <w:marTop w:val="0"/>
      <w:marBottom w:val="0"/>
      <w:divBdr>
        <w:top w:val="none" w:sz="0" w:space="0" w:color="auto"/>
        <w:left w:val="none" w:sz="0" w:space="0" w:color="auto"/>
        <w:bottom w:val="none" w:sz="0" w:space="0" w:color="auto"/>
        <w:right w:val="none" w:sz="0" w:space="0" w:color="auto"/>
      </w:divBdr>
      <w:divsChild>
        <w:div w:id="776750244">
          <w:marLeft w:val="0"/>
          <w:marRight w:val="0"/>
          <w:marTop w:val="0"/>
          <w:marBottom w:val="0"/>
          <w:divBdr>
            <w:top w:val="none" w:sz="0" w:space="0" w:color="auto"/>
            <w:left w:val="none" w:sz="0" w:space="0" w:color="auto"/>
            <w:bottom w:val="none" w:sz="0" w:space="0" w:color="auto"/>
            <w:right w:val="none" w:sz="0" w:space="0" w:color="auto"/>
          </w:divBdr>
        </w:div>
        <w:div w:id="1936983999">
          <w:marLeft w:val="0"/>
          <w:marRight w:val="0"/>
          <w:marTop w:val="120"/>
          <w:marBottom w:val="0"/>
          <w:divBdr>
            <w:top w:val="none" w:sz="0" w:space="0" w:color="auto"/>
            <w:left w:val="none" w:sz="0" w:space="0" w:color="auto"/>
            <w:bottom w:val="none" w:sz="0" w:space="0" w:color="auto"/>
            <w:right w:val="none" w:sz="0" w:space="0" w:color="auto"/>
          </w:divBdr>
        </w:div>
      </w:divsChild>
    </w:div>
    <w:div w:id="1483500073">
      <w:bodyDiv w:val="1"/>
      <w:marLeft w:val="0"/>
      <w:marRight w:val="0"/>
      <w:marTop w:val="0"/>
      <w:marBottom w:val="0"/>
      <w:divBdr>
        <w:top w:val="none" w:sz="0" w:space="0" w:color="auto"/>
        <w:left w:val="none" w:sz="0" w:space="0" w:color="auto"/>
        <w:bottom w:val="none" w:sz="0" w:space="0" w:color="auto"/>
        <w:right w:val="none" w:sz="0" w:space="0" w:color="auto"/>
      </w:divBdr>
    </w:div>
    <w:div w:id="1485127761">
      <w:bodyDiv w:val="1"/>
      <w:marLeft w:val="0"/>
      <w:marRight w:val="0"/>
      <w:marTop w:val="0"/>
      <w:marBottom w:val="0"/>
      <w:divBdr>
        <w:top w:val="none" w:sz="0" w:space="0" w:color="auto"/>
        <w:left w:val="none" w:sz="0" w:space="0" w:color="auto"/>
        <w:bottom w:val="none" w:sz="0" w:space="0" w:color="auto"/>
        <w:right w:val="none" w:sz="0" w:space="0" w:color="auto"/>
      </w:divBdr>
      <w:divsChild>
        <w:div w:id="955908502">
          <w:marLeft w:val="600"/>
          <w:marRight w:val="0"/>
          <w:marTop w:val="0"/>
          <w:marBottom w:val="0"/>
          <w:divBdr>
            <w:top w:val="none" w:sz="0" w:space="0" w:color="auto"/>
            <w:left w:val="none" w:sz="0" w:space="0" w:color="auto"/>
            <w:bottom w:val="none" w:sz="0" w:space="0" w:color="auto"/>
            <w:right w:val="none" w:sz="0" w:space="0" w:color="auto"/>
          </w:divBdr>
        </w:div>
        <w:div w:id="1683245082">
          <w:marLeft w:val="600"/>
          <w:marRight w:val="0"/>
          <w:marTop w:val="0"/>
          <w:marBottom w:val="0"/>
          <w:divBdr>
            <w:top w:val="none" w:sz="0" w:space="0" w:color="auto"/>
            <w:left w:val="none" w:sz="0" w:space="0" w:color="auto"/>
            <w:bottom w:val="none" w:sz="0" w:space="0" w:color="auto"/>
            <w:right w:val="none" w:sz="0" w:space="0" w:color="auto"/>
          </w:divBdr>
        </w:div>
        <w:div w:id="2069454504">
          <w:marLeft w:val="600"/>
          <w:marRight w:val="0"/>
          <w:marTop w:val="0"/>
          <w:marBottom w:val="0"/>
          <w:divBdr>
            <w:top w:val="none" w:sz="0" w:space="0" w:color="auto"/>
            <w:left w:val="none" w:sz="0" w:space="0" w:color="auto"/>
            <w:bottom w:val="none" w:sz="0" w:space="0" w:color="auto"/>
            <w:right w:val="none" w:sz="0" w:space="0" w:color="auto"/>
          </w:divBdr>
        </w:div>
      </w:divsChild>
    </w:div>
    <w:div w:id="1486164602">
      <w:bodyDiv w:val="1"/>
      <w:marLeft w:val="0"/>
      <w:marRight w:val="0"/>
      <w:marTop w:val="0"/>
      <w:marBottom w:val="0"/>
      <w:divBdr>
        <w:top w:val="none" w:sz="0" w:space="0" w:color="auto"/>
        <w:left w:val="none" w:sz="0" w:space="0" w:color="auto"/>
        <w:bottom w:val="none" w:sz="0" w:space="0" w:color="auto"/>
        <w:right w:val="none" w:sz="0" w:space="0" w:color="auto"/>
      </w:divBdr>
      <w:divsChild>
        <w:div w:id="208493486">
          <w:marLeft w:val="0"/>
          <w:marRight w:val="0"/>
          <w:marTop w:val="0"/>
          <w:marBottom w:val="0"/>
          <w:divBdr>
            <w:top w:val="none" w:sz="0" w:space="0" w:color="auto"/>
            <w:left w:val="none" w:sz="0" w:space="0" w:color="auto"/>
            <w:bottom w:val="none" w:sz="0" w:space="0" w:color="auto"/>
            <w:right w:val="none" w:sz="0" w:space="0" w:color="auto"/>
          </w:divBdr>
        </w:div>
        <w:div w:id="909271304">
          <w:marLeft w:val="0"/>
          <w:marRight w:val="0"/>
          <w:marTop w:val="120"/>
          <w:marBottom w:val="0"/>
          <w:divBdr>
            <w:top w:val="none" w:sz="0" w:space="0" w:color="auto"/>
            <w:left w:val="none" w:sz="0" w:space="0" w:color="auto"/>
            <w:bottom w:val="none" w:sz="0" w:space="0" w:color="auto"/>
            <w:right w:val="none" w:sz="0" w:space="0" w:color="auto"/>
          </w:divBdr>
        </w:div>
      </w:divsChild>
    </w:div>
    <w:div w:id="1489638968">
      <w:bodyDiv w:val="1"/>
      <w:marLeft w:val="0"/>
      <w:marRight w:val="0"/>
      <w:marTop w:val="0"/>
      <w:marBottom w:val="0"/>
      <w:divBdr>
        <w:top w:val="none" w:sz="0" w:space="0" w:color="auto"/>
        <w:left w:val="none" w:sz="0" w:space="0" w:color="auto"/>
        <w:bottom w:val="none" w:sz="0" w:space="0" w:color="auto"/>
        <w:right w:val="none" w:sz="0" w:space="0" w:color="auto"/>
      </w:divBdr>
      <w:divsChild>
        <w:div w:id="573929159">
          <w:marLeft w:val="0"/>
          <w:marRight w:val="0"/>
          <w:marTop w:val="0"/>
          <w:marBottom w:val="0"/>
          <w:divBdr>
            <w:top w:val="none" w:sz="0" w:space="0" w:color="auto"/>
            <w:left w:val="none" w:sz="0" w:space="0" w:color="auto"/>
            <w:bottom w:val="none" w:sz="0" w:space="0" w:color="auto"/>
            <w:right w:val="none" w:sz="0" w:space="0" w:color="auto"/>
          </w:divBdr>
        </w:div>
      </w:divsChild>
    </w:div>
    <w:div w:id="1494487105">
      <w:bodyDiv w:val="1"/>
      <w:marLeft w:val="0"/>
      <w:marRight w:val="0"/>
      <w:marTop w:val="0"/>
      <w:marBottom w:val="0"/>
      <w:divBdr>
        <w:top w:val="none" w:sz="0" w:space="0" w:color="auto"/>
        <w:left w:val="none" w:sz="0" w:space="0" w:color="auto"/>
        <w:bottom w:val="none" w:sz="0" w:space="0" w:color="auto"/>
        <w:right w:val="none" w:sz="0" w:space="0" w:color="auto"/>
      </w:divBdr>
      <w:divsChild>
        <w:div w:id="418675365">
          <w:marLeft w:val="0"/>
          <w:marRight w:val="0"/>
          <w:marTop w:val="0"/>
          <w:marBottom w:val="0"/>
          <w:divBdr>
            <w:top w:val="none" w:sz="0" w:space="0" w:color="auto"/>
            <w:left w:val="none" w:sz="0" w:space="0" w:color="auto"/>
            <w:bottom w:val="none" w:sz="0" w:space="0" w:color="auto"/>
            <w:right w:val="none" w:sz="0" w:space="0" w:color="auto"/>
          </w:divBdr>
          <w:divsChild>
            <w:div w:id="1832214312">
              <w:marLeft w:val="0"/>
              <w:marRight w:val="0"/>
              <w:marTop w:val="0"/>
              <w:marBottom w:val="0"/>
              <w:divBdr>
                <w:top w:val="none" w:sz="0" w:space="0" w:color="auto"/>
                <w:left w:val="none" w:sz="0" w:space="0" w:color="auto"/>
                <w:bottom w:val="none" w:sz="0" w:space="0" w:color="auto"/>
                <w:right w:val="none" w:sz="0" w:space="0" w:color="auto"/>
              </w:divBdr>
              <w:divsChild>
                <w:div w:id="629671846">
                  <w:marLeft w:val="0"/>
                  <w:marRight w:val="0"/>
                  <w:marTop w:val="120"/>
                  <w:marBottom w:val="0"/>
                  <w:divBdr>
                    <w:top w:val="none" w:sz="0" w:space="0" w:color="auto"/>
                    <w:left w:val="none" w:sz="0" w:space="0" w:color="auto"/>
                    <w:bottom w:val="none" w:sz="0" w:space="0" w:color="auto"/>
                    <w:right w:val="none" w:sz="0" w:space="0" w:color="auto"/>
                  </w:divBdr>
                  <w:divsChild>
                    <w:div w:id="25297137">
                      <w:marLeft w:val="0"/>
                      <w:marRight w:val="0"/>
                      <w:marTop w:val="120"/>
                      <w:marBottom w:val="0"/>
                      <w:divBdr>
                        <w:top w:val="none" w:sz="0" w:space="0" w:color="auto"/>
                        <w:left w:val="none" w:sz="0" w:space="0" w:color="auto"/>
                        <w:bottom w:val="none" w:sz="0" w:space="0" w:color="auto"/>
                        <w:right w:val="none" w:sz="0" w:space="0" w:color="auto"/>
                      </w:divBdr>
                    </w:div>
                    <w:div w:id="363991065">
                      <w:marLeft w:val="0"/>
                      <w:marRight w:val="0"/>
                      <w:marTop w:val="120"/>
                      <w:marBottom w:val="0"/>
                      <w:divBdr>
                        <w:top w:val="none" w:sz="0" w:space="0" w:color="auto"/>
                        <w:left w:val="none" w:sz="0" w:space="0" w:color="auto"/>
                        <w:bottom w:val="none" w:sz="0" w:space="0" w:color="auto"/>
                        <w:right w:val="none" w:sz="0" w:space="0" w:color="auto"/>
                      </w:divBdr>
                    </w:div>
                    <w:div w:id="1050567297">
                      <w:marLeft w:val="0"/>
                      <w:marRight w:val="0"/>
                      <w:marTop w:val="120"/>
                      <w:marBottom w:val="0"/>
                      <w:divBdr>
                        <w:top w:val="none" w:sz="0" w:space="0" w:color="auto"/>
                        <w:left w:val="none" w:sz="0" w:space="0" w:color="auto"/>
                        <w:bottom w:val="none" w:sz="0" w:space="0" w:color="auto"/>
                        <w:right w:val="none" w:sz="0" w:space="0" w:color="auto"/>
                      </w:divBdr>
                    </w:div>
                  </w:divsChild>
                </w:div>
                <w:div w:id="717242057">
                  <w:marLeft w:val="0"/>
                  <w:marRight w:val="0"/>
                  <w:marTop w:val="120"/>
                  <w:marBottom w:val="0"/>
                  <w:divBdr>
                    <w:top w:val="none" w:sz="0" w:space="0" w:color="auto"/>
                    <w:left w:val="none" w:sz="0" w:space="0" w:color="auto"/>
                    <w:bottom w:val="none" w:sz="0" w:space="0" w:color="auto"/>
                    <w:right w:val="none" w:sz="0" w:space="0" w:color="auto"/>
                  </w:divBdr>
                </w:div>
                <w:div w:id="181491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1582867">
          <w:marLeft w:val="0"/>
          <w:marRight w:val="0"/>
          <w:marTop w:val="0"/>
          <w:marBottom w:val="0"/>
          <w:divBdr>
            <w:top w:val="none" w:sz="0" w:space="0" w:color="auto"/>
            <w:left w:val="none" w:sz="0" w:space="0" w:color="auto"/>
            <w:bottom w:val="none" w:sz="0" w:space="0" w:color="auto"/>
            <w:right w:val="none" w:sz="0" w:space="0" w:color="auto"/>
          </w:divBdr>
          <w:divsChild>
            <w:div w:id="16781919">
              <w:marLeft w:val="0"/>
              <w:marRight w:val="0"/>
              <w:marTop w:val="0"/>
              <w:marBottom w:val="0"/>
              <w:divBdr>
                <w:top w:val="none" w:sz="0" w:space="0" w:color="auto"/>
                <w:left w:val="none" w:sz="0" w:space="0" w:color="auto"/>
                <w:bottom w:val="none" w:sz="0" w:space="0" w:color="auto"/>
                <w:right w:val="none" w:sz="0" w:space="0" w:color="auto"/>
              </w:divBdr>
              <w:divsChild>
                <w:div w:id="929462851">
                  <w:marLeft w:val="0"/>
                  <w:marRight w:val="0"/>
                  <w:marTop w:val="0"/>
                  <w:marBottom w:val="0"/>
                  <w:divBdr>
                    <w:top w:val="none" w:sz="0" w:space="0" w:color="auto"/>
                    <w:left w:val="none" w:sz="0" w:space="0" w:color="auto"/>
                    <w:bottom w:val="none" w:sz="0" w:space="0" w:color="auto"/>
                    <w:right w:val="none" w:sz="0" w:space="0" w:color="auto"/>
                  </w:divBdr>
                  <w:divsChild>
                    <w:div w:id="1505512660">
                      <w:marLeft w:val="0"/>
                      <w:marRight w:val="0"/>
                      <w:marTop w:val="120"/>
                      <w:marBottom w:val="0"/>
                      <w:divBdr>
                        <w:top w:val="none" w:sz="0" w:space="0" w:color="auto"/>
                        <w:left w:val="none" w:sz="0" w:space="0" w:color="auto"/>
                        <w:bottom w:val="none" w:sz="0" w:space="0" w:color="auto"/>
                        <w:right w:val="none" w:sz="0" w:space="0" w:color="auto"/>
                      </w:divBdr>
                    </w:div>
                    <w:div w:id="1934624650">
                      <w:marLeft w:val="0"/>
                      <w:marRight w:val="0"/>
                      <w:marTop w:val="0"/>
                      <w:marBottom w:val="0"/>
                      <w:divBdr>
                        <w:top w:val="none" w:sz="0" w:space="0" w:color="auto"/>
                        <w:left w:val="none" w:sz="0" w:space="0" w:color="auto"/>
                        <w:bottom w:val="none" w:sz="0" w:space="0" w:color="auto"/>
                        <w:right w:val="none" w:sz="0" w:space="0" w:color="auto"/>
                      </w:divBdr>
                    </w:div>
                  </w:divsChild>
                </w:div>
                <w:div w:id="2038852114">
                  <w:marLeft w:val="0"/>
                  <w:marRight w:val="0"/>
                  <w:marTop w:val="0"/>
                  <w:marBottom w:val="0"/>
                  <w:divBdr>
                    <w:top w:val="none" w:sz="0" w:space="0" w:color="auto"/>
                    <w:left w:val="none" w:sz="0" w:space="0" w:color="auto"/>
                    <w:bottom w:val="none" w:sz="0" w:space="0" w:color="auto"/>
                    <w:right w:val="none" w:sz="0" w:space="0" w:color="auto"/>
                  </w:divBdr>
                  <w:divsChild>
                    <w:div w:id="995109039">
                      <w:marLeft w:val="0"/>
                      <w:marRight w:val="0"/>
                      <w:marTop w:val="120"/>
                      <w:marBottom w:val="0"/>
                      <w:divBdr>
                        <w:top w:val="none" w:sz="0" w:space="0" w:color="auto"/>
                        <w:left w:val="none" w:sz="0" w:space="0" w:color="auto"/>
                        <w:bottom w:val="none" w:sz="0" w:space="0" w:color="auto"/>
                        <w:right w:val="none" w:sz="0" w:space="0" w:color="auto"/>
                      </w:divBdr>
                    </w:div>
                    <w:div w:id="13770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8721">
          <w:marLeft w:val="0"/>
          <w:marRight w:val="0"/>
          <w:marTop w:val="0"/>
          <w:marBottom w:val="0"/>
          <w:divBdr>
            <w:top w:val="none" w:sz="0" w:space="0" w:color="auto"/>
            <w:left w:val="none" w:sz="0" w:space="0" w:color="auto"/>
            <w:bottom w:val="none" w:sz="0" w:space="0" w:color="auto"/>
            <w:right w:val="none" w:sz="0" w:space="0" w:color="auto"/>
          </w:divBdr>
          <w:divsChild>
            <w:div w:id="890768747">
              <w:marLeft w:val="0"/>
              <w:marRight w:val="0"/>
              <w:marTop w:val="0"/>
              <w:marBottom w:val="0"/>
              <w:divBdr>
                <w:top w:val="none" w:sz="0" w:space="0" w:color="auto"/>
                <w:left w:val="none" w:sz="0" w:space="0" w:color="auto"/>
                <w:bottom w:val="none" w:sz="0" w:space="0" w:color="auto"/>
                <w:right w:val="none" w:sz="0" w:space="0" w:color="auto"/>
              </w:divBdr>
              <w:divsChild>
                <w:div w:id="387071527">
                  <w:marLeft w:val="0"/>
                  <w:marRight w:val="0"/>
                  <w:marTop w:val="0"/>
                  <w:marBottom w:val="0"/>
                  <w:divBdr>
                    <w:top w:val="none" w:sz="0" w:space="0" w:color="auto"/>
                    <w:left w:val="none" w:sz="0" w:space="0" w:color="auto"/>
                    <w:bottom w:val="none" w:sz="0" w:space="0" w:color="auto"/>
                    <w:right w:val="none" w:sz="0" w:space="0" w:color="auto"/>
                  </w:divBdr>
                  <w:divsChild>
                    <w:div w:id="200283942">
                      <w:marLeft w:val="0"/>
                      <w:marRight w:val="0"/>
                      <w:marTop w:val="0"/>
                      <w:marBottom w:val="0"/>
                      <w:divBdr>
                        <w:top w:val="none" w:sz="0" w:space="0" w:color="auto"/>
                        <w:left w:val="none" w:sz="0" w:space="0" w:color="auto"/>
                        <w:bottom w:val="none" w:sz="0" w:space="0" w:color="auto"/>
                        <w:right w:val="none" w:sz="0" w:space="0" w:color="auto"/>
                      </w:divBdr>
                    </w:div>
                    <w:div w:id="891962713">
                      <w:marLeft w:val="0"/>
                      <w:marRight w:val="0"/>
                      <w:marTop w:val="120"/>
                      <w:marBottom w:val="0"/>
                      <w:divBdr>
                        <w:top w:val="none" w:sz="0" w:space="0" w:color="auto"/>
                        <w:left w:val="none" w:sz="0" w:space="0" w:color="auto"/>
                        <w:bottom w:val="none" w:sz="0" w:space="0" w:color="auto"/>
                        <w:right w:val="none" w:sz="0" w:space="0" w:color="auto"/>
                      </w:divBdr>
                    </w:div>
                  </w:divsChild>
                </w:div>
                <w:div w:id="874543399">
                  <w:marLeft w:val="0"/>
                  <w:marRight w:val="0"/>
                  <w:marTop w:val="0"/>
                  <w:marBottom w:val="0"/>
                  <w:divBdr>
                    <w:top w:val="none" w:sz="0" w:space="0" w:color="auto"/>
                    <w:left w:val="none" w:sz="0" w:space="0" w:color="auto"/>
                    <w:bottom w:val="none" w:sz="0" w:space="0" w:color="auto"/>
                    <w:right w:val="none" w:sz="0" w:space="0" w:color="auto"/>
                  </w:divBdr>
                  <w:divsChild>
                    <w:div w:id="67313540">
                      <w:marLeft w:val="0"/>
                      <w:marRight w:val="0"/>
                      <w:marTop w:val="12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sChild>
                </w:div>
                <w:div w:id="1734154018">
                  <w:marLeft w:val="0"/>
                  <w:marRight w:val="0"/>
                  <w:marTop w:val="0"/>
                  <w:marBottom w:val="0"/>
                  <w:divBdr>
                    <w:top w:val="none" w:sz="0" w:space="0" w:color="auto"/>
                    <w:left w:val="none" w:sz="0" w:space="0" w:color="auto"/>
                    <w:bottom w:val="none" w:sz="0" w:space="0" w:color="auto"/>
                    <w:right w:val="none" w:sz="0" w:space="0" w:color="auto"/>
                  </w:divBdr>
                  <w:divsChild>
                    <w:div w:id="280458091">
                      <w:marLeft w:val="0"/>
                      <w:marRight w:val="0"/>
                      <w:marTop w:val="120"/>
                      <w:marBottom w:val="0"/>
                      <w:divBdr>
                        <w:top w:val="none" w:sz="0" w:space="0" w:color="auto"/>
                        <w:left w:val="none" w:sz="0" w:space="0" w:color="auto"/>
                        <w:bottom w:val="none" w:sz="0" w:space="0" w:color="auto"/>
                        <w:right w:val="none" w:sz="0" w:space="0" w:color="auto"/>
                      </w:divBdr>
                    </w:div>
                    <w:div w:id="1808816163">
                      <w:marLeft w:val="0"/>
                      <w:marRight w:val="0"/>
                      <w:marTop w:val="0"/>
                      <w:marBottom w:val="0"/>
                      <w:divBdr>
                        <w:top w:val="none" w:sz="0" w:space="0" w:color="auto"/>
                        <w:left w:val="none" w:sz="0" w:space="0" w:color="auto"/>
                        <w:bottom w:val="none" w:sz="0" w:space="0" w:color="auto"/>
                        <w:right w:val="none" w:sz="0" w:space="0" w:color="auto"/>
                      </w:divBdr>
                    </w:div>
                  </w:divsChild>
                </w:div>
                <w:div w:id="1883050966">
                  <w:marLeft w:val="0"/>
                  <w:marRight w:val="0"/>
                  <w:marTop w:val="0"/>
                  <w:marBottom w:val="0"/>
                  <w:divBdr>
                    <w:top w:val="none" w:sz="0" w:space="0" w:color="auto"/>
                    <w:left w:val="none" w:sz="0" w:space="0" w:color="auto"/>
                    <w:bottom w:val="none" w:sz="0" w:space="0" w:color="auto"/>
                    <w:right w:val="none" w:sz="0" w:space="0" w:color="auto"/>
                  </w:divBdr>
                  <w:divsChild>
                    <w:div w:id="1461143326">
                      <w:marLeft w:val="0"/>
                      <w:marRight w:val="0"/>
                      <w:marTop w:val="0"/>
                      <w:marBottom w:val="0"/>
                      <w:divBdr>
                        <w:top w:val="none" w:sz="0" w:space="0" w:color="auto"/>
                        <w:left w:val="none" w:sz="0" w:space="0" w:color="auto"/>
                        <w:bottom w:val="none" w:sz="0" w:space="0" w:color="auto"/>
                        <w:right w:val="none" w:sz="0" w:space="0" w:color="auto"/>
                      </w:divBdr>
                    </w:div>
                    <w:div w:id="2030179952">
                      <w:marLeft w:val="0"/>
                      <w:marRight w:val="0"/>
                      <w:marTop w:val="120"/>
                      <w:marBottom w:val="0"/>
                      <w:divBdr>
                        <w:top w:val="none" w:sz="0" w:space="0" w:color="auto"/>
                        <w:left w:val="none" w:sz="0" w:space="0" w:color="auto"/>
                        <w:bottom w:val="none" w:sz="0" w:space="0" w:color="auto"/>
                        <w:right w:val="none" w:sz="0" w:space="0" w:color="auto"/>
                      </w:divBdr>
                    </w:div>
                  </w:divsChild>
                </w:div>
                <w:div w:id="1986617658">
                  <w:marLeft w:val="0"/>
                  <w:marRight w:val="0"/>
                  <w:marTop w:val="0"/>
                  <w:marBottom w:val="0"/>
                  <w:divBdr>
                    <w:top w:val="none" w:sz="0" w:space="0" w:color="auto"/>
                    <w:left w:val="none" w:sz="0" w:space="0" w:color="auto"/>
                    <w:bottom w:val="none" w:sz="0" w:space="0" w:color="auto"/>
                    <w:right w:val="none" w:sz="0" w:space="0" w:color="auto"/>
                  </w:divBdr>
                  <w:divsChild>
                    <w:div w:id="167601372">
                      <w:marLeft w:val="0"/>
                      <w:marRight w:val="0"/>
                      <w:marTop w:val="120"/>
                      <w:marBottom w:val="0"/>
                      <w:divBdr>
                        <w:top w:val="none" w:sz="0" w:space="0" w:color="auto"/>
                        <w:left w:val="none" w:sz="0" w:space="0" w:color="auto"/>
                        <w:bottom w:val="none" w:sz="0" w:space="0" w:color="auto"/>
                        <w:right w:val="none" w:sz="0" w:space="0" w:color="auto"/>
                      </w:divBdr>
                    </w:div>
                    <w:div w:id="1919755083">
                      <w:marLeft w:val="0"/>
                      <w:marRight w:val="0"/>
                      <w:marTop w:val="0"/>
                      <w:marBottom w:val="0"/>
                      <w:divBdr>
                        <w:top w:val="none" w:sz="0" w:space="0" w:color="auto"/>
                        <w:left w:val="none" w:sz="0" w:space="0" w:color="auto"/>
                        <w:bottom w:val="none" w:sz="0" w:space="0" w:color="auto"/>
                        <w:right w:val="none" w:sz="0" w:space="0" w:color="auto"/>
                      </w:divBdr>
                    </w:div>
                  </w:divsChild>
                </w:div>
                <w:div w:id="2012021505">
                  <w:marLeft w:val="0"/>
                  <w:marRight w:val="0"/>
                  <w:marTop w:val="0"/>
                  <w:marBottom w:val="0"/>
                  <w:divBdr>
                    <w:top w:val="none" w:sz="0" w:space="0" w:color="auto"/>
                    <w:left w:val="none" w:sz="0" w:space="0" w:color="auto"/>
                    <w:bottom w:val="none" w:sz="0" w:space="0" w:color="auto"/>
                    <w:right w:val="none" w:sz="0" w:space="0" w:color="auto"/>
                  </w:divBdr>
                  <w:divsChild>
                    <w:div w:id="136537021">
                      <w:marLeft w:val="0"/>
                      <w:marRight w:val="0"/>
                      <w:marTop w:val="120"/>
                      <w:marBottom w:val="0"/>
                      <w:divBdr>
                        <w:top w:val="none" w:sz="0" w:space="0" w:color="auto"/>
                        <w:left w:val="none" w:sz="0" w:space="0" w:color="auto"/>
                        <w:bottom w:val="none" w:sz="0" w:space="0" w:color="auto"/>
                        <w:right w:val="none" w:sz="0" w:space="0" w:color="auto"/>
                      </w:divBdr>
                    </w:div>
                    <w:div w:id="1741637960">
                      <w:marLeft w:val="0"/>
                      <w:marRight w:val="0"/>
                      <w:marTop w:val="0"/>
                      <w:marBottom w:val="0"/>
                      <w:divBdr>
                        <w:top w:val="none" w:sz="0" w:space="0" w:color="auto"/>
                        <w:left w:val="none" w:sz="0" w:space="0" w:color="auto"/>
                        <w:bottom w:val="none" w:sz="0" w:space="0" w:color="auto"/>
                        <w:right w:val="none" w:sz="0" w:space="0" w:color="auto"/>
                      </w:divBdr>
                    </w:div>
                  </w:divsChild>
                </w:div>
                <w:div w:id="2100441390">
                  <w:marLeft w:val="0"/>
                  <w:marRight w:val="0"/>
                  <w:marTop w:val="0"/>
                  <w:marBottom w:val="0"/>
                  <w:divBdr>
                    <w:top w:val="none" w:sz="0" w:space="0" w:color="auto"/>
                    <w:left w:val="none" w:sz="0" w:space="0" w:color="auto"/>
                    <w:bottom w:val="none" w:sz="0" w:space="0" w:color="auto"/>
                    <w:right w:val="none" w:sz="0" w:space="0" w:color="auto"/>
                  </w:divBdr>
                  <w:divsChild>
                    <w:div w:id="632440627">
                      <w:marLeft w:val="0"/>
                      <w:marRight w:val="0"/>
                      <w:marTop w:val="0"/>
                      <w:marBottom w:val="0"/>
                      <w:divBdr>
                        <w:top w:val="none" w:sz="0" w:space="0" w:color="auto"/>
                        <w:left w:val="none" w:sz="0" w:space="0" w:color="auto"/>
                        <w:bottom w:val="none" w:sz="0" w:space="0" w:color="auto"/>
                        <w:right w:val="none" w:sz="0" w:space="0" w:color="auto"/>
                      </w:divBdr>
                    </w:div>
                    <w:div w:id="1073968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98225997">
      <w:bodyDiv w:val="1"/>
      <w:marLeft w:val="0"/>
      <w:marRight w:val="0"/>
      <w:marTop w:val="0"/>
      <w:marBottom w:val="0"/>
      <w:divBdr>
        <w:top w:val="none" w:sz="0" w:space="0" w:color="auto"/>
        <w:left w:val="none" w:sz="0" w:space="0" w:color="auto"/>
        <w:bottom w:val="none" w:sz="0" w:space="0" w:color="auto"/>
        <w:right w:val="none" w:sz="0" w:space="0" w:color="auto"/>
      </w:divBdr>
    </w:div>
    <w:div w:id="1510556675">
      <w:bodyDiv w:val="1"/>
      <w:marLeft w:val="0"/>
      <w:marRight w:val="0"/>
      <w:marTop w:val="0"/>
      <w:marBottom w:val="0"/>
      <w:divBdr>
        <w:top w:val="none" w:sz="0" w:space="0" w:color="auto"/>
        <w:left w:val="none" w:sz="0" w:space="0" w:color="auto"/>
        <w:bottom w:val="none" w:sz="0" w:space="0" w:color="auto"/>
        <w:right w:val="none" w:sz="0" w:space="0" w:color="auto"/>
      </w:divBdr>
      <w:divsChild>
        <w:div w:id="1026907618">
          <w:marLeft w:val="0"/>
          <w:marRight w:val="0"/>
          <w:marTop w:val="0"/>
          <w:marBottom w:val="0"/>
          <w:divBdr>
            <w:top w:val="none" w:sz="0" w:space="0" w:color="auto"/>
            <w:left w:val="none" w:sz="0" w:space="0" w:color="auto"/>
            <w:bottom w:val="none" w:sz="0" w:space="0" w:color="auto"/>
            <w:right w:val="none" w:sz="0" w:space="0" w:color="auto"/>
          </w:divBdr>
        </w:div>
      </w:divsChild>
    </w:div>
    <w:div w:id="1522360475">
      <w:bodyDiv w:val="1"/>
      <w:marLeft w:val="0"/>
      <w:marRight w:val="0"/>
      <w:marTop w:val="0"/>
      <w:marBottom w:val="0"/>
      <w:divBdr>
        <w:top w:val="none" w:sz="0" w:space="0" w:color="auto"/>
        <w:left w:val="none" w:sz="0" w:space="0" w:color="auto"/>
        <w:bottom w:val="none" w:sz="0" w:space="0" w:color="auto"/>
        <w:right w:val="none" w:sz="0" w:space="0" w:color="auto"/>
      </w:divBdr>
      <w:divsChild>
        <w:div w:id="675038412">
          <w:marLeft w:val="0"/>
          <w:marRight w:val="0"/>
          <w:marTop w:val="0"/>
          <w:marBottom w:val="0"/>
          <w:divBdr>
            <w:top w:val="none" w:sz="0" w:space="0" w:color="auto"/>
            <w:left w:val="none" w:sz="0" w:space="0" w:color="auto"/>
            <w:bottom w:val="none" w:sz="0" w:space="0" w:color="auto"/>
            <w:right w:val="none" w:sz="0" w:space="0" w:color="auto"/>
          </w:divBdr>
          <w:divsChild>
            <w:div w:id="1411807005">
              <w:marLeft w:val="0"/>
              <w:marRight w:val="0"/>
              <w:marTop w:val="0"/>
              <w:marBottom w:val="0"/>
              <w:divBdr>
                <w:top w:val="none" w:sz="0" w:space="0" w:color="auto"/>
                <w:left w:val="none" w:sz="0" w:space="0" w:color="auto"/>
                <w:bottom w:val="none" w:sz="0" w:space="0" w:color="auto"/>
                <w:right w:val="none" w:sz="0" w:space="0" w:color="auto"/>
              </w:divBdr>
              <w:divsChild>
                <w:div w:id="794176844">
                  <w:marLeft w:val="0"/>
                  <w:marRight w:val="0"/>
                  <w:marTop w:val="120"/>
                  <w:marBottom w:val="0"/>
                  <w:divBdr>
                    <w:top w:val="none" w:sz="0" w:space="0" w:color="auto"/>
                    <w:left w:val="none" w:sz="0" w:space="0" w:color="auto"/>
                    <w:bottom w:val="none" w:sz="0" w:space="0" w:color="auto"/>
                    <w:right w:val="none" w:sz="0" w:space="0" w:color="auto"/>
                  </w:divBdr>
                </w:div>
                <w:div w:id="1043169097">
                  <w:marLeft w:val="0"/>
                  <w:marRight w:val="0"/>
                  <w:marTop w:val="0"/>
                  <w:marBottom w:val="0"/>
                  <w:divBdr>
                    <w:top w:val="none" w:sz="0" w:space="0" w:color="auto"/>
                    <w:left w:val="none" w:sz="0" w:space="0" w:color="auto"/>
                    <w:bottom w:val="none" w:sz="0" w:space="0" w:color="auto"/>
                    <w:right w:val="none" w:sz="0" w:space="0" w:color="auto"/>
                  </w:divBdr>
                  <w:divsChild>
                    <w:div w:id="81949663">
                      <w:marLeft w:val="0"/>
                      <w:marRight w:val="0"/>
                      <w:marTop w:val="0"/>
                      <w:marBottom w:val="0"/>
                      <w:divBdr>
                        <w:top w:val="none" w:sz="0" w:space="0" w:color="auto"/>
                        <w:left w:val="none" w:sz="0" w:space="0" w:color="auto"/>
                        <w:bottom w:val="none" w:sz="0" w:space="0" w:color="auto"/>
                        <w:right w:val="none" w:sz="0" w:space="0" w:color="auto"/>
                      </w:divBdr>
                      <w:divsChild>
                        <w:div w:id="1010720027">
                          <w:marLeft w:val="0"/>
                          <w:marRight w:val="0"/>
                          <w:marTop w:val="0"/>
                          <w:marBottom w:val="0"/>
                          <w:divBdr>
                            <w:top w:val="none" w:sz="0" w:space="0" w:color="auto"/>
                            <w:left w:val="none" w:sz="0" w:space="0" w:color="auto"/>
                            <w:bottom w:val="none" w:sz="0" w:space="0" w:color="auto"/>
                            <w:right w:val="none" w:sz="0" w:space="0" w:color="auto"/>
                          </w:divBdr>
                        </w:div>
                        <w:div w:id="1520122365">
                          <w:marLeft w:val="0"/>
                          <w:marRight w:val="0"/>
                          <w:marTop w:val="120"/>
                          <w:marBottom w:val="0"/>
                          <w:divBdr>
                            <w:top w:val="none" w:sz="0" w:space="0" w:color="auto"/>
                            <w:left w:val="none" w:sz="0" w:space="0" w:color="auto"/>
                            <w:bottom w:val="none" w:sz="0" w:space="0" w:color="auto"/>
                            <w:right w:val="none" w:sz="0" w:space="0" w:color="auto"/>
                          </w:divBdr>
                        </w:div>
                      </w:divsChild>
                    </w:div>
                    <w:div w:id="794105596">
                      <w:marLeft w:val="0"/>
                      <w:marRight w:val="0"/>
                      <w:marTop w:val="0"/>
                      <w:marBottom w:val="0"/>
                      <w:divBdr>
                        <w:top w:val="none" w:sz="0" w:space="0" w:color="auto"/>
                        <w:left w:val="none" w:sz="0" w:space="0" w:color="auto"/>
                        <w:bottom w:val="none" w:sz="0" w:space="0" w:color="auto"/>
                        <w:right w:val="none" w:sz="0" w:space="0" w:color="auto"/>
                      </w:divBdr>
                      <w:divsChild>
                        <w:div w:id="536044414">
                          <w:marLeft w:val="0"/>
                          <w:marRight w:val="0"/>
                          <w:marTop w:val="120"/>
                          <w:marBottom w:val="0"/>
                          <w:divBdr>
                            <w:top w:val="none" w:sz="0" w:space="0" w:color="auto"/>
                            <w:left w:val="none" w:sz="0" w:space="0" w:color="auto"/>
                            <w:bottom w:val="none" w:sz="0" w:space="0" w:color="auto"/>
                            <w:right w:val="none" w:sz="0" w:space="0" w:color="auto"/>
                          </w:divBdr>
                        </w:div>
                        <w:div w:id="2086804219">
                          <w:marLeft w:val="0"/>
                          <w:marRight w:val="0"/>
                          <w:marTop w:val="0"/>
                          <w:marBottom w:val="0"/>
                          <w:divBdr>
                            <w:top w:val="none" w:sz="0" w:space="0" w:color="auto"/>
                            <w:left w:val="none" w:sz="0" w:space="0" w:color="auto"/>
                            <w:bottom w:val="none" w:sz="0" w:space="0" w:color="auto"/>
                            <w:right w:val="none" w:sz="0" w:space="0" w:color="auto"/>
                          </w:divBdr>
                        </w:div>
                      </w:divsChild>
                    </w:div>
                    <w:div w:id="1028725686">
                      <w:marLeft w:val="0"/>
                      <w:marRight w:val="0"/>
                      <w:marTop w:val="0"/>
                      <w:marBottom w:val="0"/>
                      <w:divBdr>
                        <w:top w:val="none" w:sz="0" w:space="0" w:color="auto"/>
                        <w:left w:val="none" w:sz="0" w:space="0" w:color="auto"/>
                        <w:bottom w:val="none" w:sz="0" w:space="0" w:color="auto"/>
                        <w:right w:val="none" w:sz="0" w:space="0" w:color="auto"/>
                      </w:divBdr>
                      <w:divsChild>
                        <w:div w:id="1697465976">
                          <w:marLeft w:val="0"/>
                          <w:marRight w:val="0"/>
                          <w:marTop w:val="120"/>
                          <w:marBottom w:val="0"/>
                          <w:divBdr>
                            <w:top w:val="none" w:sz="0" w:space="0" w:color="auto"/>
                            <w:left w:val="none" w:sz="0" w:space="0" w:color="auto"/>
                            <w:bottom w:val="none" w:sz="0" w:space="0" w:color="auto"/>
                            <w:right w:val="none" w:sz="0" w:space="0" w:color="auto"/>
                          </w:divBdr>
                        </w:div>
                        <w:div w:id="20427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1015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120"/>
                  <w:marBottom w:val="0"/>
                  <w:divBdr>
                    <w:top w:val="none" w:sz="0" w:space="0" w:color="auto"/>
                    <w:left w:val="none" w:sz="0" w:space="0" w:color="auto"/>
                    <w:bottom w:val="none" w:sz="0" w:space="0" w:color="auto"/>
                    <w:right w:val="none" w:sz="0" w:space="0" w:color="auto"/>
                  </w:divBdr>
                </w:div>
                <w:div w:id="20843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81481">
      <w:bodyDiv w:val="1"/>
      <w:marLeft w:val="0"/>
      <w:marRight w:val="0"/>
      <w:marTop w:val="0"/>
      <w:marBottom w:val="0"/>
      <w:divBdr>
        <w:top w:val="none" w:sz="0" w:space="0" w:color="auto"/>
        <w:left w:val="none" w:sz="0" w:space="0" w:color="auto"/>
        <w:bottom w:val="none" w:sz="0" w:space="0" w:color="auto"/>
        <w:right w:val="none" w:sz="0" w:space="0" w:color="auto"/>
      </w:divBdr>
    </w:div>
    <w:div w:id="1563103859">
      <w:bodyDiv w:val="1"/>
      <w:marLeft w:val="0"/>
      <w:marRight w:val="0"/>
      <w:marTop w:val="0"/>
      <w:marBottom w:val="0"/>
      <w:divBdr>
        <w:top w:val="none" w:sz="0" w:space="0" w:color="auto"/>
        <w:left w:val="none" w:sz="0" w:space="0" w:color="auto"/>
        <w:bottom w:val="none" w:sz="0" w:space="0" w:color="auto"/>
        <w:right w:val="none" w:sz="0" w:space="0" w:color="auto"/>
      </w:divBdr>
      <w:divsChild>
        <w:div w:id="2020427176">
          <w:marLeft w:val="0"/>
          <w:marRight w:val="0"/>
          <w:marTop w:val="0"/>
          <w:marBottom w:val="0"/>
          <w:divBdr>
            <w:top w:val="none" w:sz="0" w:space="0" w:color="auto"/>
            <w:left w:val="none" w:sz="0" w:space="0" w:color="auto"/>
            <w:bottom w:val="none" w:sz="0" w:space="0" w:color="auto"/>
            <w:right w:val="none" w:sz="0" w:space="0" w:color="auto"/>
          </w:divBdr>
        </w:div>
      </w:divsChild>
    </w:div>
    <w:div w:id="1577398622">
      <w:bodyDiv w:val="1"/>
      <w:marLeft w:val="0"/>
      <w:marRight w:val="0"/>
      <w:marTop w:val="0"/>
      <w:marBottom w:val="0"/>
      <w:divBdr>
        <w:top w:val="none" w:sz="0" w:space="0" w:color="auto"/>
        <w:left w:val="none" w:sz="0" w:space="0" w:color="auto"/>
        <w:bottom w:val="none" w:sz="0" w:space="0" w:color="auto"/>
        <w:right w:val="none" w:sz="0" w:space="0" w:color="auto"/>
      </w:divBdr>
    </w:div>
    <w:div w:id="1585411745">
      <w:bodyDiv w:val="1"/>
      <w:marLeft w:val="0"/>
      <w:marRight w:val="0"/>
      <w:marTop w:val="0"/>
      <w:marBottom w:val="0"/>
      <w:divBdr>
        <w:top w:val="none" w:sz="0" w:space="0" w:color="auto"/>
        <w:left w:val="none" w:sz="0" w:space="0" w:color="auto"/>
        <w:bottom w:val="none" w:sz="0" w:space="0" w:color="auto"/>
        <w:right w:val="none" w:sz="0" w:space="0" w:color="auto"/>
      </w:divBdr>
    </w:div>
    <w:div w:id="1586760591">
      <w:bodyDiv w:val="1"/>
      <w:marLeft w:val="0"/>
      <w:marRight w:val="0"/>
      <w:marTop w:val="0"/>
      <w:marBottom w:val="0"/>
      <w:divBdr>
        <w:top w:val="none" w:sz="0" w:space="0" w:color="auto"/>
        <w:left w:val="none" w:sz="0" w:space="0" w:color="auto"/>
        <w:bottom w:val="none" w:sz="0" w:space="0" w:color="auto"/>
        <w:right w:val="none" w:sz="0" w:space="0" w:color="auto"/>
      </w:divBdr>
    </w:div>
    <w:div w:id="1593390653">
      <w:bodyDiv w:val="1"/>
      <w:marLeft w:val="0"/>
      <w:marRight w:val="0"/>
      <w:marTop w:val="0"/>
      <w:marBottom w:val="0"/>
      <w:divBdr>
        <w:top w:val="none" w:sz="0" w:space="0" w:color="auto"/>
        <w:left w:val="none" w:sz="0" w:space="0" w:color="auto"/>
        <w:bottom w:val="none" w:sz="0" w:space="0" w:color="auto"/>
        <w:right w:val="none" w:sz="0" w:space="0" w:color="auto"/>
      </w:divBdr>
      <w:divsChild>
        <w:div w:id="1360086070">
          <w:marLeft w:val="0"/>
          <w:marRight w:val="0"/>
          <w:marTop w:val="0"/>
          <w:marBottom w:val="0"/>
          <w:divBdr>
            <w:top w:val="none" w:sz="0" w:space="0" w:color="auto"/>
            <w:left w:val="none" w:sz="0" w:space="0" w:color="auto"/>
            <w:bottom w:val="none" w:sz="0" w:space="0" w:color="auto"/>
            <w:right w:val="none" w:sz="0" w:space="0" w:color="auto"/>
          </w:divBdr>
          <w:divsChild>
            <w:div w:id="1400134795">
              <w:marLeft w:val="0"/>
              <w:marRight w:val="0"/>
              <w:marTop w:val="0"/>
              <w:marBottom w:val="0"/>
              <w:divBdr>
                <w:top w:val="none" w:sz="0" w:space="0" w:color="auto"/>
                <w:left w:val="none" w:sz="0" w:space="0" w:color="auto"/>
                <w:bottom w:val="none" w:sz="0" w:space="0" w:color="auto"/>
                <w:right w:val="none" w:sz="0" w:space="0" w:color="auto"/>
              </w:divBdr>
            </w:div>
            <w:div w:id="2077775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9870617">
      <w:bodyDiv w:val="1"/>
      <w:marLeft w:val="0"/>
      <w:marRight w:val="0"/>
      <w:marTop w:val="0"/>
      <w:marBottom w:val="0"/>
      <w:divBdr>
        <w:top w:val="none" w:sz="0" w:space="0" w:color="auto"/>
        <w:left w:val="none" w:sz="0" w:space="0" w:color="auto"/>
        <w:bottom w:val="none" w:sz="0" w:space="0" w:color="auto"/>
        <w:right w:val="none" w:sz="0" w:space="0" w:color="auto"/>
      </w:divBdr>
    </w:div>
    <w:div w:id="1601183493">
      <w:bodyDiv w:val="1"/>
      <w:marLeft w:val="0"/>
      <w:marRight w:val="0"/>
      <w:marTop w:val="0"/>
      <w:marBottom w:val="0"/>
      <w:divBdr>
        <w:top w:val="none" w:sz="0" w:space="0" w:color="auto"/>
        <w:left w:val="none" w:sz="0" w:space="0" w:color="auto"/>
        <w:bottom w:val="none" w:sz="0" w:space="0" w:color="auto"/>
        <w:right w:val="none" w:sz="0" w:space="0" w:color="auto"/>
      </w:divBdr>
      <w:divsChild>
        <w:div w:id="11541238">
          <w:marLeft w:val="0"/>
          <w:marRight w:val="0"/>
          <w:marTop w:val="0"/>
          <w:marBottom w:val="0"/>
          <w:divBdr>
            <w:top w:val="none" w:sz="0" w:space="0" w:color="auto"/>
            <w:left w:val="none" w:sz="0" w:space="0" w:color="auto"/>
            <w:bottom w:val="none" w:sz="0" w:space="0" w:color="auto"/>
            <w:right w:val="none" w:sz="0" w:space="0" w:color="auto"/>
          </w:divBdr>
          <w:divsChild>
            <w:div w:id="1074089679">
              <w:marLeft w:val="0"/>
              <w:marRight w:val="0"/>
              <w:marTop w:val="0"/>
              <w:marBottom w:val="0"/>
              <w:divBdr>
                <w:top w:val="none" w:sz="0" w:space="0" w:color="auto"/>
                <w:left w:val="none" w:sz="0" w:space="0" w:color="auto"/>
                <w:bottom w:val="none" w:sz="0" w:space="0" w:color="auto"/>
                <w:right w:val="none" w:sz="0" w:space="0" w:color="auto"/>
              </w:divBdr>
            </w:div>
            <w:div w:id="1196769513">
              <w:marLeft w:val="0"/>
              <w:marRight w:val="0"/>
              <w:marTop w:val="120"/>
              <w:marBottom w:val="0"/>
              <w:divBdr>
                <w:top w:val="none" w:sz="0" w:space="0" w:color="auto"/>
                <w:left w:val="none" w:sz="0" w:space="0" w:color="auto"/>
                <w:bottom w:val="none" w:sz="0" w:space="0" w:color="auto"/>
                <w:right w:val="none" w:sz="0" w:space="0" w:color="auto"/>
              </w:divBdr>
            </w:div>
          </w:divsChild>
        </w:div>
        <w:div w:id="50928968">
          <w:marLeft w:val="0"/>
          <w:marRight w:val="0"/>
          <w:marTop w:val="0"/>
          <w:marBottom w:val="0"/>
          <w:divBdr>
            <w:top w:val="none" w:sz="0" w:space="0" w:color="auto"/>
            <w:left w:val="none" w:sz="0" w:space="0" w:color="auto"/>
            <w:bottom w:val="none" w:sz="0" w:space="0" w:color="auto"/>
            <w:right w:val="none" w:sz="0" w:space="0" w:color="auto"/>
          </w:divBdr>
          <w:divsChild>
            <w:div w:id="1974600564">
              <w:marLeft w:val="0"/>
              <w:marRight w:val="0"/>
              <w:marTop w:val="0"/>
              <w:marBottom w:val="0"/>
              <w:divBdr>
                <w:top w:val="none" w:sz="0" w:space="0" w:color="auto"/>
                <w:left w:val="none" w:sz="0" w:space="0" w:color="auto"/>
                <w:bottom w:val="none" w:sz="0" w:space="0" w:color="auto"/>
                <w:right w:val="none" w:sz="0" w:space="0" w:color="auto"/>
              </w:divBdr>
            </w:div>
          </w:divsChild>
        </w:div>
        <w:div w:id="83764420">
          <w:marLeft w:val="0"/>
          <w:marRight w:val="0"/>
          <w:marTop w:val="0"/>
          <w:marBottom w:val="0"/>
          <w:divBdr>
            <w:top w:val="none" w:sz="0" w:space="0" w:color="auto"/>
            <w:left w:val="none" w:sz="0" w:space="0" w:color="auto"/>
            <w:bottom w:val="none" w:sz="0" w:space="0" w:color="auto"/>
            <w:right w:val="none" w:sz="0" w:space="0" w:color="auto"/>
          </w:divBdr>
          <w:divsChild>
            <w:div w:id="1528442450">
              <w:marLeft w:val="0"/>
              <w:marRight w:val="0"/>
              <w:marTop w:val="0"/>
              <w:marBottom w:val="0"/>
              <w:divBdr>
                <w:top w:val="none" w:sz="0" w:space="0" w:color="auto"/>
                <w:left w:val="none" w:sz="0" w:space="0" w:color="auto"/>
                <w:bottom w:val="none" w:sz="0" w:space="0" w:color="auto"/>
                <w:right w:val="none" w:sz="0" w:space="0" w:color="auto"/>
              </w:divBdr>
              <w:divsChild>
                <w:div w:id="157187154">
                  <w:marLeft w:val="0"/>
                  <w:marRight w:val="0"/>
                  <w:marTop w:val="0"/>
                  <w:marBottom w:val="0"/>
                  <w:divBdr>
                    <w:top w:val="none" w:sz="0" w:space="0" w:color="auto"/>
                    <w:left w:val="none" w:sz="0" w:space="0" w:color="auto"/>
                    <w:bottom w:val="none" w:sz="0" w:space="0" w:color="auto"/>
                    <w:right w:val="none" w:sz="0" w:space="0" w:color="auto"/>
                  </w:divBdr>
                  <w:divsChild>
                    <w:div w:id="111093986">
                      <w:marLeft w:val="0"/>
                      <w:marRight w:val="0"/>
                      <w:marTop w:val="120"/>
                      <w:marBottom w:val="0"/>
                      <w:divBdr>
                        <w:top w:val="none" w:sz="0" w:space="0" w:color="auto"/>
                        <w:left w:val="none" w:sz="0" w:space="0" w:color="auto"/>
                        <w:bottom w:val="none" w:sz="0" w:space="0" w:color="auto"/>
                        <w:right w:val="none" w:sz="0" w:space="0" w:color="auto"/>
                      </w:divBdr>
                    </w:div>
                    <w:div w:id="1813476347">
                      <w:marLeft w:val="0"/>
                      <w:marRight w:val="0"/>
                      <w:marTop w:val="0"/>
                      <w:marBottom w:val="0"/>
                      <w:divBdr>
                        <w:top w:val="none" w:sz="0" w:space="0" w:color="auto"/>
                        <w:left w:val="none" w:sz="0" w:space="0" w:color="auto"/>
                        <w:bottom w:val="none" w:sz="0" w:space="0" w:color="auto"/>
                        <w:right w:val="none" w:sz="0" w:space="0" w:color="auto"/>
                      </w:divBdr>
                    </w:div>
                  </w:divsChild>
                </w:div>
                <w:div w:id="402262799">
                  <w:marLeft w:val="0"/>
                  <w:marRight w:val="0"/>
                  <w:marTop w:val="0"/>
                  <w:marBottom w:val="0"/>
                  <w:divBdr>
                    <w:top w:val="none" w:sz="0" w:space="0" w:color="auto"/>
                    <w:left w:val="none" w:sz="0" w:space="0" w:color="auto"/>
                    <w:bottom w:val="none" w:sz="0" w:space="0" w:color="auto"/>
                    <w:right w:val="none" w:sz="0" w:space="0" w:color="auto"/>
                  </w:divBdr>
                  <w:divsChild>
                    <w:div w:id="135538200">
                      <w:marLeft w:val="0"/>
                      <w:marRight w:val="0"/>
                      <w:marTop w:val="120"/>
                      <w:marBottom w:val="0"/>
                      <w:divBdr>
                        <w:top w:val="none" w:sz="0" w:space="0" w:color="auto"/>
                        <w:left w:val="none" w:sz="0" w:space="0" w:color="auto"/>
                        <w:bottom w:val="none" w:sz="0" w:space="0" w:color="auto"/>
                        <w:right w:val="none" w:sz="0" w:space="0" w:color="auto"/>
                      </w:divBdr>
                    </w:div>
                    <w:div w:id="1972900856">
                      <w:marLeft w:val="0"/>
                      <w:marRight w:val="0"/>
                      <w:marTop w:val="0"/>
                      <w:marBottom w:val="0"/>
                      <w:divBdr>
                        <w:top w:val="none" w:sz="0" w:space="0" w:color="auto"/>
                        <w:left w:val="none" w:sz="0" w:space="0" w:color="auto"/>
                        <w:bottom w:val="none" w:sz="0" w:space="0" w:color="auto"/>
                        <w:right w:val="none" w:sz="0" w:space="0" w:color="auto"/>
                      </w:divBdr>
                    </w:div>
                  </w:divsChild>
                </w:div>
                <w:div w:id="529026953">
                  <w:marLeft w:val="0"/>
                  <w:marRight w:val="0"/>
                  <w:marTop w:val="0"/>
                  <w:marBottom w:val="0"/>
                  <w:divBdr>
                    <w:top w:val="none" w:sz="0" w:space="0" w:color="auto"/>
                    <w:left w:val="none" w:sz="0" w:space="0" w:color="auto"/>
                    <w:bottom w:val="none" w:sz="0" w:space="0" w:color="auto"/>
                    <w:right w:val="none" w:sz="0" w:space="0" w:color="auto"/>
                  </w:divBdr>
                  <w:divsChild>
                    <w:div w:id="565261934">
                      <w:marLeft w:val="0"/>
                      <w:marRight w:val="0"/>
                      <w:marTop w:val="0"/>
                      <w:marBottom w:val="0"/>
                      <w:divBdr>
                        <w:top w:val="none" w:sz="0" w:space="0" w:color="auto"/>
                        <w:left w:val="none" w:sz="0" w:space="0" w:color="auto"/>
                        <w:bottom w:val="none" w:sz="0" w:space="0" w:color="auto"/>
                        <w:right w:val="none" w:sz="0" w:space="0" w:color="auto"/>
                      </w:divBdr>
                    </w:div>
                    <w:div w:id="1063018817">
                      <w:marLeft w:val="0"/>
                      <w:marRight w:val="0"/>
                      <w:marTop w:val="120"/>
                      <w:marBottom w:val="0"/>
                      <w:divBdr>
                        <w:top w:val="none" w:sz="0" w:space="0" w:color="auto"/>
                        <w:left w:val="none" w:sz="0" w:space="0" w:color="auto"/>
                        <w:bottom w:val="none" w:sz="0" w:space="0" w:color="auto"/>
                        <w:right w:val="none" w:sz="0" w:space="0" w:color="auto"/>
                      </w:divBdr>
                    </w:div>
                  </w:divsChild>
                </w:div>
                <w:div w:id="1196889971">
                  <w:marLeft w:val="0"/>
                  <w:marRight w:val="0"/>
                  <w:marTop w:val="0"/>
                  <w:marBottom w:val="0"/>
                  <w:divBdr>
                    <w:top w:val="none" w:sz="0" w:space="0" w:color="auto"/>
                    <w:left w:val="none" w:sz="0" w:space="0" w:color="auto"/>
                    <w:bottom w:val="none" w:sz="0" w:space="0" w:color="auto"/>
                    <w:right w:val="none" w:sz="0" w:space="0" w:color="auto"/>
                  </w:divBdr>
                  <w:divsChild>
                    <w:div w:id="838808641">
                      <w:marLeft w:val="0"/>
                      <w:marRight w:val="0"/>
                      <w:marTop w:val="0"/>
                      <w:marBottom w:val="0"/>
                      <w:divBdr>
                        <w:top w:val="none" w:sz="0" w:space="0" w:color="auto"/>
                        <w:left w:val="none" w:sz="0" w:space="0" w:color="auto"/>
                        <w:bottom w:val="none" w:sz="0" w:space="0" w:color="auto"/>
                        <w:right w:val="none" w:sz="0" w:space="0" w:color="auto"/>
                      </w:divBdr>
                    </w:div>
                    <w:div w:id="2020043144">
                      <w:marLeft w:val="0"/>
                      <w:marRight w:val="0"/>
                      <w:marTop w:val="120"/>
                      <w:marBottom w:val="0"/>
                      <w:divBdr>
                        <w:top w:val="none" w:sz="0" w:space="0" w:color="auto"/>
                        <w:left w:val="none" w:sz="0" w:space="0" w:color="auto"/>
                        <w:bottom w:val="none" w:sz="0" w:space="0" w:color="auto"/>
                        <w:right w:val="none" w:sz="0" w:space="0" w:color="auto"/>
                      </w:divBdr>
                    </w:div>
                  </w:divsChild>
                </w:div>
                <w:div w:id="1616794633">
                  <w:marLeft w:val="0"/>
                  <w:marRight w:val="0"/>
                  <w:marTop w:val="0"/>
                  <w:marBottom w:val="0"/>
                  <w:divBdr>
                    <w:top w:val="none" w:sz="0" w:space="0" w:color="auto"/>
                    <w:left w:val="none" w:sz="0" w:space="0" w:color="auto"/>
                    <w:bottom w:val="none" w:sz="0" w:space="0" w:color="auto"/>
                    <w:right w:val="none" w:sz="0" w:space="0" w:color="auto"/>
                  </w:divBdr>
                  <w:divsChild>
                    <w:div w:id="752623410">
                      <w:marLeft w:val="0"/>
                      <w:marRight w:val="0"/>
                      <w:marTop w:val="0"/>
                      <w:marBottom w:val="0"/>
                      <w:divBdr>
                        <w:top w:val="none" w:sz="0" w:space="0" w:color="auto"/>
                        <w:left w:val="none" w:sz="0" w:space="0" w:color="auto"/>
                        <w:bottom w:val="none" w:sz="0" w:space="0" w:color="auto"/>
                        <w:right w:val="none" w:sz="0" w:space="0" w:color="auto"/>
                      </w:divBdr>
                    </w:div>
                    <w:div w:id="7892050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8114874">
          <w:marLeft w:val="0"/>
          <w:marRight w:val="0"/>
          <w:marTop w:val="0"/>
          <w:marBottom w:val="0"/>
          <w:divBdr>
            <w:top w:val="none" w:sz="0" w:space="0" w:color="auto"/>
            <w:left w:val="none" w:sz="0" w:space="0" w:color="auto"/>
            <w:bottom w:val="none" w:sz="0" w:space="0" w:color="auto"/>
            <w:right w:val="none" w:sz="0" w:space="0" w:color="auto"/>
          </w:divBdr>
          <w:divsChild>
            <w:div w:id="1735544318">
              <w:marLeft w:val="0"/>
              <w:marRight w:val="0"/>
              <w:marTop w:val="0"/>
              <w:marBottom w:val="0"/>
              <w:divBdr>
                <w:top w:val="none" w:sz="0" w:space="0" w:color="auto"/>
                <w:left w:val="none" w:sz="0" w:space="0" w:color="auto"/>
                <w:bottom w:val="none" w:sz="0" w:space="0" w:color="auto"/>
                <w:right w:val="none" w:sz="0" w:space="0" w:color="auto"/>
              </w:divBdr>
              <w:divsChild>
                <w:div w:id="1178081544">
                  <w:marLeft w:val="0"/>
                  <w:marRight w:val="0"/>
                  <w:marTop w:val="0"/>
                  <w:marBottom w:val="0"/>
                  <w:divBdr>
                    <w:top w:val="none" w:sz="0" w:space="0" w:color="auto"/>
                    <w:left w:val="none" w:sz="0" w:space="0" w:color="auto"/>
                    <w:bottom w:val="none" w:sz="0" w:space="0" w:color="auto"/>
                    <w:right w:val="none" w:sz="0" w:space="0" w:color="auto"/>
                  </w:divBdr>
                  <w:divsChild>
                    <w:div w:id="780105808">
                      <w:marLeft w:val="0"/>
                      <w:marRight w:val="0"/>
                      <w:marTop w:val="0"/>
                      <w:marBottom w:val="0"/>
                      <w:divBdr>
                        <w:top w:val="none" w:sz="0" w:space="0" w:color="auto"/>
                        <w:left w:val="none" w:sz="0" w:space="0" w:color="auto"/>
                        <w:bottom w:val="none" w:sz="0" w:space="0" w:color="auto"/>
                        <w:right w:val="none" w:sz="0" w:space="0" w:color="auto"/>
                      </w:divBdr>
                    </w:div>
                    <w:div w:id="962887216">
                      <w:marLeft w:val="0"/>
                      <w:marRight w:val="0"/>
                      <w:marTop w:val="120"/>
                      <w:marBottom w:val="0"/>
                      <w:divBdr>
                        <w:top w:val="none" w:sz="0" w:space="0" w:color="auto"/>
                        <w:left w:val="none" w:sz="0" w:space="0" w:color="auto"/>
                        <w:bottom w:val="none" w:sz="0" w:space="0" w:color="auto"/>
                        <w:right w:val="none" w:sz="0" w:space="0" w:color="auto"/>
                      </w:divBdr>
                    </w:div>
                  </w:divsChild>
                </w:div>
                <w:div w:id="1338462836">
                  <w:marLeft w:val="0"/>
                  <w:marRight w:val="0"/>
                  <w:marTop w:val="0"/>
                  <w:marBottom w:val="0"/>
                  <w:divBdr>
                    <w:top w:val="none" w:sz="0" w:space="0" w:color="auto"/>
                    <w:left w:val="none" w:sz="0" w:space="0" w:color="auto"/>
                    <w:bottom w:val="none" w:sz="0" w:space="0" w:color="auto"/>
                    <w:right w:val="none" w:sz="0" w:space="0" w:color="auto"/>
                  </w:divBdr>
                  <w:divsChild>
                    <w:div w:id="768161397">
                      <w:marLeft w:val="0"/>
                      <w:marRight w:val="0"/>
                      <w:marTop w:val="0"/>
                      <w:marBottom w:val="0"/>
                      <w:divBdr>
                        <w:top w:val="none" w:sz="0" w:space="0" w:color="auto"/>
                        <w:left w:val="none" w:sz="0" w:space="0" w:color="auto"/>
                        <w:bottom w:val="none" w:sz="0" w:space="0" w:color="auto"/>
                        <w:right w:val="none" w:sz="0" w:space="0" w:color="auto"/>
                      </w:divBdr>
                    </w:div>
                    <w:div w:id="2093812991">
                      <w:marLeft w:val="0"/>
                      <w:marRight w:val="0"/>
                      <w:marTop w:val="120"/>
                      <w:marBottom w:val="0"/>
                      <w:divBdr>
                        <w:top w:val="none" w:sz="0" w:space="0" w:color="auto"/>
                        <w:left w:val="none" w:sz="0" w:space="0" w:color="auto"/>
                        <w:bottom w:val="none" w:sz="0" w:space="0" w:color="auto"/>
                        <w:right w:val="none" w:sz="0" w:space="0" w:color="auto"/>
                      </w:divBdr>
                    </w:div>
                  </w:divsChild>
                </w:div>
                <w:div w:id="1430201191">
                  <w:marLeft w:val="0"/>
                  <w:marRight w:val="0"/>
                  <w:marTop w:val="0"/>
                  <w:marBottom w:val="0"/>
                  <w:divBdr>
                    <w:top w:val="none" w:sz="0" w:space="0" w:color="auto"/>
                    <w:left w:val="none" w:sz="0" w:space="0" w:color="auto"/>
                    <w:bottom w:val="none" w:sz="0" w:space="0" w:color="auto"/>
                    <w:right w:val="none" w:sz="0" w:space="0" w:color="auto"/>
                  </w:divBdr>
                  <w:divsChild>
                    <w:div w:id="80225678">
                      <w:marLeft w:val="0"/>
                      <w:marRight w:val="0"/>
                      <w:marTop w:val="120"/>
                      <w:marBottom w:val="0"/>
                      <w:divBdr>
                        <w:top w:val="none" w:sz="0" w:space="0" w:color="auto"/>
                        <w:left w:val="none" w:sz="0" w:space="0" w:color="auto"/>
                        <w:bottom w:val="none" w:sz="0" w:space="0" w:color="auto"/>
                        <w:right w:val="none" w:sz="0" w:space="0" w:color="auto"/>
                      </w:divBdr>
                    </w:div>
                    <w:div w:id="1256283425">
                      <w:marLeft w:val="0"/>
                      <w:marRight w:val="0"/>
                      <w:marTop w:val="0"/>
                      <w:marBottom w:val="0"/>
                      <w:divBdr>
                        <w:top w:val="none" w:sz="0" w:space="0" w:color="auto"/>
                        <w:left w:val="none" w:sz="0" w:space="0" w:color="auto"/>
                        <w:bottom w:val="none" w:sz="0" w:space="0" w:color="auto"/>
                        <w:right w:val="none" w:sz="0" w:space="0" w:color="auto"/>
                      </w:divBdr>
                    </w:div>
                  </w:divsChild>
                </w:div>
                <w:div w:id="1916083832">
                  <w:marLeft w:val="0"/>
                  <w:marRight w:val="0"/>
                  <w:marTop w:val="0"/>
                  <w:marBottom w:val="0"/>
                  <w:divBdr>
                    <w:top w:val="none" w:sz="0" w:space="0" w:color="auto"/>
                    <w:left w:val="none" w:sz="0" w:space="0" w:color="auto"/>
                    <w:bottom w:val="none" w:sz="0" w:space="0" w:color="auto"/>
                    <w:right w:val="none" w:sz="0" w:space="0" w:color="auto"/>
                  </w:divBdr>
                  <w:divsChild>
                    <w:div w:id="1361318509">
                      <w:marLeft w:val="0"/>
                      <w:marRight w:val="0"/>
                      <w:marTop w:val="120"/>
                      <w:marBottom w:val="0"/>
                      <w:divBdr>
                        <w:top w:val="none" w:sz="0" w:space="0" w:color="auto"/>
                        <w:left w:val="none" w:sz="0" w:space="0" w:color="auto"/>
                        <w:bottom w:val="none" w:sz="0" w:space="0" w:color="auto"/>
                        <w:right w:val="none" w:sz="0" w:space="0" w:color="auto"/>
                      </w:divBdr>
                    </w:div>
                    <w:div w:id="19448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783">
          <w:marLeft w:val="0"/>
          <w:marRight w:val="0"/>
          <w:marTop w:val="0"/>
          <w:marBottom w:val="0"/>
          <w:divBdr>
            <w:top w:val="none" w:sz="0" w:space="0" w:color="auto"/>
            <w:left w:val="none" w:sz="0" w:space="0" w:color="auto"/>
            <w:bottom w:val="none" w:sz="0" w:space="0" w:color="auto"/>
            <w:right w:val="none" w:sz="0" w:space="0" w:color="auto"/>
          </w:divBdr>
          <w:divsChild>
            <w:div w:id="1505362932">
              <w:marLeft w:val="0"/>
              <w:marRight w:val="0"/>
              <w:marTop w:val="0"/>
              <w:marBottom w:val="0"/>
              <w:divBdr>
                <w:top w:val="none" w:sz="0" w:space="0" w:color="auto"/>
                <w:left w:val="none" w:sz="0" w:space="0" w:color="auto"/>
                <w:bottom w:val="none" w:sz="0" w:space="0" w:color="auto"/>
                <w:right w:val="none" w:sz="0" w:space="0" w:color="auto"/>
              </w:divBdr>
            </w:div>
            <w:div w:id="1907565046">
              <w:marLeft w:val="0"/>
              <w:marRight w:val="0"/>
              <w:marTop w:val="120"/>
              <w:marBottom w:val="0"/>
              <w:divBdr>
                <w:top w:val="none" w:sz="0" w:space="0" w:color="auto"/>
                <w:left w:val="none" w:sz="0" w:space="0" w:color="auto"/>
                <w:bottom w:val="none" w:sz="0" w:space="0" w:color="auto"/>
                <w:right w:val="none" w:sz="0" w:space="0" w:color="auto"/>
              </w:divBdr>
            </w:div>
          </w:divsChild>
        </w:div>
        <w:div w:id="969634282">
          <w:marLeft w:val="0"/>
          <w:marRight w:val="0"/>
          <w:marTop w:val="0"/>
          <w:marBottom w:val="0"/>
          <w:divBdr>
            <w:top w:val="none" w:sz="0" w:space="0" w:color="auto"/>
            <w:left w:val="none" w:sz="0" w:space="0" w:color="auto"/>
            <w:bottom w:val="none" w:sz="0" w:space="0" w:color="auto"/>
            <w:right w:val="none" w:sz="0" w:space="0" w:color="auto"/>
          </w:divBdr>
          <w:divsChild>
            <w:div w:id="14475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0936">
      <w:bodyDiv w:val="1"/>
      <w:marLeft w:val="0"/>
      <w:marRight w:val="0"/>
      <w:marTop w:val="0"/>
      <w:marBottom w:val="0"/>
      <w:divBdr>
        <w:top w:val="none" w:sz="0" w:space="0" w:color="auto"/>
        <w:left w:val="none" w:sz="0" w:space="0" w:color="auto"/>
        <w:bottom w:val="none" w:sz="0" w:space="0" w:color="auto"/>
        <w:right w:val="none" w:sz="0" w:space="0" w:color="auto"/>
      </w:divBdr>
    </w:div>
    <w:div w:id="1647398141">
      <w:bodyDiv w:val="1"/>
      <w:marLeft w:val="0"/>
      <w:marRight w:val="0"/>
      <w:marTop w:val="0"/>
      <w:marBottom w:val="0"/>
      <w:divBdr>
        <w:top w:val="none" w:sz="0" w:space="0" w:color="auto"/>
        <w:left w:val="none" w:sz="0" w:space="0" w:color="auto"/>
        <w:bottom w:val="none" w:sz="0" w:space="0" w:color="auto"/>
        <w:right w:val="none" w:sz="0" w:space="0" w:color="auto"/>
      </w:divBdr>
    </w:div>
    <w:div w:id="1649092622">
      <w:bodyDiv w:val="1"/>
      <w:marLeft w:val="0"/>
      <w:marRight w:val="0"/>
      <w:marTop w:val="0"/>
      <w:marBottom w:val="0"/>
      <w:divBdr>
        <w:top w:val="none" w:sz="0" w:space="0" w:color="auto"/>
        <w:left w:val="none" w:sz="0" w:space="0" w:color="auto"/>
        <w:bottom w:val="none" w:sz="0" w:space="0" w:color="auto"/>
        <w:right w:val="none" w:sz="0" w:space="0" w:color="auto"/>
      </w:divBdr>
    </w:div>
    <w:div w:id="1650013219">
      <w:bodyDiv w:val="1"/>
      <w:marLeft w:val="0"/>
      <w:marRight w:val="0"/>
      <w:marTop w:val="0"/>
      <w:marBottom w:val="0"/>
      <w:divBdr>
        <w:top w:val="none" w:sz="0" w:space="0" w:color="auto"/>
        <w:left w:val="none" w:sz="0" w:space="0" w:color="auto"/>
        <w:bottom w:val="none" w:sz="0" w:space="0" w:color="auto"/>
        <w:right w:val="none" w:sz="0" w:space="0" w:color="auto"/>
      </w:divBdr>
    </w:div>
    <w:div w:id="1653412649">
      <w:bodyDiv w:val="1"/>
      <w:marLeft w:val="0"/>
      <w:marRight w:val="0"/>
      <w:marTop w:val="0"/>
      <w:marBottom w:val="0"/>
      <w:divBdr>
        <w:top w:val="none" w:sz="0" w:space="0" w:color="auto"/>
        <w:left w:val="none" w:sz="0" w:space="0" w:color="auto"/>
        <w:bottom w:val="none" w:sz="0" w:space="0" w:color="auto"/>
        <w:right w:val="none" w:sz="0" w:space="0" w:color="auto"/>
      </w:divBdr>
      <w:divsChild>
        <w:div w:id="112944070">
          <w:marLeft w:val="0"/>
          <w:marRight w:val="0"/>
          <w:marTop w:val="120"/>
          <w:marBottom w:val="0"/>
          <w:divBdr>
            <w:top w:val="none" w:sz="0" w:space="0" w:color="auto"/>
            <w:left w:val="none" w:sz="0" w:space="0" w:color="auto"/>
            <w:bottom w:val="none" w:sz="0" w:space="0" w:color="auto"/>
            <w:right w:val="none" w:sz="0" w:space="0" w:color="auto"/>
          </w:divBdr>
        </w:div>
        <w:div w:id="1536499980">
          <w:marLeft w:val="0"/>
          <w:marRight w:val="0"/>
          <w:marTop w:val="0"/>
          <w:marBottom w:val="0"/>
          <w:divBdr>
            <w:top w:val="none" w:sz="0" w:space="0" w:color="auto"/>
            <w:left w:val="none" w:sz="0" w:space="0" w:color="auto"/>
            <w:bottom w:val="none" w:sz="0" w:space="0" w:color="auto"/>
            <w:right w:val="none" w:sz="0" w:space="0" w:color="auto"/>
          </w:divBdr>
        </w:div>
      </w:divsChild>
    </w:div>
    <w:div w:id="1654917157">
      <w:bodyDiv w:val="1"/>
      <w:marLeft w:val="0"/>
      <w:marRight w:val="0"/>
      <w:marTop w:val="0"/>
      <w:marBottom w:val="0"/>
      <w:divBdr>
        <w:top w:val="none" w:sz="0" w:space="0" w:color="auto"/>
        <w:left w:val="none" w:sz="0" w:space="0" w:color="auto"/>
        <w:bottom w:val="none" w:sz="0" w:space="0" w:color="auto"/>
        <w:right w:val="none" w:sz="0" w:space="0" w:color="auto"/>
      </w:divBdr>
      <w:divsChild>
        <w:div w:id="48724483">
          <w:marLeft w:val="0"/>
          <w:marRight w:val="0"/>
          <w:marTop w:val="0"/>
          <w:marBottom w:val="0"/>
          <w:divBdr>
            <w:top w:val="none" w:sz="0" w:space="0" w:color="auto"/>
            <w:left w:val="none" w:sz="0" w:space="0" w:color="auto"/>
            <w:bottom w:val="none" w:sz="0" w:space="0" w:color="auto"/>
            <w:right w:val="none" w:sz="0" w:space="0" w:color="auto"/>
          </w:divBdr>
          <w:divsChild>
            <w:div w:id="843857816">
              <w:marLeft w:val="0"/>
              <w:marRight w:val="0"/>
              <w:marTop w:val="120"/>
              <w:marBottom w:val="0"/>
              <w:divBdr>
                <w:top w:val="none" w:sz="0" w:space="0" w:color="auto"/>
                <w:left w:val="none" w:sz="0" w:space="0" w:color="auto"/>
                <w:bottom w:val="none" w:sz="0" w:space="0" w:color="auto"/>
                <w:right w:val="none" w:sz="0" w:space="0" w:color="auto"/>
              </w:divBdr>
            </w:div>
            <w:div w:id="957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1020">
      <w:bodyDiv w:val="1"/>
      <w:marLeft w:val="0"/>
      <w:marRight w:val="0"/>
      <w:marTop w:val="0"/>
      <w:marBottom w:val="0"/>
      <w:divBdr>
        <w:top w:val="none" w:sz="0" w:space="0" w:color="auto"/>
        <w:left w:val="none" w:sz="0" w:space="0" w:color="auto"/>
        <w:bottom w:val="none" w:sz="0" w:space="0" w:color="auto"/>
        <w:right w:val="none" w:sz="0" w:space="0" w:color="auto"/>
      </w:divBdr>
    </w:div>
    <w:div w:id="1672367805">
      <w:bodyDiv w:val="1"/>
      <w:marLeft w:val="0"/>
      <w:marRight w:val="0"/>
      <w:marTop w:val="0"/>
      <w:marBottom w:val="0"/>
      <w:divBdr>
        <w:top w:val="none" w:sz="0" w:space="0" w:color="auto"/>
        <w:left w:val="none" w:sz="0" w:space="0" w:color="auto"/>
        <w:bottom w:val="none" w:sz="0" w:space="0" w:color="auto"/>
        <w:right w:val="none" w:sz="0" w:space="0" w:color="auto"/>
      </w:divBdr>
      <w:divsChild>
        <w:div w:id="942227313">
          <w:marLeft w:val="0"/>
          <w:marRight w:val="0"/>
          <w:marTop w:val="0"/>
          <w:marBottom w:val="0"/>
          <w:divBdr>
            <w:top w:val="none" w:sz="0" w:space="0" w:color="auto"/>
            <w:left w:val="none" w:sz="0" w:space="0" w:color="auto"/>
            <w:bottom w:val="none" w:sz="0" w:space="0" w:color="auto"/>
            <w:right w:val="none" w:sz="0" w:space="0" w:color="auto"/>
          </w:divBdr>
          <w:divsChild>
            <w:div w:id="1073434946">
              <w:marLeft w:val="0"/>
              <w:marRight w:val="0"/>
              <w:marTop w:val="120"/>
              <w:marBottom w:val="0"/>
              <w:divBdr>
                <w:top w:val="none" w:sz="0" w:space="0" w:color="auto"/>
                <w:left w:val="none" w:sz="0" w:space="0" w:color="auto"/>
                <w:bottom w:val="none" w:sz="0" w:space="0" w:color="auto"/>
                <w:right w:val="none" w:sz="0" w:space="0" w:color="auto"/>
              </w:divBdr>
            </w:div>
            <w:div w:id="2095783966">
              <w:marLeft w:val="0"/>
              <w:marRight w:val="0"/>
              <w:marTop w:val="0"/>
              <w:marBottom w:val="0"/>
              <w:divBdr>
                <w:top w:val="none" w:sz="0" w:space="0" w:color="auto"/>
                <w:left w:val="none" w:sz="0" w:space="0" w:color="auto"/>
                <w:bottom w:val="none" w:sz="0" w:space="0" w:color="auto"/>
                <w:right w:val="none" w:sz="0" w:space="0" w:color="auto"/>
              </w:divBdr>
            </w:div>
          </w:divsChild>
        </w:div>
        <w:div w:id="1582791835">
          <w:marLeft w:val="0"/>
          <w:marRight w:val="0"/>
          <w:marTop w:val="0"/>
          <w:marBottom w:val="0"/>
          <w:divBdr>
            <w:top w:val="none" w:sz="0" w:space="0" w:color="auto"/>
            <w:left w:val="none" w:sz="0" w:space="0" w:color="auto"/>
            <w:bottom w:val="none" w:sz="0" w:space="0" w:color="auto"/>
            <w:right w:val="none" w:sz="0" w:space="0" w:color="auto"/>
          </w:divBdr>
          <w:divsChild>
            <w:div w:id="1031493937">
              <w:marLeft w:val="0"/>
              <w:marRight w:val="0"/>
              <w:marTop w:val="0"/>
              <w:marBottom w:val="0"/>
              <w:divBdr>
                <w:top w:val="none" w:sz="0" w:space="0" w:color="auto"/>
                <w:left w:val="none" w:sz="0" w:space="0" w:color="auto"/>
                <w:bottom w:val="none" w:sz="0" w:space="0" w:color="auto"/>
                <w:right w:val="none" w:sz="0" w:space="0" w:color="auto"/>
              </w:divBdr>
            </w:div>
            <w:div w:id="2050296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6176894">
      <w:bodyDiv w:val="1"/>
      <w:marLeft w:val="0"/>
      <w:marRight w:val="0"/>
      <w:marTop w:val="0"/>
      <w:marBottom w:val="0"/>
      <w:divBdr>
        <w:top w:val="none" w:sz="0" w:space="0" w:color="auto"/>
        <w:left w:val="none" w:sz="0" w:space="0" w:color="auto"/>
        <w:bottom w:val="none" w:sz="0" w:space="0" w:color="auto"/>
        <w:right w:val="none" w:sz="0" w:space="0" w:color="auto"/>
      </w:divBdr>
      <w:divsChild>
        <w:div w:id="209846635">
          <w:marLeft w:val="0"/>
          <w:marRight w:val="0"/>
          <w:marTop w:val="0"/>
          <w:marBottom w:val="0"/>
          <w:divBdr>
            <w:top w:val="none" w:sz="0" w:space="0" w:color="auto"/>
            <w:left w:val="none" w:sz="0" w:space="0" w:color="auto"/>
            <w:bottom w:val="none" w:sz="0" w:space="0" w:color="auto"/>
            <w:right w:val="none" w:sz="0" w:space="0" w:color="auto"/>
          </w:divBdr>
          <w:divsChild>
            <w:div w:id="4643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62622">
      <w:bodyDiv w:val="1"/>
      <w:marLeft w:val="0"/>
      <w:marRight w:val="0"/>
      <w:marTop w:val="0"/>
      <w:marBottom w:val="0"/>
      <w:divBdr>
        <w:top w:val="none" w:sz="0" w:space="0" w:color="auto"/>
        <w:left w:val="none" w:sz="0" w:space="0" w:color="auto"/>
        <w:bottom w:val="none" w:sz="0" w:space="0" w:color="auto"/>
        <w:right w:val="none" w:sz="0" w:space="0" w:color="auto"/>
      </w:divBdr>
      <w:divsChild>
        <w:div w:id="1691879983">
          <w:marLeft w:val="0"/>
          <w:marRight w:val="0"/>
          <w:marTop w:val="120"/>
          <w:marBottom w:val="0"/>
          <w:divBdr>
            <w:top w:val="none" w:sz="0" w:space="0" w:color="auto"/>
            <w:left w:val="none" w:sz="0" w:space="0" w:color="auto"/>
            <w:bottom w:val="none" w:sz="0" w:space="0" w:color="auto"/>
            <w:right w:val="none" w:sz="0" w:space="0" w:color="auto"/>
          </w:divBdr>
        </w:div>
        <w:div w:id="1053961425">
          <w:marLeft w:val="0"/>
          <w:marRight w:val="0"/>
          <w:marTop w:val="0"/>
          <w:marBottom w:val="0"/>
          <w:divBdr>
            <w:top w:val="none" w:sz="0" w:space="0" w:color="auto"/>
            <w:left w:val="none" w:sz="0" w:space="0" w:color="auto"/>
            <w:bottom w:val="none" w:sz="0" w:space="0" w:color="auto"/>
            <w:right w:val="none" w:sz="0" w:space="0" w:color="auto"/>
          </w:divBdr>
          <w:divsChild>
            <w:div w:id="2105147651">
              <w:marLeft w:val="0"/>
              <w:marRight w:val="0"/>
              <w:marTop w:val="0"/>
              <w:marBottom w:val="0"/>
              <w:divBdr>
                <w:top w:val="none" w:sz="0" w:space="0" w:color="auto"/>
                <w:left w:val="none" w:sz="0" w:space="0" w:color="auto"/>
                <w:bottom w:val="none" w:sz="0" w:space="0" w:color="auto"/>
                <w:right w:val="none" w:sz="0" w:space="0" w:color="auto"/>
              </w:divBdr>
              <w:divsChild>
                <w:div w:id="1248079918">
                  <w:marLeft w:val="0"/>
                  <w:marRight w:val="0"/>
                  <w:marTop w:val="120"/>
                  <w:marBottom w:val="0"/>
                  <w:divBdr>
                    <w:top w:val="none" w:sz="0" w:space="0" w:color="auto"/>
                    <w:left w:val="none" w:sz="0" w:space="0" w:color="auto"/>
                    <w:bottom w:val="none" w:sz="0" w:space="0" w:color="auto"/>
                    <w:right w:val="none" w:sz="0" w:space="0" w:color="auto"/>
                  </w:divBdr>
                </w:div>
                <w:div w:id="1759209182">
                  <w:marLeft w:val="0"/>
                  <w:marRight w:val="0"/>
                  <w:marTop w:val="0"/>
                  <w:marBottom w:val="0"/>
                  <w:divBdr>
                    <w:top w:val="none" w:sz="0" w:space="0" w:color="auto"/>
                    <w:left w:val="none" w:sz="0" w:space="0" w:color="auto"/>
                    <w:bottom w:val="none" w:sz="0" w:space="0" w:color="auto"/>
                    <w:right w:val="none" w:sz="0" w:space="0" w:color="auto"/>
                  </w:divBdr>
                </w:div>
              </w:divsChild>
            </w:div>
            <w:div w:id="974409492">
              <w:marLeft w:val="0"/>
              <w:marRight w:val="0"/>
              <w:marTop w:val="0"/>
              <w:marBottom w:val="0"/>
              <w:divBdr>
                <w:top w:val="none" w:sz="0" w:space="0" w:color="auto"/>
                <w:left w:val="none" w:sz="0" w:space="0" w:color="auto"/>
                <w:bottom w:val="none" w:sz="0" w:space="0" w:color="auto"/>
                <w:right w:val="none" w:sz="0" w:space="0" w:color="auto"/>
              </w:divBdr>
              <w:divsChild>
                <w:div w:id="1282303757">
                  <w:marLeft w:val="0"/>
                  <w:marRight w:val="0"/>
                  <w:marTop w:val="120"/>
                  <w:marBottom w:val="0"/>
                  <w:divBdr>
                    <w:top w:val="none" w:sz="0" w:space="0" w:color="auto"/>
                    <w:left w:val="none" w:sz="0" w:space="0" w:color="auto"/>
                    <w:bottom w:val="none" w:sz="0" w:space="0" w:color="auto"/>
                    <w:right w:val="none" w:sz="0" w:space="0" w:color="auto"/>
                  </w:divBdr>
                </w:div>
                <w:div w:id="20562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29563">
      <w:bodyDiv w:val="1"/>
      <w:marLeft w:val="0"/>
      <w:marRight w:val="0"/>
      <w:marTop w:val="0"/>
      <w:marBottom w:val="0"/>
      <w:divBdr>
        <w:top w:val="none" w:sz="0" w:space="0" w:color="auto"/>
        <w:left w:val="none" w:sz="0" w:space="0" w:color="auto"/>
        <w:bottom w:val="none" w:sz="0" w:space="0" w:color="auto"/>
        <w:right w:val="none" w:sz="0" w:space="0" w:color="auto"/>
      </w:divBdr>
      <w:divsChild>
        <w:div w:id="531967268">
          <w:marLeft w:val="0"/>
          <w:marRight w:val="0"/>
          <w:marTop w:val="0"/>
          <w:marBottom w:val="0"/>
          <w:divBdr>
            <w:top w:val="none" w:sz="0" w:space="0" w:color="auto"/>
            <w:left w:val="none" w:sz="0" w:space="0" w:color="auto"/>
            <w:bottom w:val="none" w:sz="0" w:space="0" w:color="auto"/>
            <w:right w:val="none" w:sz="0" w:space="0" w:color="auto"/>
          </w:divBdr>
        </w:div>
      </w:divsChild>
    </w:div>
    <w:div w:id="1709062449">
      <w:bodyDiv w:val="1"/>
      <w:marLeft w:val="0"/>
      <w:marRight w:val="0"/>
      <w:marTop w:val="0"/>
      <w:marBottom w:val="0"/>
      <w:divBdr>
        <w:top w:val="none" w:sz="0" w:space="0" w:color="auto"/>
        <w:left w:val="none" w:sz="0" w:space="0" w:color="auto"/>
        <w:bottom w:val="none" w:sz="0" w:space="0" w:color="auto"/>
        <w:right w:val="none" w:sz="0" w:space="0" w:color="auto"/>
      </w:divBdr>
    </w:div>
    <w:div w:id="1710371848">
      <w:bodyDiv w:val="1"/>
      <w:marLeft w:val="0"/>
      <w:marRight w:val="0"/>
      <w:marTop w:val="0"/>
      <w:marBottom w:val="0"/>
      <w:divBdr>
        <w:top w:val="none" w:sz="0" w:space="0" w:color="auto"/>
        <w:left w:val="none" w:sz="0" w:space="0" w:color="auto"/>
        <w:bottom w:val="none" w:sz="0" w:space="0" w:color="auto"/>
        <w:right w:val="none" w:sz="0" w:space="0" w:color="auto"/>
      </w:divBdr>
      <w:divsChild>
        <w:div w:id="1052464366">
          <w:marLeft w:val="0"/>
          <w:marRight w:val="0"/>
          <w:marTop w:val="0"/>
          <w:marBottom w:val="0"/>
          <w:divBdr>
            <w:top w:val="none" w:sz="0" w:space="0" w:color="auto"/>
            <w:left w:val="none" w:sz="0" w:space="0" w:color="auto"/>
            <w:bottom w:val="none" w:sz="0" w:space="0" w:color="auto"/>
            <w:right w:val="none" w:sz="0" w:space="0" w:color="auto"/>
          </w:divBdr>
          <w:divsChild>
            <w:div w:id="1330523584">
              <w:marLeft w:val="0"/>
              <w:marRight w:val="0"/>
              <w:marTop w:val="0"/>
              <w:marBottom w:val="0"/>
              <w:divBdr>
                <w:top w:val="none" w:sz="0" w:space="0" w:color="auto"/>
                <w:left w:val="none" w:sz="0" w:space="0" w:color="auto"/>
                <w:bottom w:val="none" w:sz="0" w:space="0" w:color="auto"/>
                <w:right w:val="none" w:sz="0" w:space="0" w:color="auto"/>
              </w:divBdr>
              <w:divsChild>
                <w:div w:id="1162547846">
                  <w:marLeft w:val="0"/>
                  <w:marRight w:val="0"/>
                  <w:marTop w:val="0"/>
                  <w:marBottom w:val="0"/>
                  <w:divBdr>
                    <w:top w:val="none" w:sz="0" w:space="0" w:color="auto"/>
                    <w:left w:val="none" w:sz="0" w:space="0" w:color="auto"/>
                    <w:bottom w:val="none" w:sz="0" w:space="0" w:color="auto"/>
                    <w:right w:val="none" w:sz="0" w:space="0" w:color="auto"/>
                  </w:divBdr>
                  <w:divsChild>
                    <w:div w:id="140080865">
                      <w:marLeft w:val="0"/>
                      <w:marRight w:val="0"/>
                      <w:marTop w:val="0"/>
                      <w:marBottom w:val="0"/>
                      <w:divBdr>
                        <w:top w:val="none" w:sz="0" w:space="0" w:color="auto"/>
                        <w:left w:val="none" w:sz="0" w:space="0" w:color="auto"/>
                        <w:bottom w:val="none" w:sz="0" w:space="0" w:color="auto"/>
                        <w:right w:val="none" w:sz="0" w:space="0" w:color="auto"/>
                      </w:divBdr>
                    </w:div>
                    <w:div w:id="942616229">
                      <w:marLeft w:val="0"/>
                      <w:marRight w:val="0"/>
                      <w:marTop w:val="120"/>
                      <w:marBottom w:val="0"/>
                      <w:divBdr>
                        <w:top w:val="none" w:sz="0" w:space="0" w:color="auto"/>
                        <w:left w:val="none" w:sz="0" w:space="0" w:color="auto"/>
                        <w:bottom w:val="none" w:sz="0" w:space="0" w:color="auto"/>
                        <w:right w:val="none" w:sz="0" w:space="0" w:color="auto"/>
                      </w:divBdr>
                    </w:div>
                  </w:divsChild>
                </w:div>
                <w:div w:id="1504737701">
                  <w:marLeft w:val="0"/>
                  <w:marRight w:val="0"/>
                  <w:marTop w:val="0"/>
                  <w:marBottom w:val="0"/>
                  <w:divBdr>
                    <w:top w:val="none" w:sz="0" w:space="0" w:color="auto"/>
                    <w:left w:val="none" w:sz="0" w:space="0" w:color="auto"/>
                    <w:bottom w:val="none" w:sz="0" w:space="0" w:color="auto"/>
                    <w:right w:val="none" w:sz="0" w:space="0" w:color="auto"/>
                  </w:divBdr>
                  <w:divsChild>
                    <w:div w:id="894587035">
                      <w:marLeft w:val="0"/>
                      <w:marRight w:val="0"/>
                      <w:marTop w:val="120"/>
                      <w:marBottom w:val="0"/>
                      <w:divBdr>
                        <w:top w:val="none" w:sz="0" w:space="0" w:color="auto"/>
                        <w:left w:val="none" w:sz="0" w:space="0" w:color="auto"/>
                        <w:bottom w:val="none" w:sz="0" w:space="0" w:color="auto"/>
                        <w:right w:val="none" w:sz="0" w:space="0" w:color="auto"/>
                      </w:divBdr>
                    </w:div>
                    <w:div w:id="1663385513">
                      <w:marLeft w:val="0"/>
                      <w:marRight w:val="0"/>
                      <w:marTop w:val="0"/>
                      <w:marBottom w:val="0"/>
                      <w:divBdr>
                        <w:top w:val="none" w:sz="0" w:space="0" w:color="auto"/>
                        <w:left w:val="none" w:sz="0" w:space="0" w:color="auto"/>
                        <w:bottom w:val="none" w:sz="0" w:space="0" w:color="auto"/>
                        <w:right w:val="none" w:sz="0" w:space="0" w:color="auto"/>
                      </w:divBdr>
                    </w:div>
                  </w:divsChild>
                </w:div>
                <w:div w:id="2014599936">
                  <w:marLeft w:val="0"/>
                  <w:marRight w:val="0"/>
                  <w:marTop w:val="0"/>
                  <w:marBottom w:val="0"/>
                  <w:divBdr>
                    <w:top w:val="none" w:sz="0" w:space="0" w:color="auto"/>
                    <w:left w:val="none" w:sz="0" w:space="0" w:color="auto"/>
                    <w:bottom w:val="none" w:sz="0" w:space="0" w:color="auto"/>
                    <w:right w:val="none" w:sz="0" w:space="0" w:color="auto"/>
                  </w:divBdr>
                  <w:divsChild>
                    <w:div w:id="652559864">
                      <w:marLeft w:val="0"/>
                      <w:marRight w:val="0"/>
                      <w:marTop w:val="120"/>
                      <w:marBottom w:val="0"/>
                      <w:divBdr>
                        <w:top w:val="none" w:sz="0" w:space="0" w:color="auto"/>
                        <w:left w:val="none" w:sz="0" w:space="0" w:color="auto"/>
                        <w:bottom w:val="none" w:sz="0" w:space="0" w:color="auto"/>
                        <w:right w:val="none" w:sz="0" w:space="0" w:color="auto"/>
                      </w:divBdr>
                    </w:div>
                    <w:div w:id="17410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2003">
          <w:marLeft w:val="0"/>
          <w:marRight w:val="0"/>
          <w:marTop w:val="0"/>
          <w:marBottom w:val="0"/>
          <w:divBdr>
            <w:top w:val="none" w:sz="0" w:space="0" w:color="auto"/>
            <w:left w:val="none" w:sz="0" w:space="0" w:color="auto"/>
            <w:bottom w:val="none" w:sz="0" w:space="0" w:color="auto"/>
            <w:right w:val="none" w:sz="0" w:space="0" w:color="auto"/>
          </w:divBdr>
          <w:divsChild>
            <w:div w:id="464782982">
              <w:marLeft w:val="0"/>
              <w:marRight w:val="0"/>
              <w:marTop w:val="0"/>
              <w:marBottom w:val="0"/>
              <w:divBdr>
                <w:top w:val="none" w:sz="0" w:space="0" w:color="auto"/>
                <w:left w:val="none" w:sz="0" w:space="0" w:color="auto"/>
                <w:bottom w:val="none" w:sz="0" w:space="0" w:color="auto"/>
                <w:right w:val="none" w:sz="0" w:space="0" w:color="auto"/>
              </w:divBdr>
              <w:divsChild>
                <w:div w:id="105544178">
                  <w:marLeft w:val="0"/>
                  <w:marRight w:val="0"/>
                  <w:marTop w:val="0"/>
                  <w:marBottom w:val="0"/>
                  <w:divBdr>
                    <w:top w:val="none" w:sz="0" w:space="0" w:color="auto"/>
                    <w:left w:val="none" w:sz="0" w:space="0" w:color="auto"/>
                    <w:bottom w:val="none" w:sz="0" w:space="0" w:color="auto"/>
                    <w:right w:val="none" w:sz="0" w:space="0" w:color="auto"/>
                  </w:divBdr>
                  <w:divsChild>
                    <w:div w:id="908921541">
                      <w:marLeft w:val="0"/>
                      <w:marRight w:val="0"/>
                      <w:marTop w:val="120"/>
                      <w:marBottom w:val="0"/>
                      <w:divBdr>
                        <w:top w:val="none" w:sz="0" w:space="0" w:color="auto"/>
                        <w:left w:val="none" w:sz="0" w:space="0" w:color="auto"/>
                        <w:bottom w:val="none" w:sz="0" w:space="0" w:color="auto"/>
                        <w:right w:val="none" w:sz="0" w:space="0" w:color="auto"/>
                      </w:divBdr>
                    </w:div>
                    <w:div w:id="1074934934">
                      <w:marLeft w:val="0"/>
                      <w:marRight w:val="0"/>
                      <w:marTop w:val="0"/>
                      <w:marBottom w:val="0"/>
                      <w:divBdr>
                        <w:top w:val="none" w:sz="0" w:space="0" w:color="auto"/>
                        <w:left w:val="none" w:sz="0" w:space="0" w:color="auto"/>
                        <w:bottom w:val="none" w:sz="0" w:space="0" w:color="auto"/>
                        <w:right w:val="none" w:sz="0" w:space="0" w:color="auto"/>
                      </w:divBdr>
                    </w:div>
                  </w:divsChild>
                </w:div>
                <w:div w:id="191110086">
                  <w:marLeft w:val="0"/>
                  <w:marRight w:val="0"/>
                  <w:marTop w:val="0"/>
                  <w:marBottom w:val="0"/>
                  <w:divBdr>
                    <w:top w:val="none" w:sz="0" w:space="0" w:color="auto"/>
                    <w:left w:val="none" w:sz="0" w:space="0" w:color="auto"/>
                    <w:bottom w:val="none" w:sz="0" w:space="0" w:color="auto"/>
                    <w:right w:val="none" w:sz="0" w:space="0" w:color="auto"/>
                  </w:divBdr>
                  <w:divsChild>
                    <w:div w:id="346441550">
                      <w:marLeft w:val="0"/>
                      <w:marRight w:val="0"/>
                      <w:marTop w:val="120"/>
                      <w:marBottom w:val="0"/>
                      <w:divBdr>
                        <w:top w:val="none" w:sz="0" w:space="0" w:color="auto"/>
                        <w:left w:val="none" w:sz="0" w:space="0" w:color="auto"/>
                        <w:bottom w:val="none" w:sz="0" w:space="0" w:color="auto"/>
                        <w:right w:val="none" w:sz="0" w:space="0" w:color="auto"/>
                      </w:divBdr>
                    </w:div>
                    <w:div w:id="517935289">
                      <w:marLeft w:val="0"/>
                      <w:marRight w:val="0"/>
                      <w:marTop w:val="0"/>
                      <w:marBottom w:val="0"/>
                      <w:divBdr>
                        <w:top w:val="none" w:sz="0" w:space="0" w:color="auto"/>
                        <w:left w:val="none" w:sz="0" w:space="0" w:color="auto"/>
                        <w:bottom w:val="none" w:sz="0" w:space="0" w:color="auto"/>
                        <w:right w:val="none" w:sz="0" w:space="0" w:color="auto"/>
                      </w:divBdr>
                    </w:div>
                  </w:divsChild>
                </w:div>
                <w:div w:id="858274907">
                  <w:marLeft w:val="0"/>
                  <w:marRight w:val="0"/>
                  <w:marTop w:val="0"/>
                  <w:marBottom w:val="0"/>
                  <w:divBdr>
                    <w:top w:val="none" w:sz="0" w:space="0" w:color="auto"/>
                    <w:left w:val="none" w:sz="0" w:space="0" w:color="auto"/>
                    <w:bottom w:val="none" w:sz="0" w:space="0" w:color="auto"/>
                    <w:right w:val="none" w:sz="0" w:space="0" w:color="auto"/>
                  </w:divBdr>
                  <w:divsChild>
                    <w:div w:id="405032163">
                      <w:marLeft w:val="0"/>
                      <w:marRight w:val="0"/>
                      <w:marTop w:val="120"/>
                      <w:marBottom w:val="0"/>
                      <w:divBdr>
                        <w:top w:val="none" w:sz="0" w:space="0" w:color="auto"/>
                        <w:left w:val="none" w:sz="0" w:space="0" w:color="auto"/>
                        <w:bottom w:val="none" w:sz="0" w:space="0" w:color="auto"/>
                        <w:right w:val="none" w:sz="0" w:space="0" w:color="auto"/>
                      </w:divBdr>
                    </w:div>
                    <w:div w:id="968556875">
                      <w:marLeft w:val="0"/>
                      <w:marRight w:val="0"/>
                      <w:marTop w:val="0"/>
                      <w:marBottom w:val="0"/>
                      <w:divBdr>
                        <w:top w:val="none" w:sz="0" w:space="0" w:color="auto"/>
                        <w:left w:val="none" w:sz="0" w:space="0" w:color="auto"/>
                        <w:bottom w:val="none" w:sz="0" w:space="0" w:color="auto"/>
                        <w:right w:val="none" w:sz="0" w:space="0" w:color="auto"/>
                      </w:divBdr>
                    </w:div>
                  </w:divsChild>
                </w:div>
                <w:div w:id="1886020615">
                  <w:marLeft w:val="0"/>
                  <w:marRight w:val="0"/>
                  <w:marTop w:val="0"/>
                  <w:marBottom w:val="0"/>
                  <w:divBdr>
                    <w:top w:val="none" w:sz="0" w:space="0" w:color="auto"/>
                    <w:left w:val="none" w:sz="0" w:space="0" w:color="auto"/>
                    <w:bottom w:val="none" w:sz="0" w:space="0" w:color="auto"/>
                    <w:right w:val="none" w:sz="0" w:space="0" w:color="auto"/>
                  </w:divBdr>
                  <w:divsChild>
                    <w:div w:id="1513032808">
                      <w:marLeft w:val="0"/>
                      <w:marRight w:val="0"/>
                      <w:marTop w:val="0"/>
                      <w:marBottom w:val="0"/>
                      <w:divBdr>
                        <w:top w:val="none" w:sz="0" w:space="0" w:color="auto"/>
                        <w:left w:val="none" w:sz="0" w:space="0" w:color="auto"/>
                        <w:bottom w:val="none" w:sz="0" w:space="0" w:color="auto"/>
                        <w:right w:val="none" w:sz="0" w:space="0" w:color="auto"/>
                      </w:divBdr>
                    </w:div>
                    <w:div w:id="1662736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8754644">
          <w:marLeft w:val="0"/>
          <w:marRight w:val="0"/>
          <w:marTop w:val="0"/>
          <w:marBottom w:val="0"/>
          <w:divBdr>
            <w:top w:val="none" w:sz="0" w:space="0" w:color="auto"/>
            <w:left w:val="none" w:sz="0" w:space="0" w:color="auto"/>
            <w:bottom w:val="none" w:sz="0" w:space="0" w:color="auto"/>
            <w:right w:val="none" w:sz="0" w:space="0" w:color="auto"/>
          </w:divBdr>
          <w:divsChild>
            <w:div w:id="15322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3620">
      <w:bodyDiv w:val="1"/>
      <w:marLeft w:val="0"/>
      <w:marRight w:val="0"/>
      <w:marTop w:val="0"/>
      <w:marBottom w:val="0"/>
      <w:divBdr>
        <w:top w:val="none" w:sz="0" w:space="0" w:color="auto"/>
        <w:left w:val="none" w:sz="0" w:space="0" w:color="auto"/>
        <w:bottom w:val="none" w:sz="0" w:space="0" w:color="auto"/>
        <w:right w:val="none" w:sz="0" w:space="0" w:color="auto"/>
      </w:divBdr>
      <w:divsChild>
        <w:div w:id="1281255927">
          <w:marLeft w:val="0"/>
          <w:marRight w:val="0"/>
          <w:marTop w:val="120"/>
          <w:marBottom w:val="0"/>
          <w:divBdr>
            <w:top w:val="none" w:sz="0" w:space="0" w:color="auto"/>
            <w:left w:val="none" w:sz="0" w:space="0" w:color="auto"/>
            <w:bottom w:val="none" w:sz="0" w:space="0" w:color="auto"/>
            <w:right w:val="none" w:sz="0" w:space="0" w:color="auto"/>
          </w:divBdr>
        </w:div>
        <w:div w:id="1840996855">
          <w:marLeft w:val="0"/>
          <w:marRight w:val="0"/>
          <w:marTop w:val="0"/>
          <w:marBottom w:val="0"/>
          <w:divBdr>
            <w:top w:val="none" w:sz="0" w:space="0" w:color="auto"/>
            <w:left w:val="none" w:sz="0" w:space="0" w:color="auto"/>
            <w:bottom w:val="none" w:sz="0" w:space="0" w:color="auto"/>
            <w:right w:val="none" w:sz="0" w:space="0" w:color="auto"/>
          </w:divBdr>
          <w:divsChild>
            <w:div w:id="502623679">
              <w:marLeft w:val="0"/>
              <w:marRight w:val="0"/>
              <w:marTop w:val="0"/>
              <w:marBottom w:val="0"/>
              <w:divBdr>
                <w:top w:val="none" w:sz="0" w:space="0" w:color="auto"/>
                <w:left w:val="none" w:sz="0" w:space="0" w:color="auto"/>
                <w:bottom w:val="none" w:sz="0" w:space="0" w:color="auto"/>
                <w:right w:val="none" w:sz="0" w:space="0" w:color="auto"/>
              </w:divBdr>
              <w:divsChild>
                <w:div w:id="361369378">
                  <w:marLeft w:val="0"/>
                  <w:marRight w:val="0"/>
                  <w:marTop w:val="120"/>
                  <w:marBottom w:val="0"/>
                  <w:divBdr>
                    <w:top w:val="none" w:sz="0" w:space="0" w:color="auto"/>
                    <w:left w:val="none" w:sz="0" w:space="0" w:color="auto"/>
                    <w:bottom w:val="none" w:sz="0" w:space="0" w:color="auto"/>
                    <w:right w:val="none" w:sz="0" w:space="0" w:color="auto"/>
                  </w:divBdr>
                </w:div>
                <w:div w:id="703755376">
                  <w:marLeft w:val="0"/>
                  <w:marRight w:val="0"/>
                  <w:marTop w:val="0"/>
                  <w:marBottom w:val="0"/>
                  <w:divBdr>
                    <w:top w:val="none" w:sz="0" w:space="0" w:color="auto"/>
                    <w:left w:val="none" w:sz="0" w:space="0" w:color="auto"/>
                    <w:bottom w:val="none" w:sz="0" w:space="0" w:color="auto"/>
                    <w:right w:val="none" w:sz="0" w:space="0" w:color="auto"/>
                  </w:divBdr>
                </w:div>
              </w:divsChild>
            </w:div>
            <w:div w:id="516505878">
              <w:marLeft w:val="0"/>
              <w:marRight w:val="0"/>
              <w:marTop w:val="0"/>
              <w:marBottom w:val="0"/>
              <w:divBdr>
                <w:top w:val="none" w:sz="0" w:space="0" w:color="auto"/>
                <w:left w:val="none" w:sz="0" w:space="0" w:color="auto"/>
                <w:bottom w:val="none" w:sz="0" w:space="0" w:color="auto"/>
                <w:right w:val="none" w:sz="0" w:space="0" w:color="auto"/>
              </w:divBdr>
              <w:divsChild>
                <w:div w:id="839202347">
                  <w:marLeft w:val="0"/>
                  <w:marRight w:val="0"/>
                  <w:marTop w:val="0"/>
                  <w:marBottom w:val="0"/>
                  <w:divBdr>
                    <w:top w:val="none" w:sz="0" w:space="0" w:color="auto"/>
                    <w:left w:val="none" w:sz="0" w:space="0" w:color="auto"/>
                    <w:bottom w:val="none" w:sz="0" w:space="0" w:color="auto"/>
                    <w:right w:val="none" w:sz="0" w:space="0" w:color="auto"/>
                  </w:divBdr>
                </w:div>
                <w:div w:id="1152716756">
                  <w:marLeft w:val="0"/>
                  <w:marRight w:val="0"/>
                  <w:marTop w:val="120"/>
                  <w:marBottom w:val="0"/>
                  <w:divBdr>
                    <w:top w:val="none" w:sz="0" w:space="0" w:color="auto"/>
                    <w:left w:val="none" w:sz="0" w:space="0" w:color="auto"/>
                    <w:bottom w:val="none" w:sz="0" w:space="0" w:color="auto"/>
                    <w:right w:val="none" w:sz="0" w:space="0" w:color="auto"/>
                  </w:divBdr>
                </w:div>
              </w:divsChild>
            </w:div>
            <w:div w:id="1500385046">
              <w:marLeft w:val="0"/>
              <w:marRight w:val="0"/>
              <w:marTop w:val="0"/>
              <w:marBottom w:val="0"/>
              <w:divBdr>
                <w:top w:val="none" w:sz="0" w:space="0" w:color="auto"/>
                <w:left w:val="none" w:sz="0" w:space="0" w:color="auto"/>
                <w:bottom w:val="none" w:sz="0" w:space="0" w:color="auto"/>
                <w:right w:val="none" w:sz="0" w:space="0" w:color="auto"/>
              </w:divBdr>
              <w:divsChild>
                <w:div w:id="360596227">
                  <w:marLeft w:val="0"/>
                  <w:marRight w:val="0"/>
                  <w:marTop w:val="0"/>
                  <w:marBottom w:val="0"/>
                  <w:divBdr>
                    <w:top w:val="none" w:sz="0" w:space="0" w:color="auto"/>
                    <w:left w:val="none" w:sz="0" w:space="0" w:color="auto"/>
                    <w:bottom w:val="none" w:sz="0" w:space="0" w:color="auto"/>
                    <w:right w:val="none" w:sz="0" w:space="0" w:color="auto"/>
                  </w:divBdr>
                </w:div>
                <w:div w:id="1605764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41367824">
      <w:bodyDiv w:val="1"/>
      <w:marLeft w:val="0"/>
      <w:marRight w:val="0"/>
      <w:marTop w:val="0"/>
      <w:marBottom w:val="0"/>
      <w:divBdr>
        <w:top w:val="none" w:sz="0" w:space="0" w:color="auto"/>
        <w:left w:val="none" w:sz="0" w:space="0" w:color="auto"/>
        <w:bottom w:val="none" w:sz="0" w:space="0" w:color="auto"/>
        <w:right w:val="none" w:sz="0" w:space="0" w:color="auto"/>
      </w:divBdr>
      <w:divsChild>
        <w:div w:id="131681818">
          <w:marLeft w:val="0"/>
          <w:marRight w:val="0"/>
          <w:marTop w:val="0"/>
          <w:marBottom w:val="0"/>
          <w:divBdr>
            <w:top w:val="none" w:sz="0" w:space="0" w:color="auto"/>
            <w:left w:val="none" w:sz="0" w:space="0" w:color="auto"/>
            <w:bottom w:val="none" w:sz="0" w:space="0" w:color="auto"/>
            <w:right w:val="none" w:sz="0" w:space="0" w:color="auto"/>
          </w:divBdr>
          <w:divsChild>
            <w:div w:id="1126122404">
              <w:marLeft w:val="0"/>
              <w:marRight w:val="0"/>
              <w:marTop w:val="0"/>
              <w:marBottom w:val="0"/>
              <w:divBdr>
                <w:top w:val="none" w:sz="0" w:space="0" w:color="auto"/>
                <w:left w:val="none" w:sz="0" w:space="0" w:color="auto"/>
                <w:bottom w:val="none" w:sz="0" w:space="0" w:color="auto"/>
                <w:right w:val="none" w:sz="0" w:space="0" w:color="auto"/>
              </w:divBdr>
            </w:div>
          </w:divsChild>
        </w:div>
        <w:div w:id="145123823">
          <w:marLeft w:val="0"/>
          <w:marRight w:val="0"/>
          <w:marTop w:val="0"/>
          <w:marBottom w:val="0"/>
          <w:divBdr>
            <w:top w:val="none" w:sz="0" w:space="0" w:color="auto"/>
            <w:left w:val="none" w:sz="0" w:space="0" w:color="auto"/>
            <w:bottom w:val="none" w:sz="0" w:space="0" w:color="auto"/>
            <w:right w:val="none" w:sz="0" w:space="0" w:color="auto"/>
          </w:divBdr>
          <w:divsChild>
            <w:div w:id="2032994225">
              <w:marLeft w:val="0"/>
              <w:marRight w:val="0"/>
              <w:marTop w:val="0"/>
              <w:marBottom w:val="0"/>
              <w:divBdr>
                <w:top w:val="none" w:sz="0" w:space="0" w:color="auto"/>
                <w:left w:val="none" w:sz="0" w:space="0" w:color="auto"/>
                <w:bottom w:val="none" w:sz="0" w:space="0" w:color="auto"/>
                <w:right w:val="none" w:sz="0" w:space="0" w:color="auto"/>
              </w:divBdr>
              <w:divsChild>
                <w:div w:id="1751657313">
                  <w:marLeft w:val="0"/>
                  <w:marRight w:val="0"/>
                  <w:marTop w:val="0"/>
                  <w:marBottom w:val="0"/>
                  <w:divBdr>
                    <w:top w:val="none" w:sz="0" w:space="0" w:color="auto"/>
                    <w:left w:val="none" w:sz="0" w:space="0" w:color="auto"/>
                    <w:bottom w:val="none" w:sz="0" w:space="0" w:color="auto"/>
                    <w:right w:val="none" w:sz="0" w:space="0" w:color="auto"/>
                  </w:divBdr>
                  <w:divsChild>
                    <w:div w:id="1636448192">
                      <w:marLeft w:val="0"/>
                      <w:marRight w:val="0"/>
                      <w:marTop w:val="120"/>
                      <w:marBottom w:val="0"/>
                      <w:divBdr>
                        <w:top w:val="none" w:sz="0" w:space="0" w:color="auto"/>
                        <w:left w:val="none" w:sz="0" w:space="0" w:color="auto"/>
                        <w:bottom w:val="none" w:sz="0" w:space="0" w:color="auto"/>
                        <w:right w:val="none" w:sz="0" w:space="0" w:color="auto"/>
                      </w:divBdr>
                    </w:div>
                    <w:div w:id="1777599331">
                      <w:marLeft w:val="0"/>
                      <w:marRight w:val="0"/>
                      <w:marTop w:val="0"/>
                      <w:marBottom w:val="0"/>
                      <w:divBdr>
                        <w:top w:val="none" w:sz="0" w:space="0" w:color="auto"/>
                        <w:left w:val="none" w:sz="0" w:space="0" w:color="auto"/>
                        <w:bottom w:val="none" w:sz="0" w:space="0" w:color="auto"/>
                        <w:right w:val="none" w:sz="0" w:space="0" w:color="auto"/>
                      </w:divBdr>
                    </w:div>
                  </w:divsChild>
                </w:div>
                <w:div w:id="1819103271">
                  <w:marLeft w:val="0"/>
                  <w:marRight w:val="0"/>
                  <w:marTop w:val="0"/>
                  <w:marBottom w:val="0"/>
                  <w:divBdr>
                    <w:top w:val="none" w:sz="0" w:space="0" w:color="auto"/>
                    <w:left w:val="none" w:sz="0" w:space="0" w:color="auto"/>
                    <w:bottom w:val="none" w:sz="0" w:space="0" w:color="auto"/>
                    <w:right w:val="none" w:sz="0" w:space="0" w:color="auto"/>
                  </w:divBdr>
                  <w:divsChild>
                    <w:div w:id="1108162873">
                      <w:marLeft w:val="0"/>
                      <w:marRight w:val="0"/>
                      <w:marTop w:val="120"/>
                      <w:marBottom w:val="0"/>
                      <w:divBdr>
                        <w:top w:val="none" w:sz="0" w:space="0" w:color="auto"/>
                        <w:left w:val="none" w:sz="0" w:space="0" w:color="auto"/>
                        <w:bottom w:val="none" w:sz="0" w:space="0" w:color="auto"/>
                        <w:right w:val="none" w:sz="0" w:space="0" w:color="auto"/>
                      </w:divBdr>
                    </w:div>
                    <w:div w:id="1621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36023">
          <w:marLeft w:val="0"/>
          <w:marRight w:val="0"/>
          <w:marTop w:val="0"/>
          <w:marBottom w:val="0"/>
          <w:divBdr>
            <w:top w:val="none" w:sz="0" w:space="0" w:color="auto"/>
            <w:left w:val="none" w:sz="0" w:space="0" w:color="auto"/>
            <w:bottom w:val="none" w:sz="0" w:space="0" w:color="auto"/>
            <w:right w:val="none" w:sz="0" w:space="0" w:color="auto"/>
          </w:divBdr>
          <w:divsChild>
            <w:div w:id="735976741">
              <w:marLeft w:val="0"/>
              <w:marRight w:val="0"/>
              <w:marTop w:val="0"/>
              <w:marBottom w:val="0"/>
              <w:divBdr>
                <w:top w:val="none" w:sz="0" w:space="0" w:color="auto"/>
                <w:left w:val="none" w:sz="0" w:space="0" w:color="auto"/>
                <w:bottom w:val="none" w:sz="0" w:space="0" w:color="auto"/>
                <w:right w:val="none" w:sz="0" w:space="0" w:color="auto"/>
              </w:divBdr>
              <w:divsChild>
                <w:div w:id="361369106">
                  <w:marLeft w:val="0"/>
                  <w:marRight w:val="0"/>
                  <w:marTop w:val="0"/>
                  <w:marBottom w:val="0"/>
                  <w:divBdr>
                    <w:top w:val="none" w:sz="0" w:space="0" w:color="auto"/>
                    <w:left w:val="none" w:sz="0" w:space="0" w:color="auto"/>
                    <w:bottom w:val="none" w:sz="0" w:space="0" w:color="auto"/>
                    <w:right w:val="none" w:sz="0" w:space="0" w:color="auto"/>
                  </w:divBdr>
                  <w:divsChild>
                    <w:div w:id="1888225037">
                      <w:marLeft w:val="0"/>
                      <w:marRight w:val="0"/>
                      <w:marTop w:val="0"/>
                      <w:marBottom w:val="0"/>
                      <w:divBdr>
                        <w:top w:val="none" w:sz="0" w:space="0" w:color="auto"/>
                        <w:left w:val="none" w:sz="0" w:space="0" w:color="auto"/>
                        <w:bottom w:val="none" w:sz="0" w:space="0" w:color="auto"/>
                        <w:right w:val="none" w:sz="0" w:space="0" w:color="auto"/>
                      </w:divBdr>
                    </w:div>
                    <w:div w:id="1932932012">
                      <w:marLeft w:val="0"/>
                      <w:marRight w:val="0"/>
                      <w:marTop w:val="120"/>
                      <w:marBottom w:val="0"/>
                      <w:divBdr>
                        <w:top w:val="none" w:sz="0" w:space="0" w:color="auto"/>
                        <w:left w:val="none" w:sz="0" w:space="0" w:color="auto"/>
                        <w:bottom w:val="none" w:sz="0" w:space="0" w:color="auto"/>
                        <w:right w:val="none" w:sz="0" w:space="0" w:color="auto"/>
                      </w:divBdr>
                    </w:div>
                  </w:divsChild>
                </w:div>
                <w:div w:id="1127972560">
                  <w:marLeft w:val="0"/>
                  <w:marRight w:val="0"/>
                  <w:marTop w:val="0"/>
                  <w:marBottom w:val="0"/>
                  <w:divBdr>
                    <w:top w:val="none" w:sz="0" w:space="0" w:color="auto"/>
                    <w:left w:val="none" w:sz="0" w:space="0" w:color="auto"/>
                    <w:bottom w:val="none" w:sz="0" w:space="0" w:color="auto"/>
                    <w:right w:val="none" w:sz="0" w:space="0" w:color="auto"/>
                  </w:divBdr>
                  <w:divsChild>
                    <w:div w:id="1106076618">
                      <w:marLeft w:val="0"/>
                      <w:marRight w:val="0"/>
                      <w:marTop w:val="120"/>
                      <w:marBottom w:val="0"/>
                      <w:divBdr>
                        <w:top w:val="none" w:sz="0" w:space="0" w:color="auto"/>
                        <w:left w:val="none" w:sz="0" w:space="0" w:color="auto"/>
                        <w:bottom w:val="none" w:sz="0" w:space="0" w:color="auto"/>
                        <w:right w:val="none" w:sz="0" w:space="0" w:color="auto"/>
                      </w:divBdr>
                    </w:div>
                    <w:div w:id="16000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7340">
          <w:marLeft w:val="0"/>
          <w:marRight w:val="0"/>
          <w:marTop w:val="0"/>
          <w:marBottom w:val="0"/>
          <w:divBdr>
            <w:top w:val="none" w:sz="0" w:space="0" w:color="auto"/>
            <w:left w:val="none" w:sz="0" w:space="0" w:color="auto"/>
            <w:bottom w:val="none" w:sz="0" w:space="0" w:color="auto"/>
            <w:right w:val="none" w:sz="0" w:space="0" w:color="auto"/>
          </w:divBdr>
          <w:divsChild>
            <w:div w:id="1511063886">
              <w:marLeft w:val="0"/>
              <w:marRight w:val="0"/>
              <w:marTop w:val="0"/>
              <w:marBottom w:val="0"/>
              <w:divBdr>
                <w:top w:val="none" w:sz="0" w:space="0" w:color="auto"/>
                <w:left w:val="none" w:sz="0" w:space="0" w:color="auto"/>
                <w:bottom w:val="none" w:sz="0" w:space="0" w:color="auto"/>
                <w:right w:val="none" w:sz="0" w:space="0" w:color="auto"/>
              </w:divBdr>
              <w:divsChild>
                <w:div w:id="132722033">
                  <w:marLeft w:val="0"/>
                  <w:marRight w:val="0"/>
                  <w:marTop w:val="0"/>
                  <w:marBottom w:val="0"/>
                  <w:divBdr>
                    <w:top w:val="none" w:sz="0" w:space="0" w:color="auto"/>
                    <w:left w:val="none" w:sz="0" w:space="0" w:color="auto"/>
                    <w:bottom w:val="none" w:sz="0" w:space="0" w:color="auto"/>
                    <w:right w:val="none" w:sz="0" w:space="0" w:color="auto"/>
                  </w:divBdr>
                  <w:divsChild>
                    <w:div w:id="1504323163">
                      <w:marLeft w:val="0"/>
                      <w:marRight w:val="0"/>
                      <w:marTop w:val="0"/>
                      <w:marBottom w:val="0"/>
                      <w:divBdr>
                        <w:top w:val="none" w:sz="0" w:space="0" w:color="auto"/>
                        <w:left w:val="none" w:sz="0" w:space="0" w:color="auto"/>
                        <w:bottom w:val="none" w:sz="0" w:space="0" w:color="auto"/>
                        <w:right w:val="none" w:sz="0" w:space="0" w:color="auto"/>
                      </w:divBdr>
                    </w:div>
                    <w:div w:id="2052604588">
                      <w:marLeft w:val="0"/>
                      <w:marRight w:val="0"/>
                      <w:marTop w:val="120"/>
                      <w:marBottom w:val="0"/>
                      <w:divBdr>
                        <w:top w:val="none" w:sz="0" w:space="0" w:color="auto"/>
                        <w:left w:val="none" w:sz="0" w:space="0" w:color="auto"/>
                        <w:bottom w:val="none" w:sz="0" w:space="0" w:color="auto"/>
                        <w:right w:val="none" w:sz="0" w:space="0" w:color="auto"/>
                      </w:divBdr>
                    </w:div>
                  </w:divsChild>
                </w:div>
                <w:div w:id="328487514">
                  <w:marLeft w:val="0"/>
                  <w:marRight w:val="0"/>
                  <w:marTop w:val="0"/>
                  <w:marBottom w:val="0"/>
                  <w:divBdr>
                    <w:top w:val="none" w:sz="0" w:space="0" w:color="auto"/>
                    <w:left w:val="none" w:sz="0" w:space="0" w:color="auto"/>
                    <w:bottom w:val="none" w:sz="0" w:space="0" w:color="auto"/>
                    <w:right w:val="none" w:sz="0" w:space="0" w:color="auto"/>
                  </w:divBdr>
                  <w:divsChild>
                    <w:div w:id="477917586">
                      <w:marLeft w:val="0"/>
                      <w:marRight w:val="0"/>
                      <w:marTop w:val="120"/>
                      <w:marBottom w:val="0"/>
                      <w:divBdr>
                        <w:top w:val="none" w:sz="0" w:space="0" w:color="auto"/>
                        <w:left w:val="none" w:sz="0" w:space="0" w:color="auto"/>
                        <w:bottom w:val="none" w:sz="0" w:space="0" w:color="auto"/>
                        <w:right w:val="none" w:sz="0" w:space="0" w:color="auto"/>
                      </w:divBdr>
                    </w:div>
                    <w:div w:id="661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4119">
          <w:marLeft w:val="0"/>
          <w:marRight w:val="0"/>
          <w:marTop w:val="0"/>
          <w:marBottom w:val="0"/>
          <w:divBdr>
            <w:top w:val="none" w:sz="0" w:space="0" w:color="auto"/>
            <w:left w:val="none" w:sz="0" w:space="0" w:color="auto"/>
            <w:bottom w:val="none" w:sz="0" w:space="0" w:color="auto"/>
            <w:right w:val="none" w:sz="0" w:space="0" w:color="auto"/>
          </w:divBdr>
          <w:divsChild>
            <w:div w:id="106312071">
              <w:marLeft w:val="0"/>
              <w:marRight w:val="0"/>
              <w:marTop w:val="0"/>
              <w:marBottom w:val="0"/>
              <w:divBdr>
                <w:top w:val="none" w:sz="0" w:space="0" w:color="auto"/>
                <w:left w:val="none" w:sz="0" w:space="0" w:color="auto"/>
                <w:bottom w:val="none" w:sz="0" w:space="0" w:color="auto"/>
                <w:right w:val="none" w:sz="0" w:space="0" w:color="auto"/>
              </w:divBdr>
            </w:div>
          </w:divsChild>
        </w:div>
        <w:div w:id="1040201497">
          <w:marLeft w:val="0"/>
          <w:marRight w:val="0"/>
          <w:marTop w:val="0"/>
          <w:marBottom w:val="0"/>
          <w:divBdr>
            <w:top w:val="none" w:sz="0" w:space="0" w:color="auto"/>
            <w:left w:val="none" w:sz="0" w:space="0" w:color="auto"/>
            <w:bottom w:val="none" w:sz="0" w:space="0" w:color="auto"/>
            <w:right w:val="none" w:sz="0" w:space="0" w:color="auto"/>
          </w:divBdr>
          <w:divsChild>
            <w:div w:id="1493645117">
              <w:marLeft w:val="0"/>
              <w:marRight w:val="0"/>
              <w:marTop w:val="0"/>
              <w:marBottom w:val="0"/>
              <w:divBdr>
                <w:top w:val="none" w:sz="0" w:space="0" w:color="auto"/>
                <w:left w:val="none" w:sz="0" w:space="0" w:color="auto"/>
                <w:bottom w:val="none" w:sz="0" w:space="0" w:color="auto"/>
                <w:right w:val="none" w:sz="0" w:space="0" w:color="auto"/>
              </w:divBdr>
            </w:div>
          </w:divsChild>
        </w:div>
        <w:div w:id="1519272664">
          <w:marLeft w:val="0"/>
          <w:marRight w:val="0"/>
          <w:marTop w:val="0"/>
          <w:marBottom w:val="0"/>
          <w:divBdr>
            <w:top w:val="none" w:sz="0" w:space="0" w:color="auto"/>
            <w:left w:val="none" w:sz="0" w:space="0" w:color="auto"/>
            <w:bottom w:val="none" w:sz="0" w:space="0" w:color="auto"/>
            <w:right w:val="none" w:sz="0" w:space="0" w:color="auto"/>
          </w:divBdr>
          <w:divsChild>
            <w:div w:id="227811556">
              <w:marLeft w:val="0"/>
              <w:marRight w:val="0"/>
              <w:marTop w:val="0"/>
              <w:marBottom w:val="0"/>
              <w:divBdr>
                <w:top w:val="none" w:sz="0" w:space="0" w:color="auto"/>
                <w:left w:val="none" w:sz="0" w:space="0" w:color="auto"/>
                <w:bottom w:val="none" w:sz="0" w:space="0" w:color="auto"/>
                <w:right w:val="none" w:sz="0" w:space="0" w:color="auto"/>
              </w:divBdr>
            </w:div>
          </w:divsChild>
        </w:div>
        <w:div w:id="1756855188">
          <w:marLeft w:val="0"/>
          <w:marRight w:val="0"/>
          <w:marTop w:val="0"/>
          <w:marBottom w:val="0"/>
          <w:divBdr>
            <w:top w:val="none" w:sz="0" w:space="0" w:color="auto"/>
            <w:left w:val="none" w:sz="0" w:space="0" w:color="auto"/>
            <w:bottom w:val="none" w:sz="0" w:space="0" w:color="auto"/>
            <w:right w:val="none" w:sz="0" w:space="0" w:color="auto"/>
          </w:divBdr>
          <w:divsChild>
            <w:div w:id="327172854">
              <w:marLeft w:val="0"/>
              <w:marRight w:val="0"/>
              <w:marTop w:val="0"/>
              <w:marBottom w:val="0"/>
              <w:divBdr>
                <w:top w:val="none" w:sz="0" w:space="0" w:color="auto"/>
                <w:left w:val="none" w:sz="0" w:space="0" w:color="auto"/>
                <w:bottom w:val="none" w:sz="0" w:space="0" w:color="auto"/>
                <w:right w:val="none" w:sz="0" w:space="0" w:color="auto"/>
              </w:divBdr>
            </w:div>
          </w:divsChild>
        </w:div>
        <w:div w:id="1907688248">
          <w:marLeft w:val="0"/>
          <w:marRight w:val="0"/>
          <w:marTop w:val="0"/>
          <w:marBottom w:val="0"/>
          <w:divBdr>
            <w:top w:val="none" w:sz="0" w:space="0" w:color="auto"/>
            <w:left w:val="none" w:sz="0" w:space="0" w:color="auto"/>
            <w:bottom w:val="none" w:sz="0" w:space="0" w:color="auto"/>
            <w:right w:val="none" w:sz="0" w:space="0" w:color="auto"/>
          </w:divBdr>
          <w:divsChild>
            <w:div w:id="1120027025">
              <w:marLeft w:val="0"/>
              <w:marRight w:val="0"/>
              <w:marTop w:val="0"/>
              <w:marBottom w:val="0"/>
              <w:divBdr>
                <w:top w:val="none" w:sz="0" w:space="0" w:color="auto"/>
                <w:left w:val="none" w:sz="0" w:space="0" w:color="auto"/>
                <w:bottom w:val="none" w:sz="0" w:space="0" w:color="auto"/>
                <w:right w:val="none" w:sz="0" w:space="0" w:color="auto"/>
              </w:divBdr>
              <w:divsChild>
                <w:div w:id="1368724710">
                  <w:marLeft w:val="0"/>
                  <w:marRight w:val="0"/>
                  <w:marTop w:val="0"/>
                  <w:marBottom w:val="0"/>
                  <w:divBdr>
                    <w:top w:val="none" w:sz="0" w:space="0" w:color="auto"/>
                    <w:left w:val="none" w:sz="0" w:space="0" w:color="auto"/>
                    <w:bottom w:val="none" w:sz="0" w:space="0" w:color="auto"/>
                    <w:right w:val="none" w:sz="0" w:space="0" w:color="auto"/>
                  </w:divBdr>
                  <w:divsChild>
                    <w:div w:id="107547714">
                      <w:marLeft w:val="0"/>
                      <w:marRight w:val="0"/>
                      <w:marTop w:val="120"/>
                      <w:marBottom w:val="0"/>
                      <w:divBdr>
                        <w:top w:val="none" w:sz="0" w:space="0" w:color="auto"/>
                        <w:left w:val="none" w:sz="0" w:space="0" w:color="auto"/>
                        <w:bottom w:val="none" w:sz="0" w:space="0" w:color="auto"/>
                        <w:right w:val="none" w:sz="0" w:space="0" w:color="auto"/>
                      </w:divBdr>
                    </w:div>
                    <w:div w:id="1344084922">
                      <w:marLeft w:val="0"/>
                      <w:marRight w:val="0"/>
                      <w:marTop w:val="0"/>
                      <w:marBottom w:val="0"/>
                      <w:divBdr>
                        <w:top w:val="none" w:sz="0" w:space="0" w:color="auto"/>
                        <w:left w:val="none" w:sz="0" w:space="0" w:color="auto"/>
                        <w:bottom w:val="none" w:sz="0" w:space="0" w:color="auto"/>
                        <w:right w:val="none" w:sz="0" w:space="0" w:color="auto"/>
                      </w:divBdr>
                    </w:div>
                  </w:divsChild>
                </w:div>
                <w:div w:id="1387097539">
                  <w:marLeft w:val="0"/>
                  <w:marRight w:val="0"/>
                  <w:marTop w:val="0"/>
                  <w:marBottom w:val="0"/>
                  <w:divBdr>
                    <w:top w:val="none" w:sz="0" w:space="0" w:color="auto"/>
                    <w:left w:val="none" w:sz="0" w:space="0" w:color="auto"/>
                    <w:bottom w:val="none" w:sz="0" w:space="0" w:color="auto"/>
                    <w:right w:val="none" w:sz="0" w:space="0" w:color="auto"/>
                  </w:divBdr>
                  <w:divsChild>
                    <w:div w:id="29425833">
                      <w:marLeft w:val="0"/>
                      <w:marRight w:val="0"/>
                      <w:marTop w:val="0"/>
                      <w:marBottom w:val="0"/>
                      <w:divBdr>
                        <w:top w:val="none" w:sz="0" w:space="0" w:color="auto"/>
                        <w:left w:val="none" w:sz="0" w:space="0" w:color="auto"/>
                        <w:bottom w:val="none" w:sz="0" w:space="0" w:color="auto"/>
                        <w:right w:val="none" w:sz="0" w:space="0" w:color="auto"/>
                      </w:divBdr>
                    </w:div>
                    <w:div w:id="1460295596">
                      <w:marLeft w:val="0"/>
                      <w:marRight w:val="0"/>
                      <w:marTop w:val="120"/>
                      <w:marBottom w:val="0"/>
                      <w:divBdr>
                        <w:top w:val="none" w:sz="0" w:space="0" w:color="auto"/>
                        <w:left w:val="none" w:sz="0" w:space="0" w:color="auto"/>
                        <w:bottom w:val="none" w:sz="0" w:space="0" w:color="auto"/>
                        <w:right w:val="none" w:sz="0" w:space="0" w:color="auto"/>
                      </w:divBdr>
                    </w:div>
                  </w:divsChild>
                </w:div>
                <w:div w:id="1543321657">
                  <w:marLeft w:val="0"/>
                  <w:marRight w:val="0"/>
                  <w:marTop w:val="0"/>
                  <w:marBottom w:val="0"/>
                  <w:divBdr>
                    <w:top w:val="none" w:sz="0" w:space="0" w:color="auto"/>
                    <w:left w:val="none" w:sz="0" w:space="0" w:color="auto"/>
                    <w:bottom w:val="none" w:sz="0" w:space="0" w:color="auto"/>
                    <w:right w:val="none" w:sz="0" w:space="0" w:color="auto"/>
                  </w:divBdr>
                  <w:divsChild>
                    <w:div w:id="1738285451">
                      <w:marLeft w:val="0"/>
                      <w:marRight w:val="0"/>
                      <w:marTop w:val="0"/>
                      <w:marBottom w:val="0"/>
                      <w:divBdr>
                        <w:top w:val="none" w:sz="0" w:space="0" w:color="auto"/>
                        <w:left w:val="none" w:sz="0" w:space="0" w:color="auto"/>
                        <w:bottom w:val="none" w:sz="0" w:space="0" w:color="auto"/>
                        <w:right w:val="none" w:sz="0" w:space="0" w:color="auto"/>
                      </w:divBdr>
                    </w:div>
                    <w:div w:id="1939361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43140569">
      <w:bodyDiv w:val="1"/>
      <w:marLeft w:val="0"/>
      <w:marRight w:val="0"/>
      <w:marTop w:val="0"/>
      <w:marBottom w:val="0"/>
      <w:divBdr>
        <w:top w:val="none" w:sz="0" w:space="0" w:color="auto"/>
        <w:left w:val="none" w:sz="0" w:space="0" w:color="auto"/>
        <w:bottom w:val="none" w:sz="0" w:space="0" w:color="auto"/>
        <w:right w:val="none" w:sz="0" w:space="0" w:color="auto"/>
      </w:divBdr>
    </w:div>
    <w:div w:id="1749765862">
      <w:bodyDiv w:val="1"/>
      <w:marLeft w:val="0"/>
      <w:marRight w:val="0"/>
      <w:marTop w:val="0"/>
      <w:marBottom w:val="0"/>
      <w:divBdr>
        <w:top w:val="none" w:sz="0" w:space="0" w:color="auto"/>
        <w:left w:val="none" w:sz="0" w:space="0" w:color="auto"/>
        <w:bottom w:val="none" w:sz="0" w:space="0" w:color="auto"/>
        <w:right w:val="none" w:sz="0" w:space="0" w:color="auto"/>
      </w:divBdr>
    </w:div>
    <w:div w:id="1761751701">
      <w:bodyDiv w:val="1"/>
      <w:marLeft w:val="0"/>
      <w:marRight w:val="0"/>
      <w:marTop w:val="0"/>
      <w:marBottom w:val="0"/>
      <w:divBdr>
        <w:top w:val="none" w:sz="0" w:space="0" w:color="auto"/>
        <w:left w:val="none" w:sz="0" w:space="0" w:color="auto"/>
        <w:bottom w:val="none" w:sz="0" w:space="0" w:color="auto"/>
        <w:right w:val="none" w:sz="0" w:space="0" w:color="auto"/>
      </w:divBdr>
    </w:div>
    <w:div w:id="1773814288">
      <w:bodyDiv w:val="1"/>
      <w:marLeft w:val="0"/>
      <w:marRight w:val="0"/>
      <w:marTop w:val="0"/>
      <w:marBottom w:val="0"/>
      <w:divBdr>
        <w:top w:val="none" w:sz="0" w:space="0" w:color="auto"/>
        <w:left w:val="none" w:sz="0" w:space="0" w:color="auto"/>
        <w:bottom w:val="none" w:sz="0" w:space="0" w:color="auto"/>
        <w:right w:val="none" w:sz="0" w:space="0" w:color="auto"/>
      </w:divBdr>
      <w:divsChild>
        <w:div w:id="656418531">
          <w:marLeft w:val="0"/>
          <w:marRight w:val="0"/>
          <w:marTop w:val="0"/>
          <w:marBottom w:val="0"/>
          <w:divBdr>
            <w:top w:val="none" w:sz="0" w:space="0" w:color="auto"/>
            <w:left w:val="none" w:sz="0" w:space="0" w:color="auto"/>
            <w:bottom w:val="none" w:sz="0" w:space="0" w:color="auto"/>
            <w:right w:val="none" w:sz="0" w:space="0" w:color="auto"/>
          </w:divBdr>
          <w:divsChild>
            <w:div w:id="1239751916">
              <w:marLeft w:val="0"/>
              <w:marRight w:val="0"/>
              <w:marTop w:val="0"/>
              <w:marBottom w:val="0"/>
              <w:divBdr>
                <w:top w:val="none" w:sz="0" w:space="0" w:color="auto"/>
                <w:left w:val="none" w:sz="0" w:space="0" w:color="auto"/>
                <w:bottom w:val="none" w:sz="0" w:space="0" w:color="auto"/>
                <w:right w:val="none" w:sz="0" w:space="0" w:color="auto"/>
              </w:divBdr>
            </w:div>
            <w:div w:id="2023510207">
              <w:marLeft w:val="0"/>
              <w:marRight w:val="0"/>
              <w:marTop w:val="120"/>
              <w:marBottom w:val="0"/>
              <w:divBdr>
                <w:top w:val="none" w:sz="0" w:space="0" w:color="auto"/>
                <w:left w:val="none" w:sz="0" w:space="0" w:color="auto"/>
                <w:bottom w:val="none" w:sz="0" w:space="0" w:color="auto"/>
                <w:right w:val="none" w:sz="0" w:space="0" w:color="auto"/>
              </w:divBdr>
            </w:div>
          </w:divsChild>
        </w:div>
        <w:div w:id="752699977">
          <w:marLeft w:val="0"/>
          <w:marRight w:val="0"/>
          <w:marTop w:val="0"/>
          <w:marBottom w:val="0"/>
          <w:divBdr>
            <w:top w:val="none" w:sz="0" w:space="0" w:color="auto"/>
            <w:left w:val="none" w:sz="0" w:space="0" w:color="auto"/>
            <w:bottom w:val="none" w:sz="0" w:space="0" w:color="auto"/>
            <w:right w:val="none" w:sz="0" w:space="0" w:color="auto"/>
          </w:divBdr>
          <w:divsChild>
            <w:div w:id="1861354916">
              <w:marLeft w:val="0"/>
              <w:marRight w:val="0"/>
              <w:marTop w:val="120"/>
              <w:marBottom w:val="0"/>
              <w:divBdr>
                <w:top w:val="none" w:sz="0" w:space="0" w:color="auto"/>
                <w:left w:val="none" w:sz="0" w:space="0" w:color="auto"/>
                <w:bottom w:val="none" w:sz="0" w:space="0" w:color="auto"/>
                <w:right w:val="none" w:sz="0" w:space="0" w:color="auto"/>
              </w:divBdr>
            </w:div>
            <w:div w:id="19537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9753">
      <w:bodyDiv w:val="1"/>
      <w:marLeft w:val="0"/>
      <w:marRight w:val="0"/>
      <w:marTop w:val="0"/>
      <w:marBottom w:val="0"/>
      <w:divBdr>
        <w:top w:val="none" w:sz="0" w:space="0" w:color="auto"/>
        <w:left w:val="none" w:sz="0" w:space="0" w:color="auto"/>
        <w:bottom w:val="none" w:sz="0" w:space="0" w:color="auto"/>
        <w:right w:val="none" w:sz="0" w:space="0" w:color="auto"/>
      </w:divBdr>
      <w:divsChild>
        <w:div w:id="393965649">
          <w:marLeft w:val="0"/>
          <w:marRight w:val="0"/>
          <w:marTop w:val="0"/>
          <w:marBottom w:val="0"/>
          <w:divBdr>
            <w:top w:val="none" w:sz="0" w:space="0" w:color="auto"/>
            <w:left w:val="none" w:sz="0" w:space="0" w:color="auto"/>
            <w:bottom w:val="none" w:sz="0" w:space="0" w:color="auto"/>
            <w:right w:val="none" w:sz="0" w:space="0" w:color="auto"/>
          </w:divBdr>
        </w:div>
      </w:divsChild>
    </w:div>
    <w:div w:id="1799183186">
      <w:bodyDiv w:val="1"/>
      <w:marLeft w:val="0"/>
      <w:marRight w:val="0"/>
      <w:marTop w:val="0"/>
      <w:marBottom w:val="0"/>
      <w:divBdr>
        <w:top w:val="none" w:sz="0" w:space="0" w:color="auto"/>
        <w:left w:val="none" w:sz="0" w:space="0" w:color="auto"/>
        <w:bottom w:val="none" w:sz="0" w:space="0" w:color="auto"/>
        <w:right w:val="none" w:sz="0" w:space="0" w:color="auto"/>
      </w:divBdr>
      <w:divsChild>
        <w:div w:id="1634018635">
          <w:marLeft w:val="0"/>
          <w:marRight w:val="0"/>
          <w:marTop w:val="0"/>
          <w:marBottom w:val="0"/>
          <w:divBdr>
            <w:top w:val="none" w:sz="0" w:space="0" w:color="auto"/>
            <w:left w:val="none" w:sz="0" w:space="0" w:color="auto"/>
            <w:bottom w:val="none" w:sz="0" w:space="0" w:color="auto"/>
            <w:right w:val="none" w:sz="0" w:space="0" w:color="auto"/>
          </w:divBdr>
          <w:divsChild>
            <w:div w:id="502474974">
              <w:marLeft w:val="0"/>
              <w:marRight w:val="0"/>
              <w:marTop w:val="0"/>
              <w:marBottom w:val="0"/>
              <w:divBdr>
                <w:top w:val="none" w:sz="0" w:space="0" w:color="auto"/>
                <w:left w:val="none" w:sz="0" w:space="0" w:color="auto"/>
                <w:bottom w:val="none" w:sz="0" w:space="0" w:color="auto"/>
                <w:right w:val="none" w:sz="0" w:space="0" w:color="auto"/>
              </w:divBdr>
              <w:divsChild>
                <w:div w:id="49623404">
                  <w:marLeft w:val="0"/>
                  <w:marRight w:val="0"/>
                  <w:marTop w:val="0"/>
                  <w:marBottom w:val="0"/>
                  <w:divBdr>
                    <w:top w:val="none" w:sz="0" w:space="0" w:color="auto"/>
                    <w:left w:val="none" w:sz="0" w:space="0" w:color="auto"/>
                    <w:bottom w:val="none" w:sz="0" w:space="0" w:color="auto"/>
                    <w:right w:val="none" w:sz="0" w:space="0" w:color="auto"/>
                  </w:divBdr>
                  <w:divsChild>
                    <w:div w:id="179049550">
                      <w:marLeft w:val="0"/>
                      <w:marRight w:val="0"/>
                      <w:marTop w:val="0"/>
                      <w:marBottom w:val="0"/>
                      <w:divBdr>
                        <w:top w:val="none" w:sz="0" w:space="0" w:color="auto"/>
                        <w:left w:val="none" w:sz="0" w:space="0" w:color="auto"/>
                        <w:bottom w:val="none" w:sz="0" w:space="0" w:color="auto"/>
                        <w:right w:val="none" w:sz="0" w:space="0" w:color="auto"/>
                      </w:divBdr>
                    </w:div>
                    <w:div w:id="1485470205">
                      <w:marLeft w:val="0"/>
                      <w:marRight w:val="0"/>
                      <w:marTop w:val="120"/>
                      <w:marBottom w:val="0"/>
                      <w:divBdr>
                        <w:top w:val="none" w:sz="0" w:space="0" w:color="auto"/>
                        <w:left w:val="none" w:sz="0" w:space="0" w:color="auto"/>
                        <w:bottom w:val="none" w:sz="0" w:space="0" w:color="auto"/>
                        <w:right w:val="none" w:sz="0" w:space="0" w:color="auto"/>
                      </w:divBdr>
                    </w:div>
                  </w:divsChild>
                </w:div>
                <w:div w:id="1974169844">
                  <w:marLeft w:val="0"/>
                  <w:marRight w:val="0"/>
                  <w:marTop w:val="0"/>
                  <w:marBottom w:val="0"/>
                  <w:divBdr>
                    <w:top w:val="none" w:sz="0" w:space="0" w:color="auto"/>
                    <w:left w:val="none" w:sz="0" w:space="0" w:color="auto"/>
                    <w:bottom w:val="none" w:sz="0" w:space="0" w:color="auto"/>
                    <w:right w:val="none" w:sz="0" w:space="0" w:color="auto"/>
                  </w:divBdr>
                  <w:divsChild>
                    <w:div w:id="359933924">
                      <w:marLeft w:val="0"/>
                      <w:marRight w:val="0"/>
                      <w:marTop w:val="0"/>
                      <w:marBottom w:val="0"/>
                      <w:divBdr>
                        <w:top w:val="none" w:sz="0" w:space="0" w:color="auto"/>
                        <w:left w:val="none" w:sz="0" w:space="0" w:color="auto"/>
                        <w:bottom w:val="none" w:sz="0" w:space="0" w:color="auto"/>
                        <w:right w:val="none" w:sz="0" w:space="0" w:color="auto"/>
                      </w:divBdr>
                    </w:div>
                    <w:div w:id="1526211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8927832">
              <w:marLeft w:val="0"/>
              <w:marRight w:val="0"/>
              <w:marTop w:val="120"/>
              <w:marBottom w:val="0"/>
              <w:divBdr>
                <w:top w:val="none" w:sz="0" w:space="0" w:color="auto"/>
                <w:left w:val="none" w:sz="0" w:space="0" w:color="auto"/>
                <w:bottom w:val="none" w:sz="0" w:space="0" w:color="auto"/>
                <w:right w:val="none" w:sz="0" w:space="0" w:color="auto"/>
              </w:divBdr>
            </w:div>
          </w:divsChild>
        </w:div>
        <w:div w:id="2081167705">
          <w:marLeft w:val="0"/>
          <w:marRight w:val="0"/>
          <w:marTop w:val="0"/>
          <w:marBottom w:val="0"/>
          <w:divBdr>
            <w:top w:val="none" w:sz="0" w:space="0" w:color="auto"/>
            <w:left w:val="none" w:sz="0" w:space="0" w:color="auto"/>
            <w:bottom w:val="none" w:sz="0" w:space="0" w:color="auto"/>
            <w:right w:val="none" w:sz="0" w:space="0" w:color="auto"/>
          </w:divBdr>
          <w:divsChild>
            <w:div w:id="485822375">
              <w:marLeft w:val="0"/>
              <w:marRight w:val="0"/>
              <w:marTop w:val="0"/>
              <w:marBottom w:val="0"/>
              <w:divBdr>
                <w:top w:val="none" w:sz="0" w:space="0" w:color="auto"/>
                <w:left w:val="none" w:sz="0" w:space="0" w:color="auto"/>
                <w:bottom w:val="none" w:sz="0" w:space="0" w:color="auto"/>
                <w:right w:val="none" w:sz="0" w:space="0" w:color="auto"/>
              </w:divBdr>
            </w:div>
            <w:div w:id="1361515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5150294">
      <w:bodyDiv w:val="1"/>
      <w:marLeft w:val="0"/>
      <w:marRight w:val="0"/>
      <w:marTop w:val="0"/>
      <w:marBottom w:val="0"/>
      <w:divBdr>
        <w:top w:val="none" w:sz="0" w:space="0" w:color="auto"/>
        <w:left w:val="none" w:sz="0" w:space="0" w:color="auto"/>
        <w:bottom w:val="none" w:sz="0" w:space="0" w:color="auto"/>
        <w:right w:val="none" w:sz="0" w:space="0" w:color="auto"/>
      </w:divBdr>
      <w:divsChild>
        <w:div w:id="228881215">
          <w:marLeft w:val="0"/>
          <w:marRight w:val="0"/>
          <w:marTop w:val="0"/>
          <w:marBottom w:val="0"/>
          <w:divBdr>
            <w:top w:val="none" w:sz="0" w:space="0" w:color="auto"/>
            <w:left w:val="none" w:sz="0" w:space="0" w:color="auto"/>
            <w:bottom w:val="none" w:sz="0" w:space="0" w:color="auto"/>
            <w:right w:val="none" w:sz="0" w:space="0" w:color="auto"/>
          </w:divBdr>
          <w:divsChild>
            <w:div w:id="588274388">
              <w:marLeft w:val="0"/>
              <w:marRight w:val="0"/>
              <w:marTop w:val="0"/>
              <w:marBottom w:val="0"/>
              <w:divBdr>
                <w:top w:val="none" w:sz="0" w:space="0" w:color="auto"/>
                <w:left w:val="none" w:sz="0" w:space="0" w:color="auto"/>
                <w:bottom w:val="none" w:sz="0" w:space="0" w:color="auto"/>
                <w:right w:val="none" w:sz="0" w:space="0" w:color="auto"/>
              </w:divBdr>
            </w:div>
            <w:div w:id="1254360509">
              <w:marLeft w:val="0"/>
              <w:marRight w:val="0"/>
              <w:marTop w:val="120"/>
              <w:marBottom w:val="0"/>
              <w:divBdr>
                <w:top w:val="none" w:sz="0" w:space="0" w:color="auto"/>
                <w:left w:val="none" w:sz="0" w:space="0" w:color="auto"/>
                <w:bottom w:val="none" w:sz="0" w:space="0" w:color="auto"/>
                <w:right w:val="none" w:sz="0" w:space="0" w:color="auto"/>
              </w:divBdr>
            </w:div>
          </w:divsChild>
        </w:div>
        <w:div w:id="238490917">
          <w:marLeft w:val="0"/>
          <w:marRight w:val="0"/>
          <w:marTop w:val="0"/>
          <w:marBottom w:val="0"/>
          <w:divBdr>
            <w:top w:val="none" w:sz="0" w:space="0" w:color="auto"/>
            <w:left w:val="none" w:sz="0" w:space="0" w:color="auto"/>
            <w:bottom w:val="none" w:sz="0" w:space="0" w:color="auto"/>
            <w:right w:val="none" w:sz="0" w:space="0" w:color="auto"/>
          </w:divBdr>
          <w:divsChild>
            <w:div w:id="1124538543">
              <w:marLeft w:val="0"/>
              <w:marRight w:val="0"/>
              <w:marTop w:val="0"/>
              <w:marBottom w:val="0"/>
              <w:divBdr>
                <w:top w:val="none" w:sz="0" w:space="0" w:color="auto"/>
                <w:left w:val="none" w:sz="0" w:space="0" w:color="auto"/>
                <w:bottom w:val="none" w:sz="0" w:space="0" w:color="auto"/>
                <w:right w:val="none" w:sz="0" w:space="0" w:color="auto"/>
              </w:divBdr>
            </w:div>
            <w:div w:id="2107650747">
              <w:marLeft w:val="0"/>
              <w:marRight w:val="0"/>
              <w:marTop w:val="120"/>
              <w:marBottom w:val="0"/>
              <w:divBdr>
                <w:top w:val="none" w:sz="0" w:space="0" w:color="auto"/>
                <w:left w:val="none" w:sz="0" w:space="0" w:color="auto"/>
                <w:bottom w:val="none" w:sz="0" w:space="0" w:color="auto"/>
                <w:right w:val="none" w:sz="0" w:space="0" w:color="auto"/>
              </w:divBdr>
            </w:div>
          </w:divsChild>
        </w:div>
        <w:div w:id="1139691477">
          <w:marLeft w:val="0"/>
          <w:marRight w:val="0"/>
          <w:marTop w:val="0"/>
          <w:marBottom w:val="0"/>
          <w:divBdr>
            <w:top w:val="none" w:sz="0" w:space="0" w:color="auto"/>
            <w:left w:val="none" w:sz="0" w:space="0" w:color="auto"/>
            <w:bottom w:val="none" w:sz="0" w:space="0" w:color="auto"/>
            <w:right w:val="none" w:sz="0" w:space="0" w:color="auto"/>
          </w:divBdr>
          <w:divsChild>
            <w:div w:id="233659707">
              <w:marLeft w:val="0"/>
              <w:marRight w:val="0"/>
              <w:marTop w:val="0"/>
              <w:marBottom w:val="0"/>
              <w:divBdr>
                <w:top w:val="none" w:sz="0" w:space="0" w:color="auto"/>
                <w:left w:val="none" w:sz="0" w:space="0" w:color="auto"/>
                <w:bottom w:val="none" w:sz="0" w:space="0" w:color="auto"/>
                <w:right w:val="none" w:sz="0" w:space="0" w:color="auto"/>
              </w:divBdr>
            </w:div>
            <w:div w:id="11466307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6754962">
      <w:bodyDiv w:val="1"/>
      <w:marLeft w:val="0"/>
      <w:marRight w:val="0"/>
      <w:marTop w:val="0"/>
      <w:marBottom w:val="0"/>
      <w:divBdr>
        <w:top w:val="none" w:sz="0" w:space="0" w:color="auto"/>
        <w:left w:val="none" w:sz="0" w:space="0" w:color="auto"/>
        <w:bottom w:val="none" w:sz="0" w:space="0" w:color="auto"/>
        <w:right w:val="none" w:sz="0" w:space="0" w:color="auto"/>
      </w:divBdr>
    </w:div>
    <w:div w:id="1826165046">
      <w:bodyDiv w:val="1"/>
      <w:marLeft w:val="0"/>
      <w:marRight w:val="0"/>
      <w:marTop w:val="0"/>
      <w:marBottom w:val="0"/>
      <w:divBdr>
        <w:top w:val="none" w:sz="0" w:space="0" w:color="auto"/>
        <w:left w:val="none" w:sz="0" w:space="0" w:color="auto"/>
        <w:bottom w:val="none" w:sz="0" w:space="0" w:color="auto"/>
        <w:right w:val="none" w:sz="0" w:space="0" w:color="auto"/>
      </w:divBdr>
      <w:divsChild>
        <w:div w:id="515922489">
          <w:marLeft w:val="0"/>
          <w:marRight w:val="0"/>
          <w:marTop w:val="0"/>
          <w:marBottom w:val="0"/>
          <w:divBdr>
            <w:top w:val="none" w:sz="0" w:space="0" w:color="auto"/>
            <w:left w:val="none" w:sz="0" w:space="0" w:color="auto"/>
            <w:bottom w:val="none" w:sz="0" w:space="0" w:color="auto"/>
            <w:right w:val="none" w:sz="0" w:space="0" w:color="auto"/>
          </w:divBdr>
        </w:div>
      </w:divsChild>
    </w:div>
    <w:div w:id="1829054830">
      <w:bodyDiv w:val="1"/>
      <w:marLeft w:val="0"/>
      <w:marRight w:val="0"/>
      <w:marTop w:val="0"/>
      <w:marBottom w:val="0"/>
      <w:divBdr>
        <w:top w:val="none" w:sz="0" w:space="0" w:color="auto"/>
        <w:left w:val="none" w:sz="0" w:space="0" w:color="auto"/>
        <w:bottom w:val="none" w:sz="0" w:space="0" w:color="auto"/>
        <w:right w:val="none" w:sz="0" w:space="0" w:color="auto"/>
      </w:divBdr>
      <w:divsChild>
        <w:div w:id="389111656">
          <w:marLeft w:val="0"/>
          <w:marRight w:val="0"/>
          <w:marTop w:val="0"/>
          <w:marBottom w:val="0"/>
          <w:divBdr>
            <w:top w:val="none" w:sz="0" w:space="0" w:color="auto"/>
            <w:left w:val="none" w:sz="0" w:space="0" w:color="auto"/>
            <w:bottom w:val="none" w:sz="0" w:space="0" w:color="auto"/>
            <w:right w:val="none" w:sz="0" w:space="0" w:color="auto"/>
          </w:divBdr>
          <w:divsChild>
            <w:div w:id="614679113">
              <w:marLeft w:val="0"/>
              <w:marRight w:val="0"/>
              <w:marTop w:val="0"/>
              <w:marBottom w:val="0"/>
              <w:divBdr>
                <w:top w:val="none" w:sz="0" w:space="0" w:color="auto"/>
                <w:left w:val="none" w:sz="0" w:space="0" w:color="auto"/>
                <w:bottom w:val="none" w:sz="0" w:space="0" w:color="auto"/>
                <w:right w:val="none" w:sz="0" w:space="0" w:color="auto"/>
              </w:divBdr>
              <w:divsChild>
                <w:div w:id="128911314">
                  <w:marLeft w:val="0"/>
                  <w:marRight w:val="0"/>
                  <w:marTop w:val="0"/>
                  <w:marBottom w:val="0"/>
                  <w:divBdr>
                    <w:top w:val="none" w:sz="0" w:space="0" w:color="auto"/>
                    <w:left w:val="none" w:sz="0" w:space="0" w:color="auto"/>
                    <w:bottom w:val="none" w:sz="0" w:space="0" w:color="auto"/>
                    <w:right w:val="none" w:sz="0" w:space="0" w:color="auto"/>
                  </w:divBdr>
                  <w:divsChild>
                    <w:div w:id="1106120123">
                      <w:marLeft w:val="0"/>
                      <w:marRight w:val="0"/>
                      <w:marTop w:val="120"/>
                      <w:marBottom w:val="0"/>
                      <w:divBdr>
                        <w:top w:val="none" w:sz="0" w:space="0" w:color="auto"/>
                        <w:left w:val="none" w:sz="0" w:space="0" w:color="auto"/>
                        <w:bottom w:val="none" w:sz="0" w:space="0" w:color="auto"/>
                        <w:right w:val="none" w:sz="0" w:space="0" w:color="auto"/>
                      </w:divBdr>
                    </w:div>
                    <w:div w:id="1449591375">
                      <w:marLeft w:val="0"/>
                      <w:marRight w:val="0"/>
                      <w:marTop w:val="0"/>
                      <w:marBottom w:val="0"/>
                      <w:divBdr>
                        <w:top w:val="none" w:sz="0" w:space="0" w:color="auto"/>
                        <w:left w:val="none" w:sz="0" w:space="0" w:color="auto"/>
                        <w:bottom w:val="none" w:sz="0" w:space="0" w:color="auto"/>
                        <w:right w:val="none" w:sz="0" w:space="0" w:color="auto"/>
                      </w:divBdr>
                    </w:div>
                  </w:divsChild>
                </w:div>
                <w:div w:id="462388444">
                  <w:marLeft w:val="0"/>
                  <w:marRight w:val="0"/>
                  <w:marTop w:val="0"/>
                  <w:marBottom w:val="0"/>
                  <w:divBdr>
                    <w:top w:val="none" w:sz="0" w:space="0" w:color="auto"/>
                    <w:left w:val="none" w:sz="0" w:space="0" w:color="auto"/>
                    <w:bottom w:val="none" w:sz="0" w:space="0" w:color="auto"/>
                    <w:right w:val="none" w:sz="0" w:space="0" w:color="auto"/>
                  </w:divBdr>
                  <w:divsChild>
                    <w:div w:id="296178875">
                      <w:marLeft w:val="0"/>
                      <w:marRight w:val="0"/>
                      <w:marTop w:val="120"/>
                      <w:marBottom w:val="0"/>
                      <w:divBdr>
                        <w:top w:val="none" w:sz="0" w:space="0" w:color="auto"/>
                        <w:left w:val="none" w:sz="0" w:space="0" w:color="auto"/>
                        <w:bottom w:val="none" w:sz="0" w:space="0" w:color="auto"/>
                        <w:right w:val="none" w:sz="0" w:space="0" w:color="auto"/>
                      </w:divBdr>
                    </w:div>
                    <w:div w:id="6357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90477">
          <w:marLeft w:val="0"/>
          <w:marRight w:val="0"/>
          <w:marTop w:val="0"/>
          <w:marBottom w:val="0"/>
          <w:divBdr>
            <w:top w:val="none" w:sz="0" w:space="0" w:color="auto"/>
            <w:left w:val="none" w:sz="0" w:space="0" w:color="auto"/>
            <w:bottom w:val="none" w:sz="0" w:space="0" w:color="auto"/>
            <w:right w:val="none" w:sz="0" w:space="0" w:color="auto"/>
          </w:divBdr>
          <w:divsChild>
            <w:div w:id="816723319">
              <w:marLeft w:val="0"/>
              <w:marRight w:val="0"/>
              <w:marTop w:val="0"/>
              <w:marBottom w:val="0"/>
              <w:divBdr>
                <w:top w:val="none" w:sz="0" w:space="0" w:color="auto"/>
                <w:left w:val="none" w:sz="0" w:space="0" w:color="auto"/>
                <w:bottom w:val="none" w:sz="0" w:space="0" w:color="auto"/>
                <w:right w:val="none" w:sz="0" w:space="0" w:color="auto"/>
              </w:divBdr>
            </w:div>
          </w:divsChild>
        </w:div>
        <w:div w:id="1169757545">
          <w:marLeft w:val="0"/>
          <w:marRight w:val="0"/>
          <w:marTop w:val="0"/>
          <w:marBottom w:val="0"/>
          <w:divBdr>
            <w:top w:val="none" w:sz="0" w:space="0" w:color="auto"/>
            <w:left w:val="none" w:sz="0" w:space="0" w:color="auto"/>
            <w:bottom w:val="none" w:sz="0" w:space="0" w:color="auto"/>
            <w:right w:val="none" w:sz="0" w:space="0" w:color="auto"/>
          </w:divBdr>
          <w:divsChild>
            <w:div w:id="701784022">
              <w:marLeft w:val="0"/>
              <w:marRight w:val="0"/>
              <w:marTop w:val="0"/>
              <w:marBottom w:val="0"/>
              <w:divBdr>
                <w:top w:val="none" w:sz="0" w:space="0" w:color="auto"/>
                <w:left w:val="none" w:sz="0" w:space="0" w:color="auto"/>
                <w:bottom w:val="none" w:sz="0" w:space="0" w:color="auto"/>
                <w:right w:val="none" w:sz="0" w:space="0" w:color="auto"/>
              </w:divBdr>
              <w:divsChild>
                <w:div w:id="459498680">
                  <w:marLeft w:val="0"/>
                  <w:marRight w:val="0"/>
                  <w:marTop w:val="0"/>
                  <w:marBottom w:val="0"/>
                  <w:divBdr>
                    <w:top w:val="none" w:sz="0" w:space="0" w:color="auto"/>
                    <w:left w:val="none" w:sz="0" w:space="0" w:color="auto"/>
                    <w:bottom w:val="none" w:sz="0" w:space="0" w:color="auto"/>
                    <w:right w:val="none" w:sz="0" w:space="0" w:color="auto"/>
                  </w:divBdr>
                  <w:divsChild>
                    <w:div w:id="318653616">
                      <w:marLeft w:val="0"/>
                      <w:marRight w:val="0"/>
                      <w:marTop w:val="120"/>
                      <w:marBottom w:val="0"/>
                      <w:divBdr>
                        <w:top w:val="none" w:sz="0" w:space="0" w:color="auto"/>
                        <w:left w:val="none" w:sz="0" w:space="0" w:color="auto"/>
                        <w:bottom w:val="none" w:sz="0" w:space="0" w:color="auto"/>
                        <w:right w:val="none" w:sz="0" w:space="0" w:color="auto"/>
                      </w:divBdr>
                    </w:div>
                    <w:div w:id="692849445">
                      <w:marLeft w:val="0"/>
                      <w:marRight w:val="0"/>
                      <w:marTop w:val="0"/>
                      <w:marBottom w:val="0"/>
                      <w:divBdr>
                        <w:top w:val="none" w:sz="0" w:space="0" w:color="auto"/>
                        <w:left w:val="none" w:sz="0" w:space="0" w:color="auto"/>
                        <w:bottom w:val="none" w:sz="0" w:space="0" w:color="auto"/>
                        <w:right w:val="none" w:sz="0" w:space="0" w:color="auto"/>
                      </w:divBdr>
                    </w:div>
                  </w:divsChild>
                </w:div>
                <w:div w:id="590745422">
                  <w:marLeft w:val="0"/>
                  <w:marRight w:val="0"/>
                  <w:marTop w:val="0"/>
                  <w:marBottom w:val="0"/>
                  <w:divBdr>
                    <w:top w:val="none" w:sz="0" w:space="0" w:color="auto"/>
                    <w:left w:val="none" w:sz="0" w:space="0" w:color="auto"/>
                    <w:bottom w:val="none" w:sz="0" w:space="0" w:color="auto"/>
                    <w:right w:val="none" w:sz="0" w:space="0" w:color="auto"/>
                  </w:divBdr>
                  <w:divsChild>
                    <w:div w:id="23093758">
                      <w:marLeft w:val="0"/>
                      <w:marRight w:val="0"/>
                      <w:marTop w:val="120"/>
                      <w:marBottom w:val="0"/>
                      <w:divBdr>
                        <w:top w:val="none" w:sz="0" w:space="0" w:color="auto"/>
                        <w:left w:val="none" w:sz="0" w:space="0" w:color="auto"/>
                        <w:bottom w:val="none" w:sz="0" w:space="0" w:color="auto"/>
                        <w:right w:val="none" w:sz="0" w:space="0" w:color="auto"/>
                      </w:divBdr>
                    </w:div>
                    <w:div w:id="2057387033">
                      <w:marLeft w:val="0"/>
                      <w:marRight w:val="0"/>
                      <w:marTop w:val="0"/>
                      <w:marBottom w:val="0"/>
                      <w:divBdr>
                        <w:top w:val="none" w:sz="0" w:space="0" w:color="auto"/>
                        <w:left w:val="none" w:sz="0" w:space="0" w:color="auto"/>
                        <w:bottom w:val="none" w:sz="0" w:space="0" w:color="auto"/>
                        <w:right w:val="none" w:sz="0" w:space="0" w:color="auto"/>
                      </w:divBdr>
                    </w:div>
                  </w:divsChild>
                </w:div>
                <w:div w:id="838468579">
                  <w:marLeft w:val="0"/>
                  <w:marRight w:val="0"/>
                  <w:marTop w:val="0"/>
                  <w:marBottom w:val="0"/>
                  <w:divBdr>
                    <w:top w:val="none" w:sz="0" w:space="0" w:color="auto"/>
                    <w:left w:val="none" w:sz="0" w:space="0" w:color="auto"/>
                    <w:bottom w:val="none" w:sz="0" w:space="0" w:color="auto"/>
                    <w:right w:val="none" w:sz="0" w:space="0" w:color="auto"/>
                  </w:divBdr>
                  <w:divsChild>
                    <w:div w:id="1011417870">
                      <w:marLeft w:val="0"/>
                      <w:marRight w:val="0"/>
                      <w:marTop w:val="0"/>
                      <w:marBottom w:val="0"/>
                      <w:divBdr>
                        <w:top w:val="none" w:sz="0" w:space="0" w:color="auto"/>
                        <w:left w:val="none" w:sz="0" w:space="0" w:color="auto"/>
                        <w:bottom w:val="none" w:sz="0" w:space="0" w:color="auto"/>
                        <w:right w:val="none" w:sz="0" w:space="0" w:color="auto"/>
                      </w:divBdr>
                    </w:div>
                    <w:div w:id="1019624627">
                      <w:marLeft w:val="0"/>
                      <w:marRight w:val="0"/>
                      <w:marTop w:val="120"/>
                      <w:marBottom w:val="0"/>
                      <w:divBdr>
                        <w:top w:val="none" w:sz="0" w:space="0" w:color="auto"/>
                        <w:left w:val="none" w:sz="0" w:space="0" w:color="auto"/>
                        <w:bottom w:val="none" w:sz="0" w:space="0" w:color="auto"/>
                        <w:right w:val="none" w:sz="0" w:space="0" w:color="auto"/>
                      </w:divBdr>
                    </w:div>
                  </w:divsChild>
                </w:div>
                <w:div w:id="1751153900">
                  <w:marLeft w:val="0"/>
                  <w:marRight w:val="0"/>
                  <w:marTop w:val="0"/>
                  <w:marBottom w:val="0"/>
                  <w:divBdr>
                    <w:top w:val="none" w:sz="0" w:space="0" w:color="auto"/>
                    <w:left w:val="none" w:sz="0" w:space="0" w:color="auto"/>
                    <w:bottom w:val="none" w:sz="0" w:space="0" w:color="auto"/>
                    <w:right w:val="none" w:sz="0" w:space="0" w:color="auto"/>
                  </w:divBdr>
                  <w:divsChild>
                    <w:div w:id="726950105">
                      <w:marLeft w:val="0"/>
                      <w:marRight w:val="0"/>
                      <w:marTop w:val="120"/>
                      <w:marBottom w:val="0"/>
                      <w:divBdr>
                        <w:top w:val="none" w:sz="0" w:space="0" w:color="auto"/>
                        <w:left w:val="none" w:sz="0" w:space="0" w:color="auto"/>
                        <w:bottom w:val="none" w:sz="0" w:space="0" w:color="auto"/>
                        <w:right w:val="none" w:sz="0" w:space="0" w:color="auto"/>
                      </w:divBdr>
                    </w:div>
                    <w:div w:id="1274282467">
                      <w:marLeft w:val="0"/>
                      <w:marRight w:val="0"/>
                      <w:marTop w:val="0"/>
                      <w:marBottom w:val="0"/>
                      <w:divBdr>
                        <w:top w:val="none" w:sz="0" w:space="0" w:color="auto"/>
                        <w:left w:val="none" w:sz="0" w:space="0" w:color="auto"/>
                        <w:bottom w:val="none" w:sz="0" w:space="0" w:color="auto"/>
                        <w:right w:val="none" w:sz="0" w:space="0" w:color="auto"/>
                      </w:divBdr>
                      <w:divsChild>
                        <w:div w:id="128591003">
                          <w:marLeft w:val="0"/>
                          <w:marRight w:val="0"/>
                          <w:marTop w:val="0"/>
                          <w:marBottom w:val="0"/>
                          <w:divBdr>
                            <w:top w:val="none" w:sz="0" w:space="0" w:color="auto"/>
                            <w:left w:val="none" w:sz="0" w:space="0" w:color="auto"/>
                            <w:bottom w:val="none" w:sz="0" w:space="0" w:color="auto"/>
                            <w:right w:val="none" w:sz="0" w:space="0" w:color="auto"/>
                          </w:divBdr>
                          <w:divsChild>
                            <w:div w:id="223565977">
                              <w:marLeft w:val="0"/>
                              <w:marRight w:val="0"/>
                              <w:marTop w:val="0"/>
                              <w:marBottom w:val="0"/>
                              <w:divBdr>
                                <w:top w:val="none" w:sz="0" w:space="0" w:color="auto"/>
                                <w:left w:val="none" w:sz="0" w:space="0" w:color="auto"/>
                                <w:bottom w:val="none" w:sz="0" w:space="0" w:color="auto"/>
                                <w:right w:val="none" w:sz="0" w:space="0" w:color="auto"/>
                              </w:divBdr>
                            </w:div>
                            <w:div w:id="1618100105">
                              <w:marLeft w:val="0"/>
                              <w:marRight w:val="0"/>
                              <w:marTop w:val="120"/>
                              <w:marBottom w:val="0"/>
                              <w:divBdr>
                                <w:top w:val="none" w:sz="0" w:space="0" w:color="auto"/>
                                <w:left w:val="none" w:sz="0" w:space="0" w:color="auto"/>
                                <w:bottom w:val="none" w:sz="0" w:space="0" w:color="auto"/>
                                <w:right w:val="none" w:sz="0" w:space="0" w:color="auto"/>
                              </w:divBdr>
                            </w:div>
                          </w:divsChild>
                        </w:div>
                        <w:div w:id="526259178">
                          <w:marLeft w:val="0"/>
                          <w:marRight w:val="0"/>
                          <w:marTop w:val="0"/>
                          <w:marBottom w:val="0"/>
                          <w:divBdr>
                            <w:top w:val="none" w:sz="0" w:space="0" w:color="auto"/>
                            <w:left w:val="none" w:sz="0" w:space="0" w:color="auto"/>
                            <w:bottom w:val="none" w:sz="0" w:space="0" w:color="auto"/>
                            <w:right w:val="none" w:sz="0" w:space="0" w:color="auto"/>
                          </w:divBdr>
                          <w:divsChild>
                            <w:div w:id="1433279970">
                              <w:marLeft w:val="0"/>
                              <w:marRight w:val="0"/>
                              <w:marTop w:val="120"/>
                              <w:marBottom w:val="0"/>
                              <w:divBdr>
                                <w:top w:val="none" w:sz="0" w:space="0" w:color="auto"/>
                                <w:left w:val="none" w:sz="0" w:space="0" w:color="auto"/>
                                <w:bottom w:val="none" w:sz="0" w:space="0" w:color="auto"/>
                                <w:right w:val="none" w:sz="0" w:space="0" w:color="auto"/>
                              </w:divBdr>
                            </w:div>
                            <w:div w:id="1901748708">
                              <w:marLeft w:val="0"/>
                              <w:marRight w:val="0"/>
                              <w:marTop w:val="0"/>
                              <w:marBottom w:val="0"/>
                              <w:divBdr>
                                <w:top w:val="none" w:sz="0" w:space="0" w:color="auto"/>
                                <w:left w:val="none" w:sz="0" w:space="0" w:color="auto"/>
                                <w:bottom w:val="none" w:sz="0" w:space="0" w:color="auto"/>
                                <w:right w:val="none" w:sz="0" w:space="0" w:color="auto"/>
                              </w:divBdr>
                            </w:div>
                          </w:divsChild>
                        </w:div>
                        <w:div w:id="995186269">
                          <w:marLeft w:val="0"/>
                          <w:marRight w:val="0"/>
                          <w:marTop w:val="0"/>
                          <w:marBottom w:val="0"/>
                          <w:divBdr>
                            <w:top w:val="none" w:sz="0" w:space="0" w:color="auto"/>
                            <w:left w:val="none" w:sz="0" w:space="0" w:color="auto"/>
                            <w:bottom w:val="none" w:sz="0" w:space="0" w:color="auto"/>
                            <w:right w:val="none" w:sz="0" w:space="0" w:color="auto"/>
                          </w:divBdr>
                          <w:divsChild>
                            <w:div w:id="174274258">
                              <w:marLeft w:val="0"/>
                              <w:marRight w:val="0"/>
                              <w:marTop w:val="0"/>
                              <w:marBottom w:val="0"/>
                              <w:divBdr>
                                <w:top w:val="none" w:sz="0" w:space="0" w:color="auto"/>
                                <w:left w:val="none" w:sz="0" w:space="0" w:color="auto"/>
                                <w:bottom w:val="none" w:sz="0" w:space="0" w:color="auto"/>
                                <w:right w:val="none" w:sz="0" w:space="0" w:color="auto"/>
                              </w:divBdr>
                            </w:div>
                            <w:div w:id="287391672">
                              <w:marLeft w:val="0"/>
                              <w:marRight w:val="0"/>
                              <w:marTop w:val="120"/>
                              <w:marBottom w:val="0"/>
                              <w:divBdr>
                                <w:top w:val="none" w:sz="0" w:space="0" w:color="auto"/>
                                <w:left w:val="none" w:sz="0" w:space="0" w:color="auto"/>
                                <w:bottom w:val="none" w:sz="0" w:space="0" w:color="auto"/>
                                <w:right w:val="none" w:sz="0" w:space="0" w:color="auto"/>
                              </w:divBdr>
                            </w:div>
                          </w:divsChild>
                        </w:div>
                        <w:div w:id="1135023856">
                          <w:marLeft w:val="0"/>
                          <w:marRight w:val="0"/>
                          <w:marTop w:val="0"/>
                          <w:marBottom w:val="0"/>
                          <w:divBdr>
                            <w:top w:val="none" w:sz="0" w:space="0" w:color="auto"/>
                            <w:left w:val="none" w:sz="0" w:space="0" w:color="auto"/>
                            <w:bottom w:val="none" w:sz="0" w:space="0" w:color="auto"/>
                            <w:right w:val="none" w:sz="0" w:space="0" w:color="auto"/>
                          </w:divBdr>
                          <w:divsChild>
                            <w:div w:id="113133034">
                              <w:marLeft w:val="0"/>
                              <w:marRight w:val="0"/>
                              <w:marTop w:val="0"/>
                              <w:marBottom w:val="0"/>
                              <w:divBdr>
                                <w:top w:val="none" w:sz="0" w:space="0" w:color="auto"/>
                                <w:left w:val="none" w:sz="0" w:space="0" w:color="auto"/>
                                <w:bottom w:val="none" w:sz="0" w:space="0" w:color="auto"/>
                                <w:right w:val="none" w:sz="0" w:space="0" w:color="auto"/>
                              </w:divBdr>
                            </w:div>
                            <w:div w:id="2146777049">
                              <w:marLeft w:val="0"/>
                              <w:marRight w:val="0"/>
                              <w:marTop w:val="120"/>
                              <w:marBottom w:val="0"/>
                              <w:divBdr>
                                <w:top w:val="none" w:sz="0" w:space="0" w:color="auto"/>
                                <w:left w:val="none" w:sz="0" w:space="0" w:color="auto"/>
                                <w:bottom w:val="none" w:sz="0" w:space="0" w:color="auto"/>
                                <w:right w:val="none" w:sz="0" w:space="0" w:color="auto"/>
                              </w:divBdr>
                            </w:div>
                          </w:divsChild>
                        </w:div>
                        <w:div w:id="1281959465">
                          <w:marLeft w:val="0"/>
                          <w:marRight w:val="0"/>
                          <w:marTop w:val="0"/>
                          <w:marBottom w:val="0"/>
                          <w:divBdr>
                            <w:top w:val="none" w:sz="0" w:space="0" w:color="auto"/>
                            <w:left w:val="none" w:sz="0" w:space="0" w:color="auto"/>
                            <w:bottom w:val="none" w:sz="0" w:space="0" w:color="auto"/>
                            <w:right w:val="none" w:sz="0" w:space="0" w:color="auto"/>
                          </w:divBdr>
                          <w:divsChild>
                            <w:div w:id="82335171">
                              <w:marLeft w:val="0"/>
                              <w:marRight w:val="0"/>
                              <w:marTop w:val="120"/>
                              <w:marBottom w:val="0"/>
                              <w:divBdr>
                                <w:top w:val="none" w:sz="0" w:space="0" w:color="auto"/>
                                <w:left w:val="none" w:sz="0" w:space="0" w:color="auto"/>
                                <w:bottom w:val="none" w:sz="0" w:space="0" w:color="auto"/>
                                <w:right w:val="none" w:sz="0" w:space="0" w:color="auto"/>
                              </w:divBdr>
                            </w:div>
                            <w:div w:id="1288587621">
                              <w:marLeft w:val="0"/>
                              <w:marRight w:val="0"/>
                              <w:marTop w:val="0"/>
                              <w:marBottom w:val="0"/>
                              <w:divBdr>
                                <w:top w:val="none" w:sz="0" w:space="0" w:color="auto"/>
                                <w:left w:val="none" w:sz="0" w:space="0" w:color="auto"/>
                                <w:bottom w:val="none" w:sz="0" w:space="0" w:color="auto"/>
                                <w:right w:val="none" w:sz="0" w:space="0" w:color="auto"/>
                              </w:divBdr>
                            </w:div>
                          </w:divsChild>
                        </w:div>
                        <w:div w:id="1989242196">
                          <w:marLeft w:val="0"/>
                          <w:marRight w:val="0"/>
                          <w:marTop w:val="0"/>
                          <w:marBottom w:val="0"/>
                          <w:divBdr>
                            <w:top w:val="none" w:sz="0" w:space="0" w:color="auto"/>
                            <w:left w:val="none" w:sz="0" w:space="0" w:color="auto"/>
                            <w:bottom w:val="none" w:sz="0" w:space="0" w:color="auto"/>
                            <w:right w:val="none" w:sz="0" w:space="0" w:color="auto"/>
                          </w:divBdr>
                          <w:divsChild>
                            <w:div w:id="61148710">
                              <w:marLeft w:val="0"/>
                              <w:marRight w:val="0"/>
                              <w:marTop w:val="120"/>
                              <w:marBottom w:val="0"/>
                              <w:divBdr>
                                <w:top w:val="none" w:sz="0" w:space="0" w:color="auto"/>
                                <w:left w:val="none" w:sz="0" w:space="0" w:color="auto"/>
                                <w:bottom w:val="none" w:sz="0" w:space="0" w:color="auto"/>
                                <w:right w:val="none" w:sz="0" w:space="0" w:color="auto"/>
                              </w:divBdr>
                            </w:div>
                            <w:div w:id="13533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50977">
          <w:marLeft w:val="0"/>
          <w:marRight w:val="0"/>
          <w:marTop w:val="0"/>
          <w:marBottom w:val="0"/>
          <w:divBdr>
            <w:top w:val="none" w:sz="0" w:space="0" w:color="auto"/>
            <w:left w:val="none" w:sz="0" w:space="0" w:color="auto"/>
            <w:bottom w:val="none" w:sz="0" w:space="0" w:color="auto"/>
            <w:right w:val="none" w:sz="0" w:space="0" w:color="auto"/>
          </w:divBdr>
          <w:divsChild>
            <w:div w:id="4337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9622">
      <w:bodyDiv w:val="1"/>
      <w:marLeft w:val="0"/>
      <w:marRight w:val="0"/>
      <w:marTop w:val="0"/>
      <w:marBottom w:val="0"/>
      <w:divBdr>
        <w:top w:val="none" w:sz="0" w:space="0" w:color="auto"/>
        <w:left w:val="none" w:sz="0" w:space="0" w:color="auto"/>
        <w:bottom w:val="none" w:sz="0" w:space="0" w:color="auto"/>
        <w:right w:val="none" w:sz="0" w:space="0" w:color="auto"/>
      </w:divBdr>
    </w:div>
    <w:div w:id="1829785145">
      <w:bodyDiv w:val="1"/>
      <w:marLeft w:val="0"/>
      <w:marRight w:val="0"/>
      <w:marTop w:val="0"/>
      <w:marBottom w:val="0"/>
      <w:divBdr>
        <w:top w:val="none" w:sz="0" w:space="0" w:color="auto"/>
        <w:left w:val="none" w:sz="0" w:space="0" w:color="auto"/>
        <w:bottom w:val="none" w:sz="0" w:space="0" w:color="auto"/>
        <w:right w:val="none" w:sz="0" w:space="0" w:color="auto"/>
      </w:divBdr>
      <w:divsChild>
        <w:div w:id="79059877">
          <w:marLeft w:val="0"/>
          <w:marRight w:val="0"/>
          <w:marTop w:val="0"/>
          <w:marBottom w:val="0"/>
          <w:divBdr>
            <w:top w:val="none" w:sz="0" w:space="0" w:color="auto"/>
            <w:left w:val="none" w:sz="0" w:space="0" w:color="auto"/>
            <w:bottom w:val="none" w:sz="0" w:space="0" w:color="auto"/>
            <w:right w:val="none" w:sz="0" w:space="0" w:color="auto"/>
          </w:divBdr>
          <w:divsChild>
            <w:div w:id="982081138">
              <w:marLeft w:val="0"/>
              <w:marRight w:val="0"/>
              <w:marTop w:val="120"/>
              <w:marBottom w:val="0"/>
              <w:divBdr>
                <w:top w:val="none" w:sz="0" w:space="0" w:color="auto"/>
                <w:left w:val="none" w:sz="0" w:space="0" w:color="auto"/>
                <w:bottom w:val="none" w:sz="0" w:space="0" w:color="auto"/>
                <w:right w:val="none" w:sz="0" w:space="0" w:color="auto"/>
              </w:divBdr>
            </w:div>
            <w:div w:id="1642612771">
              <w:marLeft w:val="0"/>
              <w:marRight w:val="0"/>
              <w:marTop w:val="0"/>
              <w:marBottom w:val="0"/>
              <w:divBdr>
                <w:top w:val="none" w:sz="0" w:space="0" w:color="auto"/>
                <w:left w:val="none" w:sz="0" w:space="0" w:color="auto"/>
                <w:bottom w:val="none" w:sz="0" w:space="0" w:color="auto"/>
                <w:right w:val="none" w:sz="0" w:space="0" w:color="auto"/>
              </w:divBdr>
            </w:div>
          </w:divsChild>
        </w:div>
        <w:div w:id="1021007553">
          <w:marLeft w:val="0"/>
          <w:marRight w:val="0"/>
          <w:marTop w:val="0"/>
          <w:marBottom w:val="0"/>
          <w:divBdr>
            <w:top w:val="none" w:sz="0" w:space="0" w:color="auto"/>
            <w:left w:val="none" w:sz="0" w:space="0" w:color="auto"/>
            <w:bottom w:val="none" w:sz="0" w:space="0" w:color="auto"/>
            <w:right w:val="none" w:sz="0" w:space="0" w:color="auto"/>
          </w:divBdr>
          <w:divsChild>
            <w:div w:id="83456827">
              <w:marLeft w:val="0"/>
              <w:marRight w:val="0"/>
              <w:marTop w:val="0"/>
              <w:marBottom w:val="0"/>
              <w:divBdr>
                <w:top w:val="none" w:sz="0" w:space="0" w:color="auto"/>
                <w:left w:val="none" w:sz="0" w:space="0" w:color="auto"/>
                <w:bottom w:val="none" w:sz="0" w:space="0" w:color="auto"/>
                <w:right w:val="none" w:sz="0" w:space="0" w:color="auto"/>
              </w:divBdr>
            </w:div>
            <w:div w:id="292830706">
              <w:marLeft w:val="0"/>
              <w:marRight w:val="0"/>
              <w:marTop w:val="120"/>
              <w:marBottom w:val="0"/>
              <w:divBdr>
                <w:top w:val="none" w:sz="0" w:space="0" w:color="auto"/>
                <w:left w:val="none" w:sz="0" w:space="0" w:color="auto"/>
                <w:bottom w:val="none" w:sz="0" w:space="0" w:color="auto"/>
                <w:right w:val="none" w:sz="0" w:space="0" w:color="auto"/>
              </w:divBdr>
            </w:div>
          </w:divsChild>
        </w:div>
        <w:div w:id="1834954301">
          <w:marLeft w:val="0"/>
          <w:marRight w:val="0"/>
          <w:marTop w:val="0"/>
          <w:marBottom w:val="0"/>
          <w:divBdr>
            <w:top w:val="none" w:sz="0" w:space="0" w:color="auto"/>
            <w:left w:val="none" w:sz="0" w:space="0" w:color="auto"/>
            <w:bottom w:val="none" w:sz="0" w:space="0" w:color="auto"/>
            <w:right w:val="none" w:sz="0" w:space="0" w:color="auto"/>
          </w:divBdr>
          <w:divsChild>
            <w:div w:id="1937784886">
              <w:marLeft w:val="0"/>
              <w:marRight w:val="0"/>
              <w:marTop w:val="0"/>
              <w:marBottom w:val="0"/>
              <w:divBdr>
                <w:top w:val="none" w:sz="0" w:space="0" w:color="auto"/>
                <w:left w:val="none" w:sz="0" w:space="0" w:color="auto"/>
                <w:bottom w:val="none" w:sz="0" w:space="0" w:color="auto"/>
                <w:right w:val="none" w:sz="0" w:space="0" w:color="auto"/>
              </w:divBdr>
            </w:div>
            <w:div w:id="202887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6609524">
      <w:bodyDiv w:val="1"/>
      <w:marLeft w:val="0"/>
      <w:marRight w:val="0"/>
      <w:marTop w:val="0"/>
      <w:marBottom w:val="0"/>
      <w:divBdr>
        <w:top w:val="none" w:sz="0" w:space="0" w:color="auto"/>
        <w:left w:val="none" w:sz="0" w:space="0" w:color="auto"/>
        <w:bottom w:val="none" w:sz="0" w:space="0" w:color="auto"/>
        <w:right w:val="none" w:sz="0" w:space="0" w:color="auto"/>
      </w:divBdr>
    </w:div>
    <w:div w:id="1845709254">
      <w:bodyDiv w:val="1"/>
      <w:marLeft w:val="0"/>
      <w:marRight w:val="0"/>
      <w:marTop w:val="0"/>
      <w:marBottom w:val="0"/>
      <w:divBdr>
        <w:top w:val="none" w:sz="0" w:space="0" w:color="auto"/>
        <w:left w:val="none" w:sz="0" w:space="0" w:color="auto"/>
        <w:bottom w:val="none" w:sz="0" w:space="0" w:color="auto"/>
        <w:right w:val="none" w:sz="0" w:space="0" w:color="auto"/>
      </w:divBdr>
    </w:div>
    <w:div w:id="1848250035">
      <w:bodyDiv w:val="1"/>
      <w:marLeft w:val="0"/>
      <w:marRight w:val="0"/>
      <w:marTop w:val="0"/>
      <w:marBottom w:val="0"/>
      <w:divBdr>
        <w:top w:val="none" w:sz="0" w:space="0" w:color="auto"/>
        <w:left w:val="none" w:sz="0" w:space="0" w:color="auto"/>
        <w:bottom w:val="none" w:sz="0" w:space="0" w:color="auto"/>
        <w:right w:val="none" w:sz="0" w:space="0" w:color="auto"/>
      </w:divBdr>
      <w:divsChild>
        <w:div w:id="1942057692">
          <w:marLeft w:val="0"/>
          <w:marRight w:val="0"/>
          <w:marTop w:val="120"/>
          <w:marBottom w:val="0"/>
          <w:divBdr>
            <w:top w:val="none" w:sz="0" w:space="0" w:color="auto"/>
            <w:left w:val="none" w:sz="0" w:space="0" w:color="auto"/>
            <w:bottom w:val="none" w:sz="0" w:space="0" w:color="auto"/>
            <w:right w:val="none" w:sz="0" w:space="0" w:color="auto"/>
          </w:divBdr>
        </w:div>
        <w:div w:id="2036151813">
          <w:marLeft w:val="0"/>
          <w:marRight w:val="0"/>
          <w:marTop w:val="0"/>
          <w:marBottom w:val="0"/>
          <w:divBdr>
            <w:top w:val="none" w:sz="0" w:space="0" w:color="auto"/>
            <w:left w:val="none" w:sz="0" w:space="0" w:color="auto"/>
            <w:bottom w:val="none" w:sz="0" w:space="0" w:color="auto"/>
            <w:right w:val="none" w:sz="0" w:space="0" w:color="auto"/>
          </w:divBdr>
          <w:divsChild>
            <w:div w:id="70393985">
              <w:marLeft w:val="0"/>
              <w:marRight w:val="0"/>
              <w:marTop w:val="0"/>
              <w:marBottom w:val="0"/>
              <w:divBdr>
                <w:top w:val="none" w:sz="0" w:space="0" w:color="auto"/>
                <w:left w:val="none" w:sz="0" w:space="0" w:color="auto"/>
                <w:bottom w:val="none" w:sz="0" w:space="0" w:color="auto"/>
                <w:right w:val="none" w:sz="0" w:space="0" w:color="auto"/>
              </w:divBdr>
              <w:divsChild>
                <w:div w:id="953243852">
                  <w:marLeft w:val="0"/>
                  <w:marRight w:val="0"/>
                  <w:marTop w:val="120"/>
                  <w:marBottom w:val="0"/>
                  <w:divBdr>
                    <w:top w:val="none" w:sz="0" w:space="0" w:color="auto"/>
                    <w:left w:val="none" w:sz="0" w:space="0" w:color="auto"/>
                    <w:bottom w:val="none" w:sz="0" w:space="0" w:color="auto"/>
                    <w:right w:val="none" w:sz="0" w:space="0" w:color="auto"/>
                  </w:divBdr>
                </w:div>
                <w:div w:id="1054890240">
                  <w:marLeft w:val="0"/>
                  <w:marRight w:val="0"/>
                  <w:marTop w:val="0"/>
                  <w:marBottom w:val="0"/>
                  <w:divBdr>
                    <w:top w:val="none" w:sz="0" w:space="0" w:color="auto"/>
                    <w:left w:val="none" w:sz="0" w:space="0" w:color="auto"/>
                    <w:bottom w:val="none" w:sz="0" w:space="0" w:color="auto"/>
                    <w:right w:val="none" w:sz="0" w:space="0" w:color="auto"/>
                  </w:divBdr>
                </w:div>
              </w:divsChild>
            </w:div>
            <w:div w:id="811412084">
              <w:marLeft w:val="0"/>
              <w:marRight w:val="0"/>
              <w:marTop w:val="0"/>
              <w:marBottom w:val="0"/>
              <w:divBdr>
                <w:top w:val="none" w:sz="0" w:space="0" w:color="auto"/>
                <w:left w:val="none" w:sz="0" w:space="0" w:color="auto"/>
                <w:bottom w:val="none" w:sz="0" w:space="0" w:color="auto"/>
                <w:right w:val="none" w:sz="0" w:space="0" w:color="auto"/>
              </w:divBdr>
              <w:divsChild>
                <w:div w:id="20785041">
                  <w:marLeft w:val="0"/>
                  <w:marRight w:val="0"/>
                  <w:marTop w:val="120"/>
                  <w:marBottom w:val="0"/>
                  <w:divBdr>
                    <w:top w:val="none" w:sz="0" w:space="0" w:color="auto"/>
                    <w:left w:val="none" w:sz="0" w:space="0" w:color="auto"/>
                    <w:bottom w:val="none" w:sz="0" w:space="0" w:color="auto"/>
                    <w:right w:val="none" w:sz="0" w:space="0" w:color="auto"/>
                  </w:divBdr>
                </w:div>
                <w:div w:id="1719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06491">
      <w:bodyDiv w:val="1"/>
      <w:marLeft w:val="0"/>
      <w:marRight w:val="0"/>
      <w:marTop w:val="0"/>
      <w:marBottom w:val="0"/>
      <w:divBdr>
        <w:top w:val="none" w:sz="0" w:space="0" w:color="auto"/>
        <w:left w:val="none" w:sz="0" w:space="0" w:color="auto"/>
        <w:bottom w:val="none" w:sz="0" w:space="0" w:color="auto"/>
        <w:right w:val="none" w:sz="0" w:space="0" w:color="auto"/>
      </w:divBdr>
      <w:divsChild>
        <w:div w:id="884948182">
          <w:marLeft w:val="0"/>
          <w:marRight w:val="0"/>
          <w:marTop w:val="0"/>
          <w:marBottom w:val="0"/>
          <w:divBdr>
            <w:top w:val="none" w:sz="0" w:space="0" w:color="auto"/>
            <w:left w:val="none" w:sz="0" w:space="0" w:color="auto"/>
            <w:bottom w:val="none" w:sz="0" w:space="0" w:color="auto"/>
            <w:right w:val="none" w:sz="0" w:space="0" w:color="auto"/>
          </w:divBdr>
        </w:div>
      </w:divsChild>
    </w:div>
    <w:div w:id="1861819460">
      <w:bodyDiv w:val="1"/>
      <w:marLeft w:val="0"/>
      <w:marRight w:val="0"/>
      <w:marTop w:val="0"/>
      <w:marBottom w:val="0"/>
      <w:divBdr>
        <w:top w:val="none" w:sz="0" w:space="0" w:color="auto"/>
        <w:left w:val="none" w:sz="0" w:space="0" w:color="auto"/>
        <w:bottom w:val="none" w:sz="0" w:space="0" w:color="auto"/>
        <w:right w:val="none" w:sz="0" w:space="0" w:color="auto"/>
      </w:divBdr>
    </w:div>
    <w:div w:id="1872301091">
      <w:bodyDiv w:val="1"/>
      <w:marLeft w:val="0"/>
      <w:marRight w:val="0"/>
      <w:marTop w:val="0"/>
      <w:marBottom w:val="0"/>
      <w:divBdr>
        <w:top w:val="none" w:sz="0" w:space="0" w:color="auto"/>
        <w:left w:val="none" w:sz="0" w:space="0" w:color="auto"/>
        <w:bottom w:val="none" w:sz="0" w:space="0" w:color="auto"/>
        <w:right w:val="none" w:sz="0" w:space="0" w:color="auto"/>
      </w:divBdr>
      <w:divsChild>
        <w:div w:id="430206173">
          <w:marLeft w:val="0"/>
          <w:marRight w:val="0"/>
          <w:marTop w:val="0"/>
          <w:marBottom w:val="0"/>
          <w:divBdr>
            <w:top w:val="none" w:sz="0" w:space="0" w:color="auto"/>
            <w:left w:val="none" w:sz="0" w:space="0" w:color="auto"/>
            <w:bottom w:val="none" w:sz="0" w:space="0" w:color="auto"/>
            <w:right w:val="none" w:sz="0" w:space="0" w:color="auto"/>
          </w:divBdr>
        </w:div>
      </w:divsChild>
    </w:div>
    <w:div w:id="1874613821">
      <w:bodyDiv w:val="1"/>
      <w:marLeft w:val="0"/>
      <w:marRight w:val="0"/>
      <w:marTop w:val="0"/>
      <w:marBottom w:val="0"/>
      <w:divBdr>
        <w:top w:val="none" w:sz="0" w:space="0" w:color="auto"/>
        <w:left w:val="none" w:sz="0" w:space="0" w:color="auto"/>
        <w:bottom w:val="none" w:sz="0" w:space="0" w:color="auto"/>
        <w:right w:val="none" w:sz="0" w:space="0" w:color="auto"/>
      </w:divBdr>
    </w:div>
    <w:div w:id="1874880916">
      <w:bodyDiv w:val="1"/>
      <w:marLeft w:val="0"/>
      <w:marRight w:val="0"/>
      <w:marTop w:val="0"/>
      <w:marBottom w:val="0"/>
      <w:divBdr>
        <w:top w:val="none" w:sz="0" w:space="0" w:color="auto"/>
        <w:left w:val="none" w:sz="0" w:space="0" w:color="auto"/>
        <w:bottom w:val="none" w:sz="0" w:space="0" w:color="auto"/>
        <w:right w:val="none" w:sz="0" w:space="0" w:color="auto"/>
      </w:divBdr>
      <w:divsChild>
        <w:div w:id="640501606">
          <w:marLeft w:val="0"/>
          <w:marRight w:val="0"/>
          <w:marTop w:val="0"/>
          <w:marBottom w:val="0"/>
          <w:divBdr>
            <w:top w:val="none" w:sz="0" w:space="0" w:color="auto"/>
            <w:left w:val="none" w:sz="0" w:space="0" w:color="auto"/>
            <w:bottom w:val="none" w:sz="0" w:space="0" w:color="auto"/>
            <w:right w:val="none" w:sz="0" w:space="0" w:color="auto"/>
          </w:divBdr>
          <w:divsChild>
            <w:div w:id="519128890">
              <w:marLeft w:val="0"/>
              <w:marRight w:val="0"/>
              <w:marTop w:val="0"/>
              <w:marBottom w:val="0"/>
              <w:divBdr>
                <w:top w:val="none" w:sz="0" w:space="0" w:color="auto"/>
                <w:left w:val="none" w:sz="0" w:space="0" w:color="auto"/>
                <w:bottom w:val="none" w:sz="0" w:space="0" w:color="auto"/>
                <w:right w:val="none" w:sz="0" w:space="0" w:color="auto"/>
              </w:divBdr>
              <w:divsChild>
                <w:div w:id="324239280">
                  <w:marLeft w:val="0"/>
                  <w:marRight w:val="0"/>
                  <w:marTop w:val="0"/>
                  <w:marBottom w:val="0"/>
                  <w:divBdr>
                    <w:top w:val="none" w:sz="0" w:space="0" w:color="auto"/>
                    <w:left w:val="none" w:sz="0" w:space="0" w:color="auto"/>
                    <w:bottom w:val="none" w:sz="0" w:space="0" w:color="auto"/>
                    <w:right w:val="none" w:sz="0" w:space="0" w:color="auto"/>
                  </w:divBdr>
                  <w:divsChild>
                    <w:div w:id="20910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8905">
          <w:marLeft w:val="0"/>
          <w:marRight w:val="0"/>
          <w:marTop w:val="0"/>
          <w:marBottom w:val="0"/>
          <w:divBdr>
            <w:top w:val="none" w:sz="0" w:space="0" w:color="auto"/>
            <w:left w:val="none" w:sz="0" w:space="0" w:color="auto"/>
            <w:bottom w:val="none" w:sz="0" w:space="0" w:color="auto"/>
            <w:right w:val="none" w:sz="0" w:space="0" w:color="auto"/>
          </w:divBdr>
          <w:divsChild>
            <w:div w:id="8302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319">
      <w:bodyDiv w:val="1"/>
      <w:marLeft w:val="0"/>
      <w:marRight w:val="0"/>
      <w:marTop w:val="0"/>
      <w:marBottom w:val="0"/>
      <w:divBdr>
        <w:top w:val="none" w:sz="0" w:space="0" w:color="auto"/>
        <w:left w:val="none" w:sz="0" w:space="0" w:color="auto"/>
        <w:bottom w:val="none" w:sz="0" w:space="0" w:color="auto"/>
        <w:right w:val="none" w:sz="0" w:space="0" w:color="auto"/>
      </w:divBdr>
      <w:divsChild>
        <w:div w:id="315183809">
          <w:marLeft w:val="0"/>
          <w:marRight w:val="0"/>
          <w:marTop w:val="0"/>
          <w:marBottom w:val="0"/>
          <w:divBdr>
            <w:top w:val="none" w:sz="0" w:space="0" w:color="auto"/>
            <w:left w:val="none" w:sz="0" w:space="0" w:color="auto"/>
            <w:bottom w:val="none" w:sz="0" w:space="0" w:color="auto"/>
            <w:right w:val="none" w:sz="0" w:space="0" w:color="auto"/>
          </w:divBdr>
          <w:divsChild>
            <w:div w:id="158926081">
              <w:marLeft w:val="0"/>
              <w:marRight w:val="0"/>
              <w:marTop w:val="0"/>
              <w:marBottom w:val="0"/>
              <w:divBdr>
                <w:top w:val="none" w:sz="0" w:space="0" w:color="auto"/>
                <w:left w:val="none" w:sz="0" w:space="0" w:color="auto"/>
                <w:bottom w:val="none" w:sz="0" w:space="0" w:color="auto"/>
                <w:right w:val="none" w:sz="0" w:space="0" w:color="auto"/>
              </w:divBdr>
            </w:div>
          </w:divsChild>
        </w:div>
        <w:div w:id="753556193">
          <w:marLeft w:val="0"/>
          <w:marRight w:val="0"/>
          <w:marTop w:val="0"/>
          <w:marBottom w:val="0"/>
          <w:divBdr>
            <w:top w:val="none" w:sz="0" w:space="0" w:color="auto"/>
            <w:left w:val="none" w:sz="0" w:space="0" w:color="auto"/>
            <w:bottom w:val="none" w:sz="0" w:space="0" w:color="auto"/>
            <w:right w:val="none" w:sz="0" w:space="0" w:color="auto"/>
          </w:divBdr>
          <w:divsChild>
            <w:div w:id="1909992876">
              <w:marLeft w:val="0"/>
              <w:marRight w:val="0"/>
              <w:marTop w:val="0"/>
              <w:marBottom w:val="0"/>
              <w:divBdr>
                <w:top w:val="none" w:sz="0" w:space="0" w:color="auto"/>
                <w:left w:val="none" w:sz="0" w:space="0" w:color="auto"/>
                <w:bottom w:val="none" w:sz="0" w:space="0" w:color="auto"/>
                <w:right w:val="none" w:sz="0" w:space="0" w:color="auto"/>
              </w:divBdr>
              <w:divsChild>
                <w:div w:id="1069109538">
                  <w:marLeft w:val="0"/>
                  <w:marRight w:val="0"/>
                  <w:marTop w:val="0"/>
                  <w:marBottom w:val="0"/>
                  <w:divBdr>
                    <w:top w:val="none" w:sz="0" w:space="0" w:color="auto"/>
                    <w:left w:val="none" w:sz="0" w:space="0" w:color="auto"/>
                    <w:bottom w:val="none" w:sz="0" w:space="0" w:color="auto"/>
                    <w:right w:val="none" w:sz="0" w:space="0" w:color="auto"/>
                  </w:divBdr>
                  <w:divsChild>
                    <w:div w:id="1250197049">
                      <w:marLeft w:val="0"/>
                      <w:marRight w:val="0"/>
                      <w:marTop w:val="120"/>
                      <w:marBottom w:val="0"/>
                      <w:divBdr>
                        <w:top w:val="none" w:sz="0" w:space="0" w:color="auto"/>
                        <w:left w:val="none" w:sz="0" w:space="0" w:color="auto"/>
                        <w:bottom w:val="none" w:sz="0" w:space="0" w:color="auto"/>
                        <w:right w:val="none" w:sz="0" w:space="0" w:color="auto"/>
                      </w:divBdr>
                    </w:div>
                    <w:div w:id="1859002045">
                      <w:marLeft w:val="0"/>
                      <w:marRight w:val="0"/>
                      <w:marTop w:val="0"/>
                      <w:marBottom w:val="0"/>
                      <w:divBdr>
                        <w:top w:val="none" w:sz="0" w:space="0" w:color="auto"/>
                        <w:left w:val="none" w:sz="0" w:space="0" w:color="auto"/>
                        <w:bottom w:val="none" w:sz="0" w:space="0" w:color="auto"/>
                        <w:right w:val="none" w:sz="0" w:space="0" w:color="auto"/>
                      </w:divBdr>
                    </w:div>
                  </w:divsChild>
                </w:div>
                <w:div w:id="1187475993">
                  <w:marLeft w:val="0"/>
                  <w:marRight w:val="0"/>
                  <w:marTop w:val="0"/>
                  <w:marBottom w:val="0"/>
                  <w:divBdr>
                    <w:top w:val="none" w:sz="0" w:space="0" w:color="auto"/>
                    <w:left w:val="none" w:sz="0" w:space="0" w:color="auto"/>
                    <w:bottom w:val="none" w:sz="0" w:space="0" w:color="auto"/>
                    <w:right w:val="none" w:sz="0" w:space="0" w:color="auto"/>
                  </w:divBdr>
                  <w:divsChild>
                    <w:div w:id="247884062">
                      <w:marLeft w:val="0"/>
                      <w:marRight w:val="0"/>
                      <w:marTop w:val="0"/>
                      <w:marBottom w:val="0"/>
                      <w:divBdr>
                        <w:top w:val="none" w:sz="0" w:space="0" w:color="auto"/>
                        <w:left w:val="none" w:sz="0" w:space="0" w:color="auto"/>
                        <w:bottom w:val="none" w:sz="0" w:space="0" w:color="auto"/>
                        <w:right w:val="none" w:sz="0" w:space="0" w:color="auto"/>
                      </w:divBdr>
                    </w:div>
                    <w:div w:id="975719073">
                      <w:marLeft w:val="0"/>
                      <w:marRight w:val="0"/>
                      <w:marTop w:val="120"/>
                      <w:marBottom w:val="0"/>
                      <w:divBdr>
                        <w:top w:val="none" w:sz="0" w:space="0" w:color="auto"/>
                        <w:left w:val="none" w:sz="0" w:space="0" w:color="auto"/>
                        <w:bottom w:val="none" w:sz="0" w:space="0" w:color="auto"/>
                        <w:right w:val="none" w:sz="0" w:space="0" w:color="auto"/>
                      </w:divBdr>
                    </w:div>
                  </w:divsChild>
                </w:div>
                <w:div w:id="1422946672">
                  <w:marLeft w:val="0"/>
                  <w:marRight w:val="0"/>
                  <w:marTop w:val="0"/>
                  <w:marBottom w:val="0"/>
                  <w:divBdr>
                    <w:top w:val="none" w:sz="0" w:space="0" w:color="auto"/>
                    <w:left w:val="none" w:sz="0" w:space="0" w:color="auto"/>
                    <w:bottom w:val="none" w:sz="0" w:space="0" w:color="auto"/>
                    <w:right w:val="none" w:sz="0" w:space="0" w:color="auto"/>
                  </w:divBdr>
                  <w:divsChild>
                    <w:div w:id="348870337">
                      <w:marLeft w:val="0"/>
                      <w:marRight w:val="0"/>
                      <w:marTop w:val="0"/>
                      <w:marBottom w:val="0"/>
                      <w:divBdr>
                        <w:top w:val="none" w:sz="0" w:space="0" w:color="auto"/>
                        <w:left w:val="none" w:sz="0" w:space="0" w:color="auto"/>
                        <w:bottom w:val="none" w:sz="0" w:space="0" w:color="auto"/>
                        <w:right w:val="none" w:sz="0" w:space="0" w:color="auto"/>
                      </w:divBdr>
                    </w:div>
                    <w:div w:id="940458756">
                      <w:marLeft w:val="0"/>
                      <w:marRight w:val="0"/>
                      <w:marTop w:val="120"/>
                      <w:marBottom w:val="0"/>
                      <w:divBdr>
                        <w:top w:val="none" w:sz="0" w:space="0" w:color="auto"/>
                        <w:left w:val="none" w:sz="0" w:space="0" w:color="auto"/>
                        <w:bottom w:val="none" w:sz="0" w:space="0" w:color="auto"/>
                        <w:right w:val="none" w:sz="0" w:space="0" w:color="auto"/>
                      </w:divBdr>
                    </w:div>
                  </w:divsChild>
                </w:div>
                <w:div w:id="1956062619">
                  <w:marLeft w:val="0"/>
                  <w:marRight w:val="0"/>
                  <w:marTop w:val="0"/>
                  <w:marBottom w:val="0"/>
                  <w:divBdr>
                    <w:top w:val="none" w:sz="0" w:space="0" w:color="auto"/>
                    <w:left w:val="none" w:sz="0" w:space="0" w:color="auto"/>
                    <w:bottom w:val="none" w:sz="0" w:space="0" w:color="auto"/>
                    <w:right w:val="none" w:sz="0" w:space="0" w:color="auto"/>
                  </w:divBdr>
                  <w:divsChild>
                    <w:div w:id="75132655">
                      <w:marLeft w:val="0"/>
                      <w:marRight w:val="0"/>
                      <w:marTop w:val="0"/>
                      <w:marBottom w:val="0"/>
                      <w:divBdr>
                        <w:top w:val="none" w:sz="0" w:space="0" w:color="auto"/>
                        <w:left w:val="none" w:sz="0" w:space="0" w:color="auto"/>
                        <w:bottom w:val="none" w:sz="0" w:space="0" w:color="auto"/>
                        <w:right w:val="none" w:sz="0" w:space="0" w:color="auto"/>
                      </w:divBdr>
                    </w:div>
                    <w:div w:id="1348674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0355274">
          <w:marLeft w:val="0"/>
          <w:marRight w:val="0"/>
          <w:marTop w:val="0"/>
          <w:marBottom w:val="0"/>
          <w:divBdr>
            <w:top w:val="none" w:sz="0" w:space="0" w:color="auto"/>
            <w:left w:val="none" w:sz="0" w:space="0" w:color="auto"/>
            <w:bottom w:val="none" w:sz="0" w:space="0" w:color="auto"/>
            <w:right w:val="none" w:sz="0" w:space="0" w:color="auto"/>
          </w:divBdr>
          <w:divsChild>
            <w:div w:id="1189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4282">
      <w:bodyDiv w:val="1"/>
      <w:marLeft w:val="0"/>
      <w:marRight w:val="0"/>
      <w:marTop w:val="0"/>
      <w:marBottom w:val="0"/>
      <w:divBdr>
        <w:top w:val="none" w:sz="0" w:space="0" w:color="auto"/>
        <w:left w:val="none" w:sz="0" w:space="0" w:color="auto"/>
        <w:bottom w:val="none" w:sz="0" w:space="0" w:color="auto"/>
        <w:right w:val="none" w:sz="0" w:space="0" w:color="auto"/>
      </w:divBdr>
      <w:divsChild>
        <w:div w:id="837035944">
          <w:marLeft w:val="0"/>
          <w:marRight w:val="0"/>
          <w:marTop w:val="0"/>
          <w:marBottom w:val="0"/>
          <w:divBdr>
            <w:top w:val="none" w:sz="0" w:space="0" w:color="auto"/>
            <w:left w:val="none" w:sz="0" w:space="0" w:color="auto"/>
            <w:bottom w:val="none" w:sz="0" w:space="0" w:color="auto"/>
            <w:right w:val="none" w:sz="0" w:space="0" w:color="auto"/>
          </w:divBdr>
        </w:div>
        <w:div w:id="838810469">
          <w:marLeft w:val="0"/>
          <w:marRight w:val="0"/>
          <w:marTop w:val="120"/>
          <w:marBottom w:val="0"/>
          <w:divBdr>
            <w:top w:val="none" w:sz="0" w:space="0" w:color="auto"/>
            <w:left w:val="none" w:sz="0" w:space="0" w:color="auto"/>
            <w:bottom w:val="none" w:sz="0" w:space="0" w:color="auto"/>
            <w:right w:val="none" w:sz="0" w:space="0" w:color="auto"/>
          </w:divBdr>
        </w:div>
      </w:divsChild>
    </w:div>
    <w:div w:id="1896113870">
      <w:bodyDiv w:val="1"/>
      <w:marLeft w:val="0"/>
      <w:marRight w:val="0"/>
      <w:marTop w:val="0"/>
      <w:marBottom w:val="0"/>
      <w:divBdr>
        <w:top w:val="none" w:sz="0" w:space="0" w:color="auto"/>
        <w:left w:val="none" w:sz="0" w:space="0" w:color="auto"/>
        <w:bottom w:val="none" w:sz="0" w:space="0" w:color="auto"/>
        <w:right w:val="none" w:sz="0" w:space="0" w:color="auto"/>
      </w:divBdr>
    </w:div>
    <w:div w:id="1897931315">
      <w:bodyDiv w:val="1"/>
      <w:marLeft w:val="0"/>
      <w:marRight w:val="0"/>
      <w:marTop w:val="0"/>
      <w:marBottom w:val="0"/>
      <w:divBdr>
        <w:top w:val="none" w:sz="0" w:space="0" w:color="auto"/>
        <w:left w:val="none" w:sz="0" w:space="0" w:color="auto"/>
        <w:bottom w:val="none" w:sz="0" w:space="0" w:color="auto"/>
        <w:right w:val="none" w:sz="0" w:space="0" w:color="auto"/>
      </w:divBdr>
      <w:divsChild>
        <w:div w:id="531577644">
          <w:marLeft w:val="0"/>
          <w:marRight w:val="0"/>
          <w:marTop w:val="120"/>
          <w:marBottom w:val="0"/>
          <w:divBdr>
            <w:top w:val="none" w:sz="0" w:space="0" w:color="auto"/>
            <w:left w:val="none" w:sz="0" w:space="0" w:color="auto"/>
            <w:bottom w:val="none" w:sz="0" w:space="0" w:color="auto"/>
            <w:right w:val="none" w:sz="0" w:space="0" w:color="auto"/>
          </w:divBdr>
        </w:div>
        <w:div w:id="907688705">
          <w:marLeft w:val="0"/>
          <w:marRight w:val="0"/>
          <w:marTop w:val="120"/>
          <w:marBottom w:val="0"/>
          <w:divBdr>
            <w:top w:val="none" w:sz="0" w:space="0" w:color="auto"/>
            <w:left w:val="none" w:sz="0" w:space="0" w:color="auto"/>
            <w:bottom w:val="none" w:sz="0" w:space="0" w:color="auto"/>
            <w:right w:val="none" w:sz="0" w:space="0" w:color="auto"/>
          </w:divBdr>
        </w:div>
        <w:div w:id="2082018759">
          <w:marLeft w:val="0"/>
          <w:marRight w:val="0"/>
          <w:marTop w:val="120"/>
          <w:marBottom w:val="0"/>
          <w:divBdr>
            <w:top w:val="none" w:sz="0" w:space="0" w:color="auto"/>
            <w:left w:val="none" w:sz="0" w:space="0" w:color="auto"/>
            <w:bottom w:val="none" w:sz="0" w:space="0" w:color="auto"/>
            <w:right w:val="none" w:sz="0" w:space="0" w:color="auto"/>
          </w:divBdr>
        </w:div>
      </w:divsChild>
    </w:div>
    <w:div w:id="1915046126">
      <w:bodyDiv w:val="1"/>
      <w:marLeft w:val="0"/>
      <w:marRight w:val="0"/>
      <w:marTop w:val="0"/>
      <w:marBottom w:val="0"/>
      <w:divBdr>
        <w:top w:val="none" w:sz="0" w:space="0" w:color="auto"/>
        <w:left w:val="none" w:sz="0" w:space="0" w:color="auto"/>
        <w:bottom w:val="none" w:sz="0" w:space="0" w:color="auto"/>
        <w:right w:val="none" w:sz="0" w:space="0" w:color="auto"/>
      </w:divBdr>
    </w:div>
    <w:div w:id="1921788959">
      <w:bodyDiv w:val="1"/>
      <w:marLeft w:val="0"/>
      <w:marRight w:val="0"/>
      <w:marTop w:val="0"/>
      <w:marBottom w:val="0"/>
      <w:divBdr>
        <w:top w:val="none" w:sz="0" w:space="0" w:color="auto"/>
        <w:left w:val="none" w:sz="0" w:space="0" w:color="auto"/>
        <w:bottom w:val="none" w:sz="0" w:space="0" w:color="auto"/>
        <w:right w:val="none" w:sz="0" w:space="0" w:color="auto"/>
      </w:divBdr>
    </w:div>
    <w:div w:id="1926180954">
      <w:bodyDiv w:val="1"/>
      <w:marLeft w:val="0"/>
      <w:marRight w:val="0"/>
      <w:marTop w:val="0"/>
      <w:marBottom w:val="0"/>
      <w:divBdr>
        <w:top w:val="none" w:sz="0" w:space="0" w:color="auto"/>
        <w:left w:val="none" w:sz="0" w:space="0" w:color="auto"/>
        <w:bottom w:val="none" w:sz="0" w:space="0" w:color="auto"/>
        <w:right w:val="none" w:sz="0" w:space="0" w:color="auto"/>
      </w:divBdr>
      <w:divsChild>
        <w:div w:id="393817694">
          <w:marLeft w:val="0"/>
          <w:marRight w:val="0"/>
          <w:marTop w:val="0"/>
          <w:marBottom w:val="0"/>
          <w:divBdr>
            <w:top w:val="none" w:sz="0" w:space="0" w:color="auto"/>
            <w:left w:val="none" w:sz="0" w:space="0" w:color="auto"/>
            <w:bottom w:val="none" w:sz="0" w:space="0" w:color="auto"/>
            <w:right w:val="none" w:sz="0" w:space="0" w:color="auto"/>
          </w:divBdr>
          <w:divsChild>
            <w:div w:id="874586949">
              <w:marLeft w:val="0"/>
              <w:marRight w:val="0"/>
              <w:marTop w:val="0"/>
              <w:marBottom w:val="0"/>
              <w:divBdr>
                <w:top w:val="none" w:sz="0" w:space="0" w:color="auto"/>
                <w:left w:val="none" w:sz="0" w:space="0" w:color="auto"/>
                <w:bottom w:val="none" w:sz="0" w:space="0" w:color="auto"/>
                <w:right w:val="none" w:sz="0" w:space="0" w:color="auto"/>
              </w:divBdr>
              <w:divsChild>
                <w:div w:id="462621301">
                  <w:marLeft w:val="0"/>
                  <w:marRight w:val="0"/>
                  <w:marTop w:val="0"/>
                  <w:marBottom w:val="0"/>
                  <w:divBdr>
                    <w:top w:val="none" w:sz="0" w:space="0" w:color="auto"/>
                    <w:left w:val="none" w:sz="0" w:space="0" w:color="auto"/>
                    <w:bottom w:val="none" w:sz="0" w:space="0" w:color="auto"/>
                    <w:right w:val="none" w:sz="0" w:space="0" w:color="auto"/>
                  </w:divBdr>
                  <w:divsChild>
                    <w:div w:id="1430853287">
                      <w:marLeft w:val="0"/>
                      <w:marRight w:val="0"/>
                      <w:marTop w:val="0"/>
                      <w:marBottom w:val="0"/>
                      <w:divBdr>
                        <w:top w:val="none" w:sz="0" w:space="0" w:color="auto"/>
                        <w:left w:val="none" w:sz="0" w:space="0" w:color="auto"/>
                        <w:bottom w:val="none" w:sz="0" w:space="0" w:color="auto"/>
                        <w:right w:val="none" w:sz="0" w:space="0" w:color="auto"/>
                      </w:divBdr>
                    </w:div>
                    <w:div w:id="1960800950">
                      <w:marLeft w:val="0"/>
                      <w:marRight w:val="0"/>
                      <w:marTop w:val="120"/>
                      <w:marBottom w:val="0"/>
                      <w:divBdr>
                        <w:top w:val="none" w:sz="0" w:space="0" w:color="auto"/>
                        <w:left w:val="none" w:sz="0" w:space="0" w:color="auto"/>
                        <w:bottom w:val="none" w:sz="0" w:space="0" w:color="auto"/>
                        <w:right w:val="none" w:sz="0" w:space="0" w:color="auto"/>
                      </w:divBdr>
                    </w:div>
                  </w:divsChild>
                </w:div>
                <w:div w:id="1187718770">
                  <w:marLeft w:val="0"/>
                  <w:marRight w:val="0"/>
                  <w:marTop w:val="0"/>
                  <w:marBottom w:val="0"/>
                  <w:divBdr>
                    <w:top w:val="none" w:sz="0" w:space="0" w:color="auto"/>
                    <w:left w:val="none" w:sz="0" w:space="0" w:color="auto"/>
                    <w:bottom w:val="none" w:sz="0" w:space="0" w:color="auto"/>
                    <w:right w:val="none" w:sz="0" w:space="0" w:color="auto"/>
                  </w:divBdr>
                  <w:divsChild>
                    <w:div w:id="408230782">
                      <w:marLeft w:val="0"/>
                      <w:marRight w:val="0"/>
                      <w:marTop w:val="120"/>
                      <w:marBottom w:val="0"/>
                      <w:divBdr>
                        <w:top w:val="none" w:sz="0" w:space="0" w:color="auto"/>
                        <w:left w:val="none" w:sz="0" w:space="0" w:color="auto"/>
                        <w:bottom w:val="none" w:sz="0" w:space="0" w:color="auto"/>
                        <w:right w:val="none" w:sz="0" w:space="0" w:color="auto"/>
                      </w:divBdr>
                    </w:div>
                    <w:div w:id="1185360033">
                      <w:marLeft w:val="0"/>
                      <w:marRight w:val="0"/>
                      <w:marTop w:val="0"/>
                      <w:marBottom w:val="0"/>
                      <w:divBdr>
                        <w:top w:val="none" w:sz="0" w:space="0" w:color="auto"/>
                        <w:left w:val="none" w:sz="0" w:space="0" w:color="auto"/>
                        <w:bottom w:val="none" w:sz="0" w:space="0" w:color="auto"/>
                        <w:right w:val="none" w:sz="0" w:space="0" w:color="auto"/>
                      </w:divBdr>
                    </w:div>
                  </w:divsChild>
                </w:div>
                <w:div w:id="1387415674">
                  <w:marLeft w:val="0"/>
                  <w:marRight w:val="0"/>
                  <w:marTop w:val="0"/>
                  <w:marBottom w:val="0"/>
                  <w:divBdr>
                    <w:top w:val="none" w:sz="0" w:space="0" w:color="auto"/>
                    <w:left w:val="none" w:sz="0" w:space="0" w:color="auto"/>
                    <w:bottom w:val="none" w:sz="0" w:space="0" w:color="auto"/>
                    <w:right w:val="none" w:sz="0" w:space="0" w:color="auto"/>
                  </w:divBdr>
                  <w:divsChild>
                    <w:div w:id="1262571558">
                      <w:marLeft w:val="0"/>
                      <w:marRight w:val="0"/>
                      <w:marTop w:val="0"/>
                      <w:marBottom w:val="0"/>
                      <w:divBdr>
                        <w:top w:val="none" w:sz="0" w:space="0" w:color="auto"/>
                        <w:left w:val="none" w:sz="0" w:space="0" w:color="auto"/>
                        <w:bottom w:val="none" w:sz="0" w:space="0" w:color="auto"/>
                        <w:right w:val="none" w:sz="0" w:space="0" w:color="auto"/>
                      </w:divBdr>
                    </w:div>
                    <w:div w:id="1404638898">
                      <w:marLeft w:val="0"/>
                      <w:marRight w:val="0"/>
                      <w:marTop w:val="120"/>
                      <w:marBottom w:val="0"/>
                      <w:divBdr>
                        <w:top w:val="none" w:sz="0" w:space="0" w:color="auto"/>
                        <w:left w:val="none" w:sz="0" w:space="0" w:color="auto"/>
                        <w:bottom w:val="none" w:sz="0" w:space="0" w:color="auto"/>
                        <w:right w:val="none" w:sz="0" w:space="0" w:color="auto"/>
                      </w:divBdr>
                    </w:div>
                  </w:divsChild>
                </w:div>
                <w:div w:id="1416047417">
                  <w:marLeft w:val="0"/>
                  <w:marRight w:val="0"/>
                  <w:marTop w:val="0"/>
                  <w:marBottom w:val="0"/>
                  <w:divBdr>
                    <w:top w:val="none" w:sz="0" w:space="0" w:color="auto"/>
                    <w:left w:val="none" w:sz="0" w:space="0" w:color="auto"/>
                    <w:bottom w:val="none" w:sz="0" w:space="0" w:color="auto"/>
                    <w:right w:val="none" w:sz="0" w:space="0" w:color="auto"/>
                  </w:divBdr>
                  <w:divsChild>
                    <w:div w:id="776876991">
                      <w:marLeft w:val="0"/>
                      <w:marRight w:val="0"/>
                      <w:marTop w:val="120"/>
                      <w:marBottom w:val="0"/>
                      <w:divBdr>
                        <w:top w:val="none" w:sz="0" w:space="0" w:color="auto"/>
                        <w:left w:val="none" w:sz="0" w:space="0" w:color="auto"/>
                        <w:bottom w:val="none" w:sz="0" w:space="0" w:color="auto"/>
                        <w:right w:val="none" w:sz="0" w:space="0" w:color="auto"/>
                      </w:divBdr>
                    </w:div>
                    <w:div w:id="998922408">
                      <w:marLeft w:val="0"/>
                      <w:marRight w:val="0"/>
                      <w:marTop w:val="0"/>
                      <w:marBottom w:val="0"/>
                      <w:divBdr>
                        <w:top w:val="none" w:sz="0" w:space="0" w:color="auto"/>
                        <w:left w:val="none" w:sz="0" w:space="0" w:color="auto"/>
                        <w:bottom w:val="none" w:sz="0" w:space="0" w:color="auto"/>
                        <w:right w:val="none" w:sz="0" w:space="0" w:color="auto"/>
                      </w:divBdr>
                    </w:div>
                  </w:divsChild>
                </w:div>
                <w:div w:id="1509367722">
                  <w:marLeft w:val="0"/>
                  <w:marRight w:val="0"/>
                  <w:marTop w:val="0"/>
                  <w:marBottom w:val="0"/>
                  <w:divBdr>
                    <w:top w:val="none" w:sz="0" w:space="0" w:color="auto"/>
                    <w:left w:val="none" w:sz="0" w:space="0" w:color="auto"/>
                    <w:bottom w:val="none" w:sz="0" w:space="0" w:color="auto"/>
                    <w:right w:val="none" w:sz="0" w:space="0" w:color="auto"/>
                  </w:divBdr>
                  <w:divsChild>
                    <w:div w:id="385104449">
                      <w:marLeft w:val="0"/>
                      <w:marRight w:val="0"/>
                      <w:marTop w:val="0"/>
                      <w:marBottom w:val="0"/>
                      <w:divBdr>
                        <w:top w:val="none" w:sz="0" w:space="0" w:color="auto"/>
                        <w:left w:val="none" w:sz="0" w:space="0" w:color="auto"/>
                        <w:bottom w:val="none" w:sz="0" w:space="0" w:color="auto"/>
                        <w:right w:val="none" w:sz="0" w:space="0" w:color="auto"/>
                      </w:divBdr>
                    </w:div>
                    <w:div w:id="833489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7279394">
          <w:marLeft w:val="0"/>
          <w:marRight w:val="0"/>
          <w:marTop w:val="0"/>
          <w:marBottom w:val="0"/>
          <w:divBdr>
            <w:top w:val="none" w:sz="0" w:space="0" w:color="auto"/>
            <w:left w:val="none" w:sz="0" w:space="0" w:color="auto"/>
            <w:bottom w:val="none" w:sz="0" w:space="0" w:color="auto"/>
            <w:right w:val="none" w:sz="0" w:space="0" w:color="auto"/>
          </w:divBdr>
          <w:divsChild>
            <w:div w:id="903956837">
              <w:marLeft w:val="0"/>
              <w:marRight w:val="0"/>
              <w:marTop w:val="0"/>
              <w:marBottom w:val="0"/>
              <w:divBdr>
                <w:top w:val="none" w:sz="0" w:space="0" w:color="auto"/>
                <w:left w:val="none" w:sz="0" w:space="0" w:color="auto"/>
                <w:bottom w:val="none" w:sz="0" w:space="0" w:color="auto"/>
                <w:right w:val="none" w:sz="0" w:space="0" w:color="auto"/>
              </w:divBdr>
            </w:div>
          </w:divsChild>
        </w:div>
        <w:div w:id="1205217661">
          <w:marLeft w:val="0"/>
          <w:marRight w:val="0"/>
          <w:marTop w:val="0"/>
          <w:marBottom w:val="0"/>
          <w:divBdr>
            <w:top w:val="none" w:sz="0" w:space="0" w:color="auto"/>
            <w:left w:val="none" w:sz="0" w:space="0" w:color="auto"/>
            <w:bottom w:val="none" w:sz="0" w:space="0" w:color="auto"/>
            <w:right w:val="none" w:sz="0" w:space="0" w:color="auto"/>
          </w:divBdr>
          <w:divsChild>
            <w:div w:id="970089304">
              <w:marLeft w:val="0"/>
              <w:marRight w:val="0"/>
              <w:marTop w:val="0"/>
              <w:marBottom w:val="0"/>
              <w:divBdr>
                <w:top w:val="none" w:sz="0" w:space="0" w:color="auto"/>
                <w:left w:val="none" w:sz="0" w:space="0" w:color="auto"/>
                <w:bottom w:val="none" w:sz="0" w:space="0" w:color="auto"/>
                <w:right w:val="none" w:sz="0" w:space="0" w:color="auto"/>
              </w:divBdr>
              <w:divsChild>
                <w:div w:id="950627391">
                  <w:marLeft w:val="0"/>
                  <w:marRight w:val="0"/>
                  <w:marTop w:val="0"/>
                  <w:marBottom w:val="0"/>
                  <w:divBdr>
                    <w:top w:val="none" w:sz="0" w:space="0" w:color="auto"/>
                    <w:left w:val="none" w:sz="0" w:space="0" w:color="auto"/>
                    <w:bottom w:val="none" w:sz="0" w:space="0" w:color="auto"/>
                    <w:right w:val="none" w:sz="0" w:space="0" w:color="auto"/>
                  </w:divBdr>
                  <w:divsChild>
                    <w:div w:id="800997365">
                      <w:marLeft w:val="0"/>
                      <w:marRight w:val="0"/>
                      <w:marTop w:val="0"/>
                      <w:marBottom w:val="0"/>
                      <w:divBdr>
                        <w:top w:val="none" w:sz="0" w:space="0" w:color="auto"/>
                        <w:left w:val="none" w:sz="0" w:space="0" w:color="auto"/>
                        <w:bottom w:val="none" w:sz="0" w:space="0" w:color="auto"/>
                        <w:right w:val="none" w:sz="0" w:space="0" w:color="auto"/>
                      </w:divBdr>
                    </w:div>
                    <w:div w:id="2010986845">
                      <w:marLeft w:val="0"/>
                      <w:marRight w:val="0"/>
                      <w:marTop w:val="120"/>
                      <w:marBottom w:val="0"/>
                      <w:divBdr>
                        <w:top w:val="none" w:sz="0" w:space="0" w:color="auto"/>
                        <w:left w:val="none" w:sz="0" w:space="0" w:color="auto"/>
                        <w:bottom w:val="none" w:sz="0" w:space="0" w:color="auto"/>
                        <w:right w:val="none" w:sz="0" w:space="0" w:color="auto"/>
                      </w:divBdr>
                    </w:div>
                  </w:divsChild>
                </w:div>
                <w:div w:id="1700276563">
                  <w:marLeft w:val="0"/>
                  <w:marRight w:val="0"/>
                  <w:marTop w:val="0"/>
                  <w:marBottom w:val="0"/>
                  <w:divBdr>
                    <w:top w:val="none" w:sz="0" w:space="0" w:color="auto"/>
                    <w:left w:val="none" w:sz="0" w:space="0" w:color="auto"/>
                    <w:bottom w:val="none" w:sz="0" w:space="0" w:color="auto"/>
                    <w:right w:val="none" w:sz="0" w:space="0" w:color="auto"/>
                  </w:divBdr>
                  <w:divsChild>
                    <w:div w:id="991182521">
                      <w:marLeft w:val="0"/>
                      <w:marRight w:val="0"/>
                      <w:marTop w:val="0"/>
                      <w:marBottom w:val="0"/>
                      <w:divBdr>
                        <w:top w:val="none" w:sz="0" w:space="0" w:color="auto"/>
                        <w:left w:val="none" w:sz="0" w:space="0" w:color="auto"/>
                        <w:bottom w:val="none" w:sz="0" w:space="0" w:color="auto"/>
                        <w:right w:val="none" w:sz="0" w:space="0" w:color="auto"/>
                      </w:divBdr>
                    </w:div>
                    <w:div w:id="1665621554">
                      <w:marLeft w:val="0"/>
                      <w:marRight w:val="0"/>
                      <w:marTop w:val="120"/>
                      <w:marBottom w:val="0"/>
                      <w:divBdr>
                        <w:top w:val="none" w:sz="0" w:space="0" w:color="auto"/>
                        <w:left w:val="none" w:sz="0" w:space="0" w:color="auto"/>
                        <w:bottom w:val="none" w:sz="0" w:space="0" w:color="auto"/>
                        <w:right w:val="none" w:sz="0" w:space="0" w:color="auto"/>
                      </w:divBdr>
                    </w:div>
                  </w:divsChild>
                </w:div>
                <w:div w:id="1786971218">
                  <w:marLeft w:val="0"/>
                  <w:marRight w:val="0"/>
                  <w:marTop w:val="0"/>
                  <w:marBottom w:val="0"/>
                  <w:divBdr>
                    <w:top w:val="none" w:sz="0" w:space="0" w:color="auto"/>
                    <w:left w:val="none" w:sz="0" w:space="0" w:color="auto"/>
                    <w:bottom w:val="none" w:sz="0" w:space="0" w:color="auto"/>
                    <w:right w:val="none" w:sz="0" w:space="0" w:color="auto"/>
                  </w:divBdr>
                  <w:divsChild>
                    <w:div w:id="1250964579">
                      <w:marLeft w:val="0"/>
                      <w:marRight w:val="0"/>
                      <w:marTop w:val="120"/>
                      <w:marBottom w:val="0"/>
                      <w:divBdr>
                        <w:top w:val="none" w:sz="0" w:space="0" w:color="auto"/>
                        <w:left w:val="none" w:sz="0" w:space="0" w:color="auto"/>
                        <w:bottom w:val="none" w:sz="0" w:space="0" w:color="auto"/>
                        <w:right w:val="none" w:sz="0" w:space="0" w:color="auto"/>
                      </w:divBdr>
                    </w:div>
                    <w:div w:id="15347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40516">
          <w:marLeft w:val="0"/>
          <w:marRight w:val="0"/>
          <w:marTop w:val="0"/>
          <w:marBottom w:val="0"/>
          <w:divBdr>
            <w:top w:val="none" w:sz="0" w:space="0" w:color="auto"/>
            <w:left w:val="none" w:sz="0" w:space="0" w:color="auto"/>
            <w:bottom w:val="none" w:sz="0" w:space="0" w:color="auto"/>
            <w:right w:val="none" w:sz="0" w:space="0" w:color="auto"/>
          </w:divBdr>
          <w:divsChild>
            <w:div w:id="1738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8865">
      <w:bodyDiv w:val="1"/>
      <w:marLeft w:val="0"/>
      <w:marRight w:val="0"/>
      <w:marTop w:val="0"/>
      <w:marBottom w:val="0"/>
      <w:divBdr>
        <w:top w:val="none" w:sz="0" w:space="0" w:color="auto"/>
        <w:left w:val="none" w:sz="0" w:space="0" w:color="auto"/>
        <w:bottom w:val="none" w:sz="0" w:space="0" w:color="auto"/>
        <w:right w:val="none" w:sz="0" w:space="0" w:color="auto"/>
      </w:divBdr>
      <w:divsChild>
        <w:div w:id="884296812">
          <w:marLeft w:val="0"/>
          <w:marRight w:val="0"/>
          <w:marTop w:val="0"/>
          <w:marBottom w:val="0"/>
          <w:divBdr>
            <w:top w:val="none" w:sz="0" w:space="0" w:color="auto"/>
            <w:left w:val="none" w:sz="0" w:space="0" w:color="auto"/>
            <w:bottom w:val="none" w:sz="0" w:space="0" w:color="auto"/>
            <w:right w:val="none" w:sz="0" w:space="0" w:color="auto"/>
          </w:divBdr>
          <w:divsChild>
            <w:div w:id="366032885">
              <w:marLeft w:val="0"/>
              <w:marRight w:val="0"/>
              <w:marTop w:val="120"/>
              <w:marBottom w:val="0"/>
              <w:divBdr>
                <w:top w:val="none" w:sz="0" w:space="0" w:color="auto"/>
                <w:left w:val="none" w:sz="0" w:space="0" w:color="auto"/>
                <w:bottom w:val="none" w:sz="0" w:space="0" w:color="auto"/>
                <w:right w:val="none" w:sz="0" w:space="0" w:color="auto"/>
              </w:divBdr>
            </w:div>
            <w:div w:id="1026642611">
              <w:marLeft w:val="0"/>
              <w:marRight w:val="0"/>
              <w:marTop w:val="0"/>
              <w:marBottom w:val="0"/>
              <w:divBdr>
                <w:top w:val="none" w:sz="0" w:space="0" w:color="auto"/>
                <w:left w:val="none" w:sz="0" w:space="0" w:color="auto"/>
                <w:bottom w:val="none" w:sz="0" w:space="0" w:color="auto"/>
                <w:right w:val="none" w:sz="0" w:space="0" w:color="auto"/>
              </w:divBdr>
            </w:div>
          </w:divsChild>
        </w:div>
        <w:div w:id="1113399956">
          <w:marLeft w:val="0"/>
          <w:marRight w:val="0"/>
          <w:marTop w:val="0"/>
          <w:marBottom w:val="0"/>
          <w:divBdr>
            <w:top w:val="none" w:sz="0" w:space="0" w:color="auto"/>
            <w:left w:val="none" w:sz="0" w:space="0" w:color="auto"/>
            <w:bottom w:val="none" w:sz="0" w:space="0" w:color="auto"/>
            <w:right w:val="none" w:sz="0" w:space="0" w:color="auto"/>
          </w:divBdr>
          <w:divsChild>
            <w:div w:id="1408381417">
              <w:marLeft w:val="0"/>
              <w:marRight w:val="0"/>
              <w:marTop w:val="0"/>
              <w:marBottom w:val="0"/>
              <w:divBdr>
                <w:top w:val="none" w:sz="0" w:space="0" w:color="auto"/>
                <w:left w:val="none" w:sz="0" w:space="0" w:color="auto"/>
                <w:bottom w:val="none" w:sz="0" w:space="0" w:color="auto"/>
                <w:right w:val="none" w:sz="0" w:space="0" w:color="auto"/>
              </w:divBdr>
              <w:divsChild>
                <w:div w:id="604701948">
                  <w:marLeft w:val="0"/>
                  <w:marRight w:val="0"/>
                  <w:marTop w:val="0"/>
                  <w:marBottom w:val="0"/>
                  <w:divBdr>
                    <w:top w:val="none" w:sz="0" w:space="0" w:color="auto"/>
                    <w:left w:val="none" w:sz="0" w:space="0" w:color="auto"/>
                    <w:bottom w:val="none" w:sz="0" w:space="0" w:color="auto"/>
                    <w:right w:val="none" w:sz="0" w:space="0" w:color="auto"/>
                  </w:divBdr>
                  <w:divsChild>
                    <w:div w:id="298195964">
                      <w:marLeft w:val="0"/>
                      <w:marRight w:val="0"/>
                      <w:marTop w:val="0"/>
                      <w:marBottom w:val="0"/>
                      <w:divBdr>
                        <w:top w:val="none" w:sz="0" w:space="0" w:color="auto"/>
                        <w:left w:val="none" w:sz="0" w:space="0" w:color="auto"/>
                        <w:bottom w:val="none" w:sz="0" w:space="0" w:color="auto"/>
                        <w:right w:val="none" w:sz="0" w:space="0" w:color="auto"/>
                      </w:divBdr>
                    </w:div>
                    <w:div w:id="2038314322">
                      <w:marLeft w:val="0"/>
                      <w:marRight w:val="0"/>
                      <w:marTop w:val="120"/>
                      <w:marBottom w:val="0"/>
                      <w:divBdr>
                        <w:top w:val="none" w:sz="0" w:space="0" w:color="auto"/>
                        <w:left w:val="none" w:sz="0" w:space="0" w:color="auto"/>
                        <w:bottom w:val="none" w:sz="0" w:space="0" w:color="auto"/>
                        <w:right w:val="none" w:sz="0" w:space="0" w:color="auto"/>
                      </w:divBdr>
                    </w:div>
                  </w:divsChild>
                </w:div>
                <w:div w:id="749741261">
                  <w:marLeft w:val="0"/>
                  <w:marRight w:val="0"/>
                  <w:marTop w:val="0"/>
                  <w:marBottom w:val="0"/>
                  <w:divBdr>
                    <w:top w:val="none" w:sz="0" w:space="0" w:color="auto"/>
                    <w:left w:val="none" w:sz="0" w:space="0" w:color="auto"/>
                    <w:bottom w:val="none" w:sz="0" w:space="0" w:color="auto"/>
                    <w:right w:val="none" w:sz="0" w:space="0" w:color="auto"/>
                  </w:divBdr>
                  <w:divsChild>
                    <w:div w:id="1057972744">
                      <w:marLeft w:val="0"/>
                      <w:marRight w:val="0"/>
                      <w:marTop w:val="120"/>
                      <w:marBottom w:val="0"/>
                      <w:divBdr>
                        <w:top w:val="none" w:sz="0" w:space="0" w:color="auto"/>
                        <w:left w:val="none" w:sz="0" w:space="0" w:color="auto"/>
                        <w:bottom w:val="none" w:sz="0" w:space="0" w:color="auto"/>
                        <w:right w:val="none" w:sz="0" w:space="0" w:color="auto"/>
                      </w:divBdr>
                    </w:div>
                    <w:div w:id="2000108556">
                      <w:marLeft w:val="0"/>
                      <w:marRight w:val="0"/>
                      <w:marTop w:val="0"/>
                      <w:marBottom w:val="0"/>
                      <w:divBdr>
                        <w:top w:val="none" w:sz="0" w:space="0" w:color="auto"/>
                        <w:left w:val="none" w:sz="0" w:space="0" w:color="auto"/>
                        <w:bottom w:val="none" w:sz="0" w:space="0" w:color="auto"/>
                        <w:right w:val="none" w:sz="0" w:space="0" w:color="auto"/>
                      </w:divBdr>
                    </w:div>
                  </w:divsChild>
                </w:div>
                <w:div w:id="2080207640">
                  <w:marLeft w:val="0"/>
                  <w:marRight w:val="0"/>
                  <w:marTop w:val="0"/>
                  <w:marBottom w:val="0"/>
                  <w:divBdr>
                    <w:top w:val="none" w:sz="0" w:space="0" w:color="auto"/>
                    <w:left w:val="none" w:sz="0" w:space="0" w:color="auto"/>
                    <w:bottom w:val="none" w:sz="0" w:space="0" w:color="auto"/>
                    <w:right w:val="none" w:sz="0" w:space="0" w:color="auto"/>
                  </w:divBdr>
                  <w:divsChild>
                    <w:div w:id="1322853141">
                      <w:marLeft w:val="0"/>
                      <w:marRight w:val="0"/>
                      <w:marTop w:val="120"/>
                      <w:marBottom w:val="0"/>
                      <w:divBdr>
                        <w:top w:val="none" w:sz="0" w:space="0" w:color="auto"/>
                        <w:left w:val="none" w:sz="0" w:space="0" w:color="auto"/>
                        <w:bottom w:val="none" w:sz="0" w:space="0" w:color="auto"/>
                        <w:right w:val="none" w:sz="0" w:space="0" w:color="auto"/>
                      </w:divBdr>
                    </w:div>
                    <w:div w:id="1883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5281">
      <w:bodyDiv w:val="1"/>
      <w:marLeft w:val="0"/>
      <w:marRight w:val="0"/>
      <w:marTop w:val="0"/>
      <w:marBottom w:val="0"/>
      <w:divBdr>
        <w:top w:val="none" w:sz="0" w:space="0" w:color="auto"/>
        <w:left w:val="none" w:sz="0" w:space="0" w:color="auto"/>
        <w:bottom w:val="none" w:sz="0" w:space="0" w:color="auto"/>
        <w:right w:val="none" w:sz="0" w:space="0" w:color="auto"/>
      </w:divBdr>
    </w:div>
    <w:div w:id="1954363522">
      <w:bodyDiv w:val="1"/>
      <w:marLeft w:val="0"/>
      <w:marRight w:val="0"/>
      <w:marTop w:val="0"/>
      <w:marBottom w:val="0"/>
      <w:divBdr>
        <w:top w:val="none" w:sz="0" w:space="0" w:color="auto"/>
        <w:left w:val="none" w:sz="0" w:space="0" w:color="auto"/>
        <w:bottom w:val="none" w:sz="0" w:space="0" w:color="auto"/>
        <w:right w:val="none" w:sz="0" w:space="0" w:color="auto"/>
      </w:divBdr>
      <w:divsChild>
        <w:div w:id="24716785">
          <w:marLeft w:val="0"/>
          <w:marRight w:val="0"/>
          <w:marTop w:val="0"/>
          <w:marBottom w:val="0"/>
          <w:divBdr>
            <w:top w:val="none" w:sz="0" w:space="0" w:color="auto"/>
            <w:left w:val="none" w:sz="0" w:space="0" w:color="auto"/>
            <w:bottom w:val="none" w:sz="0" w:space="0" w:color="auto"/>
            <w:right w:val="none" w:sz="0" w:space="0" w:color="auto"/>
          </w:divBdr>
          <w:divsChild>
            <w:div w:id="32925176">
              <w:marLeft w:val="0"/>
              <w:marRight w:val="0"/>
              <w:marTop w:val="0"/>
              <w:marBottom w:val="0"/>
              <w:divBdr>
                <w:top w:val="none" w:sz="0" w:space="0" w:color="auto"/>
                <w:left w:val="none" w:sz="0" w:space="0" w:color="auto"/>
                <w:bottom w:val="none" w:sz="0" w:space="0" w:color="auto"/>
                <w:right w:val="none" w:sz="0" w:space="0" w:color="auto"/>
              </w:divBdr>
            </w:div>
          </w:divsChild>
        </w:div>
        <w:div w:id="1393384961">
          <w:marLeft w:val="0"/>
          <w:marRight w:val="0"/>
          <w:marTop w:val="0"/>
          <w:marBottom w:val="0"/>
          <w:divBdr>
            <w:top w:val="none" w:sz="0" w:space="0" w:color="auto"/>
            <w:left w:val="none" w:sz="0" w:space="0" w:color="auto"/>
            <w:bottom w:val="none" w:sz="0" w:space="0" w:color="auto"/>
            <w:right w:val="none" w:sz="0" w:space="0" w:color="auto"/>
          </w:divBdr>
          <w:divsChild>
            <w:div w:id="475535938">
              <w:marLeft w:val="0"/>
              <w:marRight w:val="0"/>
              <w:marTop w:val="120"/>
              <w:marBottom w:val="0"/>
              <w:divBdr>
                <w:top w:val="none" w:sz="0" w:space="0" w:color="auto"/>
                <w:left w:val="none" w:sz="0" w:space="0" w:color="auto"/>
                <w:bottom w:val="none" w:sz="0" w:space="0" w:color="auto"/>
                <w:right w:val="none" w:sz="0" w:space="0" w:color="auto"/>
              </w:divBdr>
            </w:div>
            <w:div w:id="1800029414">
              <w:marLeft w:val="0"/>
              <w:marRight w:val="0"/>
              <w:marTop w:val="0"/>
              <w:marBottom w:val="0"/>
              <w:divBdr>
                <w:top w:val="none" w:sz="0" w:space="0" w:color="auto"/>
                <w:left w:val="none" w:sz="0" w:space="0" w:color="auto"/>
                <w:bottom w:val="none" w:sz="0" w:space="0" w:color="auto"/>
                <w:right w:val="none" w:sz="0" w:space="0" w:color="auto"/>
              </w:divBdr>
            </w:div>
          </w:divsChild>
        </w:div>
        <w:div w:id="1491293740">
          <w:marLeft w:val="0"/>
          <w:marRight w:val="0"/>
          <w:marTop w:val="0"/>
          <w:marBottom w:val="0"/>
          <w:divBdr>
            <w:top w:val="none" w:sz="0" w:space="0" w:color="auto"/>
            <w:left w:val="none" w:sz="0" w:space="0" w:color="auto"/>
            <w:bottom w:val="none" w:sz="0" w:space="0" w:color="auto"/>
            <w:right w:val="none" w:sz="0" w:space="0" w:color="auto"/>
          </w:divBdr>
          <w:divsChild>
            <w:div w:id="1027755062">
              <w:marLeft w:val="0"/>
              <w:marRight w:val="0"/>
              <w:marTop w:val="0"/>
              <w:marBottom w:val="0"/>
              <w:divBdr>
                <w:top w:val="none" w:sz="0" w:space="0" w:color="auto"/>
                <w:left w:val="none" w:sz="0" w:space="0" w:color="auto"/>
                <w:bottom w:val="none" w:sz="0" w:space="0" w:color="auto"/>
                <w:right w:val="none" w:sz="0" w:space="0" w:color="auto"/>
              </w:divBdr>
            </w:div>
            <w:div w:id="1726416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5556469">
      <w:bodyDiv w:val="1"/>
      <w:marLeft w:val="0"/>
      <w:marRight w:val="0"/>
      <w:marTop w:val="0"/>
      <w:marBottom w:val="0"/>
      <w:divBdr>
        <w:top w:val="none" w:sz="0" w:space="0" w:color="auto"/>
        <w:left w:val="none" w:sz="0" w:space="0" w:color="auto"/>
        <w:bottom w:val="none" w:sz="0" w:space="0" w:color="auto"/>
        <w:right w:val="none" w:sz="0" w:space="0" w:color="auto"/>
      </w:divBdr>
      <w:divsChild>
        <w:div w:id="2018387236">
          <w:marLeft w:val="0"/>
          <w:marRight w:val="0"/>
          <w:marTop w:val="0"/>
          <w:marBottom w:val="0"/>
          <w:divBdr>
            <w:top w:val="none" w:sz="0" w:space="0" w:color="auto"/>
            <w:left w:val="none" w:sz="0" w:space="0" w:color="auto"/>
            <w:bottom w:val="none" w:sz="0" w:space="0" w:color="auto"/>
            <w:right w:val="none" w:sz="0" w:space="0" w:color="auto"/>
          </w:divBdr>
        </w:div>
      </w:divsChild>
    </w:div>
    <w:div w:id="1962878403">
      <w:bodyDiv w:val="1"/>
      <w:marLeft w:val="0"/>
      <w:marRight w:val="0"/>
      <w:marTop w:val="0"/>
      <w:marBottom w:val="0"/>
      <w:divBdr>
        <w:top w:val="none" w:sz="0" w:space="0" w:color="auto"/>
        <w:left w:val="none" w:sz="0" w:space="0" w:color="auto"/>
        <w:bottom w:val="none" w:sz="0" w:space="0" w:color="auto"/>
        <w:right w:val="none" w:sz="0" w:space="0" w:color="auto"/>
      </w:divBdr>
      <w:divsChild>
        <w:div w:id="787234857">
          <w:marLeft w:val="0"/>
          <w:marRight w:val="0"/>
          <w:marTop w:val="0"/>
          <w:marBottom w:val="0"/>
          <w:divBdr>
            <w:top w:val="none" w:sz="0" w:space="0" w:color="auto"/>
            <w:left w:val="none" w:sz="0" w:space="0" w:color="auto"/>
            <w:bottom w:val="none" w:sz="0" w:space="0" w:color="auto"/>
            <w:right w:val="none" w:sz="0" w:space="0" w:color="auto"/>
          </w:divBdr>
          <w:divsChild>
            <w:div w:id="701516676">
              <w:marLeft w:val="0"/>
              <w:marRight w:val="0"/>
              <w:marTop w:val="0"/>
              <w:marBottom w:val="0"/>
              <w:divBdr>
                <w:top w:val="none" w:sz="0" w:space="0" w:color="auto"/>
                <w:left w:val="none" w:sz="0" w:space="0" w:color="auto"/>
                <w:bottom w:val="none" w:sz="0" w:space="0" w:color="auto"/>
                <w:right w:val="none" w:sz="0" w:space="0" w:color="auto"/>
              </w:divBdr>
              <w:divsChild>
                <w:div w:id="1228609792">
                  <w:marLeft w:val="0"/>
                  <w:marRight w:val="0"/>
                  <w:marTop w:val="0"/>
                  <w:marBottom w:val="0"/>
                  <w:divBdr>
                    <w:top w:val="none" w:sz="0" w:space="0" w:color="auto"/>
                    <w:left w:val="none" w:sz="0" w:space="0" w:color="auto"/>
                    <w:bottom w:val="none" w:sz="0" w:space="0" w:color="auto"/>
                    <w:right w:val="none" w:sz="0" w:space="0" w:color="auto"/>
                  </w:divBdr>
                  <w:divsChild>
                    <w:div w:id="64380372">
                      <w:marLeft w:val="0"/>
                      <w:marRight w:val="0"/>
                      <w:marTop w:val="120"/>
                      <w:marBottom w:val="0"/>
                      <w:divBdr>
                        <w:top w:val="none" w:sz="0" w:space="0" w:color="auto"/>
                        <w:left w:val="none" w:sz="0" w:space="0" w:color="auto"/>
                        <w:bottom w:val="none" w:sz="0" w:space="0" w:color="auto"/>
                        <w:right w:val="none" w:sz="0" w:space="0" w:color="auto"/>
                      </w:divBdr>
                    </w:div>
                    <w:div w:id="1067456605">
                      <w:marLeft w:val="0"/>
                      <w:marRight w:val="0"/>
                      <w:marTop w:val="0"/>
                      <w:marBottom w:val="0"/>
                      <w:divBdr>
                        <w:top w:val="none" w:sz="0" w:space="0" w:color="auto"/>
                        <w:left w:val="none" w:sz="0" w:space="0" w:color="auto"/>
                        <w:bottom w:val="none" w:sz="0" w:space="0" w:color="auto"/>
                        <w:right w:val="none" w:sz="0" w:space="0" w:color="auto"/>
                      </w:divBdr>
                    </w:div>
                  </w:divsChild>
                </w:div>
                <w:div w:id="1822577187">
                  <w:marLeft w:val="0"/>
                  <w:marRight w:val="0"/>
                  <w:marTop w:val="0"/>
                  <w:marBottom w:val="0"/>
                  <w:divBdr>
                    <w:top w:val="none" w:sz="0" w:space="0" w:color="auto"/>
                    <w:left w:val="none" w:sz="0" w:space="0" w:color="auto"/>
                    <w:bottom w:val="none" w:sz="0" w:space="0" w:color="auto"/>
                    <w:right w:val="none" w:sz="0" w:space="0" w:color="auto"/>
                  </w:divBdr>
                  <w:divsChild>
                    <w:div w:id="822624877">
                      <w:marLeft w:val="0"/>
                      <w:marRight w:val="0"/>
                      <w:marTop w:val="120"/>
                      <w:marBottom w:val="0"/>
                      <w:divBdr>
                        <w:top w:val="none" w:sz="0" w:space="0" w:color="auto"/>
                        <w:left w:val="none" w:sz="0" w:space="0" w:color="auto"/>
                        <w:bottom w:val="none" w:sz="0" w:space="0" w:color="auto"/>
                        <w:right w:val="none" w:sz="0" w:space="0" w:color="auto"/>
                      </w:divBdr>
                    </w:div>
                    <w:div w:id="16202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68180">
      <w:bodyDiv w:val="1"/>
      <w:marLeft w:val="0"/>
      <w:marRight w:val="0"/>
      <w:marTop w:val="0"/>
      <w:marBottom w:val="0"/>
      <w:divBdr>
        <w:top w:val="none" w:sz="0" w:space="0" w:color="auto"/>
        <w:left w:val="none" w:sz="0" w:space="0" w:color="auto"/>
        <w:bottom w:val="none" w:sz="0" w:space="0" w:color="auto"/>
        <w:right w:val="none" w:sz="0" w:space="0" w:color="auto"/>
      </w:divBdr>
      <w:divsChild>
        <w:div w:id="1614630380">
          <w:marLeft w:val="0"/>
          <w:marRight w:val="0"/>
          <w:marTop w:val="0"/>
          <w:marBottom w:val="0"/>
          <w:divBdr>
            <w:top w:val="none" w:sz="0" w:space="0" w:color="auto"/>
            <w:left w:val="none" w:sz="0" w:space="0" w:color="auto"/>
            <w:bottom w:val="none" w:sz="0" w:space="0" w:color="auto"/>
            <w:right w:val="none" w:sz="0" w:space="0" w:color="auto"/>
          </w:divBdr>
        </w:div>
      </w:divsChild>
    </w:div>
    <w:div w:id="1969776763">
      <w:bodyDiv w:val="1"/>
      <w:marLeft w:val="0"/>
      <w:marRight w:val="0"/>
      <w:marTop w:val="0"/>
      <w:marBottom w:val="0"/>
      <w:divBdr>
        <w:top w:val="none" w:sz="0" w:space="0" w:color="auto"/>
        <w:left w:val="none" w:sz="0" w:space="0" w:color="auto"/>
        <w:bottom w:val="none" w:sz="0" w:space="0" w:color="auto"/>
        <w:right w:val="none" w:sz="0" w:space="0" w:color="auto"/>
      </w:divBdr>
    </w:div>
    <w:div w:id="1988585931">
      <w:bodyDiv w:val="1"/>
      <w:marLeft w:val="0"/>
      <w:marRight w:val="0"/>
      <w:marTop w:val="0"/>
      <w:marBottom w:val="0"/>
      <w:divBdr>
        <w:top w:val="none" w:sz="0" w:space="0" w:color="auto"/>
        <w:left w:val="none" w:sz="0" w:space="0" w:color="auto"/>
        <w:bottom w:val="none" w:sz="0" w:space="0" w:color="auto"/>
        <w:right w:val="none" w:sz="0" w:space="0" w:color="auto"/>
      </w:divBdr>
      <w:divsChild>
        <w:div w:id="1358045703">
          <w:marLeft w:val="0"/>
          <w:marRight w:val="0"/>
          <w:marTop w:val="0"/>
          <w:marBottom w:val="0"/>
          <w:divBdr>
            <w:top w:val="none" w:sz="0" w:space="0" w:color="auto"/>
            <w:left w:val="none" w:sz="0" w:space="0" w:color="auto"/>
            <w:bottom w:val="none" w:sz="0" w:space="0" w:color="auto"/>
            <w:right w:val="none" w:sz="0" w:space="0" w:color="auto"/>
          </w:divBdr>
        </w:div>
      </w:divsChild>
    </w:div>
    <w:div w:id="1996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2235582">
          <w:marLeft w:val="0"/>
          <w:marRight w:val="0"/>
          <w:marTop w:val="0"/>
          <w:marBottom w:val="0"/>
          <w:divBdr>
            <w:top w:val="none" w:sz="0" w:space="0" w:color="auto"/>
            <w:left w:val="none" w:sz="0" w:space="0" w:color="auto"/>
            <w:bottom w:val="none" w:sz="0" w:space="0" w:color="auto"/>
            <w:right w:val="none" w:sz="0" w:space="0" w:color="auto"/>
          </w:divBdr>
          <w:divsChild>
            <w:div w:id="1321034484">
              <w:marLeft w:val="0"/>
              <w:marRight w:val="0"/>
              <w:marTop w:val="0"/>
              <w:marBottom w:val="0"/>
              <w:divBdr>
                <w:top w:val="none" w:sz="0" w:space="0" w:color="auto"/>
                <w:left w:val="none" w:sz="0" w:space="0" w:color="auto"/>
                <w:bottom w:val="none" w:sz="0" w:space="0" w:color="auto"/>
                <w:right w:val="none" w:sz="0" w:space="0" w:color="auto"/>
              </w:divBdr>
              <w:divsChild>
                <w:div w:id="706220074">
                  <w:marLeft w:val="0"/>
                  <w:marRight w:val="0"/>
                  <w:marTop w:val="0"/>
                  <w:marBottom w:val="0"/>
                  <w:divBdr>
                    <w:top w:val="none" w:sz="0" w:space="0" w:color="auto"/>
                    <w:left w:val="none" w:sz="0" w:space="0" w:color="auto"/>
                    <w:bottom w:val="none" w:sz="0" w:space="0" w:color="auto"/>
                    <w:right w:val="none" w:sz="0" w:space="0" w:color="auto"/>
                  </w:divBdr>
                  <w:divsChild>
                    <w:div w:id="709843238">
                      <w:marLeft w:val="0"/>
                      <w:marRight w:val="0"/>
                      <w:marTop w:val="0"/>
                      <w:marBottom w:val="0"/>
                      <w:divBdr>
                        <w:top w:val="none" w:sz="0" w:space="0" w:color="auto"/>
                        <w:left w:val="none" w:sz="0" w:space="0" w:color="auto"/>
                        <w:bottom w:val="none" w:sz="0" w:space="0" w:color="auto"/>
                        <w:right w:val="none" w:sz="0" w:space="0" w:color="auto"/>
                      </w:divBdr>
                    </w:div>
                    <w:div w:id="1876236137">
                      <w:marLeft w:val="0"/>
                      <w:marRight w:val="0"/>
                      <w:marTop w:val="120"/>
                      <w:marBottom w:val="0"/>
                      <w:divBdr>
                        <w:top w:val="none" w:sz="0" w:space="0" w:color="auto"/>
                        <w:left w:val="none" w:sz="0" w:space="0" w:color="auto"/>
                        <w:bottom w:val="none" w:sz="0" w:space="0" w:color="auto"/>
                        <w:right w:val="none" w:sz="0" w:space="0" w:color="auto"/>
                      </w:divBdr>
                    </w:div>
                  </w:divsChild>
                </w:div>
                <w:div w:id="1051147207">
                  <w:marLeft w:val="0"/>
                  <w:marRight w:val="0"/>
                  <w:marTop w:val="0"/>
                  <w:marBottom w:val="0"/>
                  <w:divBdr>
                    <w:top w:val="none" w:sz="0" w:space="0" w:color="auto"/>
                    <w:left w:val="none" w:sz="0" w:space="0" w:color="auto"/>
                    <w:bottom w:val="none" w:sz="0" w:space="0" w:color="auto"/>
                    <w:right w:val="none" w:sz="0" w:space="0" w:color="auto"/>
                  </w:divBdr>
                  <w:divsChild>
                    <w:div w:id="117845480">
                      <w:marLeft w:val="0"/>
                      <w:marRight w:val="0"/>
                      <w:marTop w:val="0"/>
                      <w:marBottom w:val="0"/>
                      <w:divBdr>
                        <w:top w:val="none" w:sz="0" w:space="0" w:color="auto"/>
                        <w:left w:val="none" w:sz="0" w:space="0" w:color="auto"/>
                        <w:bottom w:val="none" w:sz="0" w:space="0" w:color="auto"/>
                        <w:right w:val="none" w:sz="0" w:space="0" w:color="auto"/>
                      </w:divBdr>
                    </w:div>
                    <w:div w:id="1380277028">
                      <w:marLeft w:val="0"/>
                      <w:marRight w:val="0"/>
                      <w:marTop w:val="120"/>
                      <w:marBottom w:val="0"/>
                      <w:divBdr>
                        <w:top w:val="none" w:sz="0" w:space="0" w:color="auto"/>
                        <w:left w:val="none" w:sz="0" w:space="0" w:color="auto"/>
                        <w:bottom w:val="none" w:sz="0" w:space="0" w:color="auto"/>
                        <w:right w:val="none" w:sz="0" w:space="0" w:color="auto"/>
                      </w:divBdr>
                    </w:div>
                  </w:divsChild>
                </w:div>
                <w:div w:id="1193879079">
                  <w:marLeft w:val="0"/>
                  <w:marRight w:val="0"/>
                  <w:marTop w:val="0"/>
                  <w:marBottom w:val="0"/>
                  <w:divBdr>
                    <w:top w:val="none" w:sz="0" w:space="0" w:color="auto"/>
                    <w:left w:val="none" w:sz="0" w:space="0" w:color="auto"/>
                    <w:bottom w:val="none" w:sz="0" w:space="0" w:color="auto"/>
                    <w:right w:val="none" w:sz="0" w:space="0" w:color="auto"/>
                  </w:divBdr>
                  <w:divsChild>
                    <w:div w:id="622346261">
                      <w:marLeft w:val="0"/>
                      <w:marRight w:val="0"/>
                      <w:marTop w:val="120"/>
                      <w:marBottom w:val="0"/>
                      <w:divBdr>
                        <w:top w:val="none" w:sz="0" w:space="0" w:color="auto"/>
                        <w:left w:val="none" w:sz="0" w:space="0" w:color="auto"/>
                        <w:bottom w:val="none" w:sz="0" w:space="0" w:color="auto"/>
                        <w:right w:val="none" w:sz="0" w:space="0" w:color="auto"/>
                      </w:divBdr>
                    </w:div>
                    <w:div w:id="2059354125">
                      <w:marLeft w:val="0"/>
                      <w:marRight w:val="0"/>
                      <w:marTop w:val="0"/>
                      <w:marBottom w:val="0"/>
                      <w:divBdr>
                        <w:top w:val="none" w:sz="0" w:space="0" w:color="auto"/>
                        <w:left w:val="none" w:sz="0" w:space="0" w:color="auto"/>
                        <w:bottom w:val="none" w:sz="0" w:space="0" w:color="auto"/>
                        <w:right w:val="none" w:sz="0" w:space="0" w:color="auto"/>
                      </w:divBdr>
                    </w:div>
                  </w:divsChild>
                </w:div>
                <w:div w:id="1693148976">
                  <w:marLeft w:val="0"/>
                  <w:marRight w:val="0"/>
                  <w:marTop w:val="0"/>
                  <w:marBottom w:val="0"/>
                  <w:divBdr>
                    <w:top w:val="none" w:sz="0" w:space="0" w:color="auto"/>
                    <w:left w:val="none" w:sz="0" w:space="0" w:color="auto"/>
                    <w:bottom w:val="none" w:sz="0" w:space="0" w:color="auto"/>
                    <w:right w:val="none" w:sz="0" w:space="0" w:color="auto"/>
                  </w:divBdr>
                  <w:divsChild>
                    <w:div w:id="993609462">
                      <w:marLeft w:val="0"/>
                      <w:marRight w:val="0"/>
                      <w:marTop w:val="0"/>
                      <w:marBottom w:val="0"/>
                      <w:divBdr>
                        <w:top w:val="none" w:sz="0" w:space="0" w:color="auto"/>
                        <w:left w:val="none" w:sz="0" w:space="0" w:color="auto"/>
                        <w:bottom w:val="none" w:sz="0" w:space="0" w:color="auto"/>
                        <w:right w:val="none" w:sz="0" w:space="0" w:color="auto"/>
                      </w:divBdr>
                    </w:div>
                    <w:div w:id="1093434725">
                      <w:marLeft w:val="0"/>
                      <w:marRight w:val="0"/>
                      <w:marTop w:val="120"/>
                      <w:marBottom w:val="0"/>
                      <w:divBdr>
                        <w:top w:val="none" w:sz="0" w:space="0" w:color="auto"/>
                        <w:left w:val="none" w:sz="0" w:space="0" w:color="auto"/>
                        <w:bottom w:val="none" w:sz="0" w:space="0" w:color="auto"/>
                        <w:right w:val="none" w:sz="0" w:space="0" w:color="auto"/>
                      </w:divBdr>
                    </w:div>
                  </w:divsChild>
                </w:div>
                <w:div w:id="1933314939">
                  <w:marLeft w:val="0"/>
                  <w:marRight w:val="0"/>
                  <w:marTop w:val="0"/>
                  <w:marBottom w:val="0"/>
                  <w:divBdr>
                    <w:top w:val="none" w:sz="0" w:space="0" w:color="auto"/>
                    <w:left w:val="none" w:sz="0" w:space="0" w:color="auto"/>
                    <w:bottom w:val="none" w:sz="0" w:space="0" w:color="auto"/>
                    <w:right w:val="none" w:sz="0" w:space="0" w:color="auto"/>
                  </w:divBdr>
                  <w:divsChild>
                    <w:div w:id="4017951">
                      <w:marLeft w:val="0"/>
                      <w:marRight w:val="0"/>
                      <w:marTop w:val="0"/>
                      <w:marBottom w:val="0"/>
                      <w:divBdr>
                        <w:top w:val="none" w:sz="0" w:space="0" w:color="auto"/>
                        <w:left w:val="none" w:sz="0" w:space="0" w:color="auto"/>
                        <w:bottom w:val="none" w:sz="0" w:space="0" w:color="auto"/>
                        <w:right w:val="none" w:sz="0" w:space="0" w:color="auto"/>
                      </w:divBdr>
                    </w:div>
                    <w:div w:id="1340080999">
                      <w:marLeft w:val="0"/>
                      <w:marRight w:val="0"/>
                      <w:marTop w:val="120"/>
                      <w:marBottom w:val="0"/>
                      <w:divBdr>
                        <w:top w:val="none" w:sz="0" w:space="0" w:color="auto"/>
                        <w:left w:val="none" w:sz="0" w:space="0" w:color="auto"/>
                        <w:bottom w:val="none" w:sz="0" w:space="0" w:color="auto"/>
                        <w:right w:val="none" w:sz="0" w:space="0" w:color="auto"/>
                      </w:divBdr>
                    </w:div>
                  </w:divsChild>
                </w:div>
                <w:div w:id="2108578801">
                  <w:marLeft w:val="0"/>
                  <w:marRight w:val="0"/>
                  <w:marTop w:val="0"/>
                  <w:marBottom w:val="0"/>
                  <w:divBdr>
                    <w:top w:val="none" w:sz="0" w:space="0" w:color="auto"/>
                    <w:left w:val="none" w:sz="0" w:space="0" w:color="auto"/>
                    <w:bottom w:val="none" w:sz="0" w:space="0" w:color="auto"/>
                    <w:right w:val="none" w:sz="0" w:space="0" w:color="auto"/>
                  </w:divBdr>
                  <w:divsChild>
                    <w:div w:id="925915656">
                      <w:marLeft w:val="0"/>
                      <w:marRight w:val="0"/>
                      <w:marTop w:val="0"/>
                      <w:marBottom w:val="0"/>
                      <w:divBdr>
                        <w:top w:val="none" w:sz="0" w:space="0" w:color="auto"/>
                        <w:left w:val="none" w:sz="0" w:space="0" w:color="auto"/>
                        <w:bottom w:val="none" w:sz="0" w:space="0" w:color="auto"/>
                        <w:right w:val="none" w:sz="0" w:space="0" w:color="auto"/>
                      </w:divBdr>
                    </w:div>
                    <w:div w:id="1026829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2754067">
          <w:marLeft w:val="0"/>
          <w:marRight w:val="0"/>
          <w:marTop w:val="0"/>
          <w:marBottom w:val="0"/>
          <w:divBdr>
            <w:top w:val="none" w:sz="0" w:space="0" w:color="auto"/>
            <w:left w:val="none" w:sz="0" w:space="0" w:color="auto"/>
            <w:bottom w:val="none" w:sz="0" w:space="0" w:color="auto"/>
            <w:right w:val="none" w:sz="0" w:space="0" w:color="auto"/>
          </w:divBdr>
          <w:divsChild>
            <w:div w:id="1034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1114">
      <w:bodyDiv w:val="1"/>
      <w:marLeft w:val="0"/>
      <w:marRight w:val="0"/>
      <w:marTop w:val="0"/>
      <w:marBottom w:val="0"/>
      <w:divBdr>
        <w:top w:val="none" w:sz="0" w:space="0" w:color="auto"/>
        <w:left w:val="none" w:sz="0" w:space="0" w:color="auto"/>
        <w:bottom w:val="none" w:sz="0" w:space="0" w:color="auto"/>
        <w:right w:val="none" w:sz="0" w:space="0" w:color="auto"/>
      </w:divBdr>
    </w:div>
    <w:div w:id="2004310423">
      <w:bodyDiv w:val="1"/>
      <w:marLeft w:val="0"/>
      <w:marRight w:val="0"/>
      <w:marTop w:val="0"/>
      <w:marBottom w:val="0"/>
      <w:divBdr>
        <w:top w:val="none" w:sz="0" w:space="0" w:color="auto"/>
        <w:left w:val="none" w:sz="0" w:space="0" w:color="auto"/>
        <w:bottom w:val="none" w:sz="0" w:space="0" w:color="auto"/>
        <w:right w:val="none" w:sz="0" w:space="0" w:color="auto"/>
      </w:divBdr>
    </w:div>
    <w:div w:id="2026982381">
      <w:bodyDiv w:val="1"/>
      <w:marLeft w:val="0"/>
      <w:marRight w:val="0"/>
      <w:marTop w:val="0"/>
      <w:marBottom w:val="0"/>
      <w:divBdr>
        <w:top w:val="none" w:sz="0" w:space="0" w:color="auto"/>
        <w:left w:val="none" w:sz="0" w:space="0" w:color="auto"/>
        <w:bottom w:val="none" w:sz="0" w:space="0" w:color="auto"/>
        <w:right w:val="none" w:sz="0" w:space="0" w:color="auto"/>
      </w:divBdr>
      <w:divsChild>
        <w:div w:id="122701171">
          <w:marLeft w:val="0"/>
          <w:marRight w:val="0"/>
          <w:marTop w:val="0"/>
          <w:marBottom w:val="0"/>
          <w:divBdr>
            <w:top w:val="none" w:sz="0" w:space="0" w:color="auto"/>
            <w:left w:val="none" w:sz="0" w:space="0" w:color="auto"/>
            <w:bottom w:val="none" w:sz="0" w:space="0" w:color="auto"/>
            <w:right w:val="none" w:sz="0" w:space="0" w:color="auto"/>
          </w:divBdr>
          <w:divsChild>
            <w:div w:id="1977031595">
              <w:marLeft w:val="0"/>
              <w:marRight w:val="0"/>
              <w:marTop w:val="0"/>
              <w:marBottom w:val="0"/>
              <w:divBdr>
                <w:top w:val="none" w:sz="0" w:space="0" w:color="auto"/>
                <w:left w:val="none" w:sz="0" w:space="0" w:color="auto"/>
                <w:bottom w:val="none" w:sz="0" w:space="0" w:color="auto"/>
                <w:right w:val="none" w:sz="0" w:space="0" w:color="auto"/>
              </w:divBdr>
              <w:divsChild>
                <w:div w:id="1106080621">
                  <w:marLeft w:val="0"/>
                  <w:marRight w:val="0"/>
                  <w:marTop w:val="120"/>
                  <w:marBottom w:val="0"/>
                  <w:divBdr>
                    <w:top w:val="none" w:sz="0" w:space="0" w:color="auto"/>
                    <w:left w:val="none" w:sz="0" w:space="0" w:color="auto"/>
                    <w:bottom w:val="none" w:sz="0" w:space="0" w:color="auto"/>
                    <w:right w:val="none" w:sz="0" w:space="0" w:color="auto"/>
                  </w:divBdr>
                </w:div>
                <w:div w:id="1018388109">
                  <w:marLeft w:val="0"/>
                  <w:marRight w:val="0"/>
                  <w:marTop w:val="0"/>
                  <w:marBottom w:val="0"/>
                  <w:divBdr>
                    <w:top w:val="none" w:sz="0" w:space="0" w:color="auto"/>
                    <w:left w:val="none" w:sz="0" w:space="0" w:color="auto"/>
                    <w:bottom w:val="none" w:sz="0" w:space="0" w:color="auto"/>
                    <w:right w:val="none" w:sz="0" w:space="0" w:color="auto"/>
                  </w:divBdr>
                </w:div>
              </w:divsChild>
            </w:div>
            <w:div w:id="68843695">
              <w:marLeft w:val="0"/>
              <w:marRight w:val="0"/>
              <w:marTop w:val="0"/>
              <w:marBottom w:val="0"/>
              <w:divBdr>
                <w:top w:val="none" w:sz="0" w:space="0" w:color="auto"/>
                <w:left w:val="none" w:sz="0" w:space="0" w:color="auto"/>
                <w:bottom w:val="none" w:sz="0" w:space="0" w:color="auto"/>
                <w:right w:val="none" w:sz="0" w:space="0" w:color="auto"/>
              </w:divBdr>
              <w:divsChild>
                <w:div w:id="1841850843">
                  <w:marLeft w:val="0"/>
                  <w:marRight w:val="0"/>
                  <w:marTop w:val="120"/>
                  <w:marBottom w:val="0"/>
                  <w:divBdr>
                    <w:top w:val="none" w:sz="0" w:space="0" w:color="auto"/>
                    <w:left w:val="none" w:sz="0" w:space="0" w:color="auto"/>
                    <w:bottom w:val="none" w:sz="0" w:space="0" w:color="auto"/>
                    <w:right w:val="none" w:sz="0" w:space="0" w:color="auto"/>
                  </w:divBdr>
                </w:div>
                <w:div w:id="550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3958">
      <w:bodyDiv w:val="1"/>
      <w:marLeft w:val="0"/>
      <w:marRight w:val="0"/>
      <w:marTop w:val="0"/>
      <w:marBottom w:val="0"/>
      <w:divBdr>
        <w:top w:val="none" w:sz="0" w:space="0" w:color="auto"/>
        <w:left w:val="none" w:sz="0" w:space="0" w:color="auto"/>
        <w:bottom w:val="none" w:sz="0" w:space="0" w:color="auto"/>
        <w:right w:val="none" w:sz="0" w:space="0" w:color="auto"/>
      </w:divBdr>
    </w:div>
    <w:div w:id="2049912679">
      <w:bodyDiv w:val="1"/>
      <w:marLeft w:val="0"/>
      <w:marRight w:val="0"/>
      <w:marTop w:val="0"/>
      <w:marBottom w:val="0"/>
      <w:divBdr>
        <w:top w:val="none" w:sz="0" w:space="0" w:color="auto"/>
        <w:left w:val="none" w:sz="0" w:space="0" w:color="auto"/>
        <w:bottom w:val="none" w:sz="0" w:space="0" w:color="auto"/>
        <w:right w:val="none" w:sz="0" w:space="0" w:color="auto"/>
      </w:divBdr>
    </w:div>
    <w:div w:id="2071223845">
      <w:bodyDiv w:val="1"/>
      <w:marLeft w:val="0"/>
      <w:marRight w:val="0"/>
      <w:marTop w:val="0"/>
      <w:marBottom w:val="0"/>
      <w:divBdr>
        <w:top w:val="none" w:sz="0" w:space="0" w:color="auto"/>
        <w:left w:val="none" w:sz="0" w:space="0" w:color="auto"/>
        <w:bottom w:val="none" w:sz="0" w:space="0" w:color="auto"/>
        <w:right w:val="none" w:sz="0" w:space="0" w:color="auto"/>
      </w:divBdr>
      <w:divsChild>
        <w:div w:id="375280425">
          <w:marLeft w:val="0"/>
          <w:marRight w:val="0"/>
          <w:marTop w:val="0"/>
          <w:marBottom w:val="0"/>
          <w:divBdr>
            <w:top w:val="none" w:sz="0" w:space="0" w:color="auto"/>
            <w:left w:val="none" w:sz="0" w:space="0" w:color="auto"/>
            <w:bottom w:val="none" w:sz="0" w:space="0" w:color="auto"/>
            <w:right w:val="none" w:sz="0" w:space="0" w:color="auto"/>
          </w:divBdr>
          <w:divsChild>
            <w:div w:id="1426996129">
              <w:marLeft w:val="0"/>
              <w:marRight w:val="0"/>
              <w:marTop w:val="0"/>
              <w:marBottom w:val="0"/>
              <w:divBdr>
                <w:top w:val="none" w:sz="0" w:space="0" w:color="auto"/>
                <w:left w:val="none" w:sz="0" w:space="0" w:color="auto"/>
                <w:bottom w:val="none" w:sz="0" w:space="0" w:color="auto"/>
                <w:right w:val="none" w:sz="0" w:space="0" w:color="auto"/>
              </w:divBdr>
            </w:div>
            <w:div w:id="2143572183">
              <w:marLeft w:val="0"/>
              <w:marRight w:val="0"/>
              <w:marTop w:val="120"/>
              <w:marBottom w:val="0"/>
              <w:divBdr>
                <w:top w:val="none" w:sz="0" w:space="0" w:color="auto"/>
                <w:left w:val="none" w:sz="0" w:space="0" w:color="auto"/>
                <w:bottom w:val="none" w:sz="0" w:space="0" w:color="auto"/>
                <w:right w:val="none" w:sz="0" w:space="0" w:color="auto"/>
              </w:divBdr>
            </w:div>
          </w:divsChild>
        </w:div>
        <w:div w:id="548417119">
          <w:marLeft w:val="0"/>
          <w:marRight w:val="0"/>
          <w:marTop w:val="0"/>
          <w:marBottom w:val="0"/>
          <w:divBdr>
            <w:top w:val="none" w:sz="0" w:space="0" w:color="auto"/>
            <w:left w:val="none" w:sz="0" w:space="0" w:color="auto"/>
            <w:bottom w:val="none" w:sz="0" w:space="0" w:color="auto"/>
            <w:right w:val="none" w:sz="0" w:space="0" w:color="auto"/>
          </w:divBdr>
          <w:divsChild>
            <w:div w:id="216673107">
              <w:marLeft w:val="0"/>
              <w:marRight w:val="0"/>
              <w:marTop w:val="0"/>
              <w:marBottom w:val="0"/>
              <w:divBdr>
                <w:top w:val="none" w:sz="0" w:space="0" w:color="auto"/>
                <w:left w:val="none" w:sz="0" w:space="0" w:color="auto"/>
                <w:bottom w:val="none" w:sz="0" w:space="0" w:color="auto"/>
                <w:right w:val="none" w:sz="0" w:space="0" w:color="auto"/>
              </w:divBdr>
            </w:div>
            <w:div w:id="1404328680">
              <w:marLeft w:val="0"/>
              <w:marRight w:val="0"/>
              <w:marTop w:val="120"/>
              <w:marBottom w:val="0"/>
              <w:divBdr>
                <w:top w:val="none" w:sz="0" w:space="0" w:color="auto"/>
                <w:left w:val="none" w:sz="0" w:space="0" w:color="auto"/>
                <w:bottom w:val="none" w:sz="0" w:space="0" w:color="auto"/>
                <w:right w:val="none" w:sz="0" w:space="0" w:color="auto"/>
              </w:divBdr>
            </w:div>
          </w:divsChild>
        </w:div>
        <w:div w:id="936326137">
          <w:marLeft w:val="0"/>
          <w:marRight w:val="0"/>
          <w:marTop w:val="0"/>
          <w:marBottom w:val="0"/>
          <w:divBdr>
            <w:top w:val="none" w:sz="0" w:space="0" w:color="auto"/>
            <w:left w:val="none" w:sz="0" w:space="0" w:color="auto"/>
            <w:bottom w:val="none" w:sz="0" w:space="0" w:color="auto"/>
            <w:right w:val="none" w:sz="0" w:space="0" w:color="auto"/>
          </w:divBdr>
          <w:divsChild>
            <w:div w:id="288360600">
              <w:marLeft w:val="0"/>
              <w:marRight w:val="0"/>
              <w:marTop w:val="0"/>
              <w:marBottom w:val="0"/>
              <w:divBdr>
                <w:top w:val="none" w:sz="0" w:space="0" w:color="auto"/>
                <w:left w:val="none" w:sz="0" w:space="0" w:color="auto"/>
                <w:bottom w:val="none" w:sz="0" w:space="0" w:color="auto"/>
                <w:right w:val="none" w:sz="0" w:space="0" w:color="auto"/>
              </w:divBdr>
            </w:div>
            <w:div w:id="1854760934">
              <w:marLeft w:val="0"/>
              <w:marRight w:val="0"/>
              <w:marTop w:val="120"/>
              <w:marBottom w:val="0"/>
              <w:divBdr>
                <w:top w:val="none" w:sz="0" w:space="0" w:color="auto"/>
                <w:left w:val="none" w:sz="0" w:space="0" w:color="auto"/>
                <w:bottom w:val="none" w:sz="0" w:space="0" w:color="auto"/>
                <w:right w:val="none" w:sz="0" w:space="0" w:color="auto"/>
              </w:divBdr>
            </w:div>
          </w:divsChild>
        </w:div>
        <w:div w:id="1281062962">
          <w:marLeft w:val="0"/>
          <w:marRight w:val="0"/>
          <w:marTop w:val="0"/>
          <w:marBottom w:val="0"/>
          <w:divBdr>
            <w:top w:val="none" w:sz="0" w:space="0" w:color="auto"/>
            <w:left w:val="none" w:sz="0" w:space="0" w:color="auto"/>
            <w:bottom w:val="none" w:sz="0" w:space="0" w:color="auto"/>
            <w:right w:val="none" w:sz="0" w:space="0" w:color="auto"/>
          </w:divBdr>
          <w:divsChild>
            <w:div w:id="1238127851">
              <w:marLeft w:val="0"/>
              <w:marRight w:val="0"/>
              <w:marTop w:val="0"/>
              <w:marBottom w:val="0"/>
              <w:divBdr>
                <w:top w:val="none" w:sz="0" w:space="0" w:color="auto"/>
                <w:left w:val="none" w:sz="0" w:space="0" w:color="auto"/>
                <w:bottom w:val="none" w:sz="0" w:space="0" w:color="auto"/>
                <w:right w:val="none" w:sz="0" w:space="0" w:color="auto"/>
              </w:divBdr>
            </w:div>
            <w:div w:id="2116945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5154196">
      <w:bodyDiv w:val="1"/>
      <w:marLeft w:val="0"/>
      <w:marRight w:val="0"/>
      <w:marTop w:val="0"/>
      <w:marBottom w:val="0"/>
      <w:divBdr>
        <w:top w:val="none" w:sz="0" w:space="0" w:color="auto"/>
        <w:left w:val="none" w:sz="0" w:space="0" w:color="auto"/>
        <w:bottom w:val="none" w:sz="0" w:space="0" w:color="auto"/>
        <w:right w:val="none" w:sz="0" w:space="0" w:color="auto"/>
      </w:divBdr>
    </w:div>
    <w:div w:id="2082676885">
      <w:bodyDiv w:val="1"/>
      <w:marLeft w:val="0"/>
      <w:marRight w:val="0"/>
      <w:marTop w:val="0"/>
      <w:marBottom w:val="0"/>
      <w:divBdr>
        <w:top w:val="none" w:sz="0" w:space="0" w:color="auto"/>
        <w:left w:val="none" w:sz="0" w:space="0" w:color="auto"/>
        <w:bottom w:val="none" w:sz="0" w:space="0" w:color="auto"/>
        <w:right w:val="none" w:sz="0" w:space="0" w:color="auto"/>
      </w:divBdr>
    </w:div>
    <w:div w:id="2083721096">
      <w:bodyDiv w:val="1"/>
      <w:marLeft w:val="0"/>
      <w:marRight w:val="0"/>
      <w:marTop w:val="0"/>
      <w:marBottom w:val="0"/>
      <w:divBdr>
        <w:top w:val="none" w:sz="0" w:space="0" w:color="auto"/>
        <w:left w:val="none" w:sz="0" w:space="0" w:color="auto"/>
        <w:bottom w:val="none" w:sz="0" w:space="0" w:color="auto"/>
        <w:right w:val="none" w:sz="0" w:space="0" w:color="auto"/>
      </w:divBdr>
    </w:div>
    <w:div w:id="2094737452">
      <w:bodyDiv w:val="1"/>
      <w:marLeft w:val="0"/>
      <w:marRight w:val="0"/>
      <w:marTop w:val="0"/>
      <w:marBottom w:val="0"/>
      <w:divBdr>
        <w:top w:val="none" w:sz="0" w:space="0" w:color="auto"/>
        <w:left w:val="none" w:sz="0" w:space="0" w:color="auto"/>
        <w:bottom w:val="none" w:sz="0" w:space="0" w:color="auto"/>
        <w:right w:val="none" w:sz="0" w:space="0" w:color="auto"/>
      </w:divBdr>
      <w:divsChild>
        <w:div w:id="226110594">
          <w:marLeft w:val="0"/>
          <w:marRight w:val="0"/>
          <w:marTop w:val="0"/>
          <w:marBottom w:val="0"/>
          <w:divBdr>
            <w:top w:val="none" w:sz="0" w:space="0" w:color="auto"/>
            <w:left w:val="none" w:sz="0" w:space="0" w:color="auto"/>
            <w:bottom w:val="none" w:sz="0" w:space="0" w:color="auto"/>
            <w:right w:val="none" w:sz="0" w:space="0" w:color="auto"/>
          </w:divBdr>
        </w:div>
        <w:div w:id="367342769">
          <w:marLeft w:val="0"/>
          <w:marRight w:val="0"/>
          <w:marTop w:val="120"/>
          <w:marBottom w:val="0"/>
          <w:divBdr>
            <w:top w:val="none" w:sz="0" w:space="0" w:color="auto"/>
            <w:left w:val="none" w:sz="0" w:space="0" w:color="auto"/>
            <w:bottom w:val="none" w:sz="0" w:space="0" w:color="auto"/>
            <w:right w:val="none" w:sz="0" w:space="0" w:color="auto"/>
          </w:divBdr>
        </w:div>
      </w:divsChild>
    </w:div>
    <w:div w:id="2103258134">
      <w:bodyDiv w:val="1"/>
      <w:marLeft w:val="0"/>
      <w:marRight w:val="0"/>
      <w:marTop w:val="0"/>
      <w:marBottom w:val="0"/>
      <w:divBdr>
        <w:top w:val="none" w:sz="0" w:space="0" w:color="auto"/>
        <w:left w:val="none" w:sz="0" w:space="0" w:color="auto"/>
        <w:bottom w:val="none" w:sz="0" w:space="0" w:color="auto"/>
        <w:right w:val="none" w:sz="0" w:space="0" w:color="auto"/>
      </w:divBdr>
      <w:divsChild>
        <w:div w:id="1911303835">
          <w:marLeft w:val="0"/>
          <w:marRight w:val="0"/>
          <w:marTop w:val="0"/>
          <w:marBottom w:val="0"/>
          <w:divBdr>
            <w:top w:val="none" w:sz="0" w:space="0" w:color="auto"/>
            <w:left w:val="none" w:sz="0" w:space="0" w:color="auto"/>
            <w:bottom w:val="none" w:sz="0" w:space="0" w:color="auto"/>
            <w:right w:val="none" w:sz="0" w:space="0" w:color="auto"/>
          </w:divBdr>
        </w:div>
      </w:divsChild>
    </w:div>
    <w:div w:id="2106535612">
      <w:bodyDiv w:val="1"/>
      <w:marLeft w:val="0"/>
      <w:marRight w:val="0"/>
      <w:marTop w:val="0"/>
      <w:marBottom w:val="0"/>
      <w:divBdr>
        <w:top w:val="none" w:sz="0" w:space="0" w:color="auto"/>
        <w:left w:val="none" w:sz="0" w:space="0" w:color="auto"/>
        <w:bottom w:val="none" w:sz="0" w:space="0" w:color="auto"/>
        <w:right w:val="none" w:sz="0" w:space="0" w:color="auto"/>
      </w:divBdr>
      <w:divsChild>
        <w:div w:id="978650783">
          <w:marLeft w:val="0"/>
          <w:marRight w:val="0"/>
          <w:marTop w:val="0"/>
          <w:marBottom w:val="0"/>
          <w:divBdr>
            <w:top w:val="none" w:sz="0" w:space="0" w:color="auto"/>
            <w:left w:val="none" w:sz="0" w:space="0" w:color="auto"/>
            <w:bottom w:val="none" w:sz="0" w:space="0" w:color="auto"/>
            <w:right w:val="none" w:sz="0" w:space="0" w:color="auto"/>
          </w:divBdr>
          <w:divsChild>
            <w:div w:id="1134298885">
              <w:marLeft w:val="0"/>
              <w:marRight w:val="0"/>
              <w:marTop w:val="0"/>
              <w:marBottom w:val="0"/>
              <w:divBdr>
                <w:top w:val="none" w:sz="0" w:space="0" w:color="auto"/>
                <w:left w:val="none" w:sz="0" w:space="0" w:color="auto"/>
                <w:bottom w:val="none" w:sz="0" w:space="0" w:color="auto"/>
                <w:right w:val="none" w:sz="0" w:space="0" w:color="auto"/>
              </w:divBdr>
              <w:divsChild>
                <w:div w:id="153450162">
                  <w:marLeft w:val="0"/>
                  <w:marRight w:val="0"/>
                  <w:marTop w:val="0"/>
                  <w:marBottom w:val="0"/>
                  <w:divBdr>
                    <w:top w:val="none" w:sz="0" w:space="0" w:color="auto"/>
                    <w:left w:val="none" w:sz="0" w:space="0" w:color="auto"/>
                    <w:bottom w:val="none" w:sz="0" w:space="0" w:color="auto"/>
                    <w:right w:val="none" w:sz="0" w:space="0" w:color="auto"/>
                  </w:divBdr>
                </w:div>
                <w:div w:id="1222130222">
                  <w:marLeft w:val="0"/>
                  <w:marRight w:val="0"/>
                  <w:marTop w:val="120"/>
                  <w:marBottom w:val="0"/>
                  <w:divBdr>
                    <w:top w:val="none" w:sz="0" w:space="0" w:color="auto"/>
                    <w:left w:val="none" w:sz="0" w:space="0" w:color="auto"/>
                    <w:bottom w:val="none" w:sz="0" w:space="0" w:color="auto"/>
                    <w:right w:val="none" w:sz="0" w:space="0" w:color="auto"/>
                  </w:divBdr>
                </w:div>
              </w:divsChild>
            </w:div>
            <w:div w:id="1280911885">
              <w:marLeft w:val="0"/>
              <w:marRight w:val="0"/>
              <w:marTop w:val="0"/>
              <w:marBottom w:val="0"/>
              <w:divBdr>
                <w:top w:val="none" w:sz="0" w:space="0" w:color="auto"/>
                <w:left w:val="none" w:sz="0" w:space="0" w:color="auto"/>
                <w:bottom w:val="none" w:sz="0" w:space="0" w:color="auto"/>
                <w:right w:val="none" w:sz="0" w:space="0" w:color="auto"/>
              </w:divBdr>
              <w:divsChild>
                <w:div w:id="1075973760">
                  <w:marLeft w:val="0"/>
                  <w:marRight w:val="0"/>
                  <w:marTop w:val="0"/>
                  <w:marBottom w:val="0"/>
                  <w:divBdr>
                    <w:top w:val="none" w:sz="0" w:space="0" w:color="auto"/>
                    <w:left w:val="none" w:sz="0" w:space="0" w:color="auto"/>
                    <w:bottom w:val="none" w:sz="0" w:space="0" w:color="auto"/>
                    <w:right w:val="none" w:sz="0" w:space="0" w:color="auto"/>
                  </w:divBdr>
                </w:div>
                <w:div w:id="11252679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0965783">
          <w:marLeft w:val="0"/>
          <w:marRight w:val="0"/>
          <w:marTop w:val="120"/>
          <w:marBottom w:val="0"/>
          <w:divBdr>
            <w:top w:val="none" w:sz="0" w:space="0" w:color="auto"/>
            <w:left w:val="none" w:sz="0" w:space="0" w:color="auto"/>
            <w:bottom w:val="none" w:sz="0" w:space="0" w:color="auto"/>
            <w:right w:val="none" w:sz="0" w:space="0" w:color="auto"/>
          </w:divBdr>
        </w:div>
      </w:divsChild>
    </w:div>
    <w:div w:id="2120374635">
      <w:bodyDiv w:val="1"/>
      <w:marLeft w:val="0"/>
      <w:marRight w:val="0"/>
      <w:marTop w:val="0"/>
      <w:marBottom w:val="0"/>
      <w:divBdr>
        <w:top w:val="none" w:sz="0" w:space="0" w:color="auto"/>
        <w:left w:val="none" w:sz="0" w:space="0" w:color="auto"/>
        <w:bottom w:val="none" w:sz="0" w:space="0" w:color="auto"/>
        <w:right w:val="none" w:sz="0" w:space="0" w:color="auto"/>
      </w:divBdr>
    </w:div>
    <w:div w:id="2127000798">
      <w:bodyDiv w:val="1"/>
      <w:marLeft w:val="0"/>
      <w:marRight w:val="0"/>
      <w:marTop w:val="0"/>
      <w:marBottom w:val="0"/>
      <w:divBdr>
        <w:top w:val="none" w:sz="0" w:space="0" w:color="auto"/>
        <w:left w:val="none" w:sz="0" w:space="0" w:color="auto"/>
        <w:bottom w:val="none" w:sz="0" w:space="0" w:color="auto"/>
        <w:right w:val="none" w:sz="0" w:space="0" w:color="auto"/>
      </w:divBdr>
    </w:div>
    <w:div w:id="2129666629">
      <w:bodyDiv w:val="1"/>
      <w:marLeft w:val="0"/>
      <w:marRight w:val="0"/>
      <w:marTop w:val="0"/>
      <w:marBottom w:val="0"/>
      <w:divBdr>
        <w:top w:val="none" w:sz="0" w:space="0" w:color="auto"/>
        <w:left w:val="none" w:sz="0" w:space="0" w:color="auto"/>
        <w:bottom w:val="none" w:sz="0" w:space="0" w:color="auto"/>
        <w:right w:val="none" w:sz="0" w:space="0" w:color="auto"/>
      </w:divBdr>
    </w:div>
    <w:div w:id="2131243612">
      <w:bodyDiv w:val="1"/>
      <w:marLeft w:val="0"/>
      <w:marRight w:val="0"/>
      <w:marTop w:val="0"/>
      <w:marBottom w:val="0"/>
      <w:divBdr>
        <w:top w:val="none" w:sz="0" w:space="0" w:color="auto"/>
        <w:left w:val="none" w:sz="0" w:space="0" w:color="auto"/>
        <w:bottom w:val="none" w:sz="0" w:space="0" w:color="auto"/>
        <w:right w:val="none" w:sz="0" w:space="0" w:color="auto"/>
      </w:divBdr>
    </w:div>
    <w:div w:id="2134207184">
      <w:bodyDiv w:val="1"/>
      <w:marLeft w:val="0"/>
      <w:marRight w:val="0"/>
      <w:marTop w:val="0"/>
      <w:marBottom w:val="0"/>
      <w:divBdr>
        <w:top w:val="none" w:sz="0" w:space="0" w:color="auto"/>
        <w:left w:val="none" w:sz="0" w:space="0" w:color="auto"/>
        <w:bottom w:val="none" w:sz="0" w:space="0" w:color="auto"/>
        <w:right w:val="none" w:sz="0" w:space="0" w:color="auto"/>
      </w:divBdr>
    </w:div>
    <w:div w:id="2139638045">
      <w:bodyDiv w:val="1"/>
      <w:marLeft w:val="0"/>
      <w:marRight w:val="0"/>
      <w:marTop w:val="0"/>
      <w:marBottom w:val="0"/>
      <w:divBdr>
        <w:top w:val="none" w:sz="0" w:space="0" w:color="auto"/>
        <w:left w:val="none" w:sz="0" w:space="0" w:color="auto"/>
        <w:bottom w:val="none" w:sz="0" w:space="0" w:color="auto"/>
        <w:right w:val="none" w:sz="0" w:space="0" w:color="auto"/>
      </w:divBdr>
      <w:divsChild>
        <w:div w:id="162429148">
          <w:marLeft w:val="0"/>
          <w:marRight w:val="0"/>
          <w:marTop w:val="0"/>
          <w:marBottom w:val="0"/>
          <w:divBdr>
            <w:top w:val="none" w:sz="0" w:space="0" w:color="auto"/>
            <w:left w:val="none" w:sz="0" w:space="0" w:color="auto"/>
            <w:bottom w:val="none" w:sz="0" w:space="0" w:color="auto"/>
            <w:right w:val="none" w:sz="0" w:space="0" w:color="auto"/>
          </w:divBdr>
          <w:divsChild>
            <w:div w:id="624695998">
              <w:marLeft w:val="0"/>
              <w:marRight w:val="0"/>
              <w:marTop w:val="0"/>
              <w:marBottom w:val="0"/>
              <w:divBdr>
                <w:top w:val="none" w:sz="0" w:space="0" w:color="auto"/>
                <w:left w:val="none" w:sz="0" w:space="0" w:color="auto"/>
                <w:bottom w:val="none" w:sz="0" w:space="0" w:color="auto"/>
                <w:right w:val="none" w:sz="0" w:space="0" w:color="auto"/>
              </w:divBdr>
              <w:divsChild>
                <w:div w:id="1057633041">
                  <w:marLeft w:val="0"/>
                  <w:marRight w:val="0"/>
                  <w:marTop w:val="0"/>
                  <w:marBottom w:val="0"/>
                  <w:divBdr>
                    <w:top w:val="none" w:sz="0" w:space="0" w:color="auto"/>
                    <w:left w:val="none" w:sz="0" w:space="0" w:color="auto"/>
                    <w:bottom w:val="none" w:sz="0" w:space="0" w:color="auto"/>
                    <w:right w:val="none" w:sz="0" w:space="0" w:color="auto"/>
                  </w:divBdr>
                  <w:divsChild>
                    <w:div w:id="792793888">
                      <w:marLeft w:val="0"/>
                      <w:marRight w:val="0"/>
                      <w:marTop w:val="0"/>
                      <w:marBottom w:val="0"/>
                      <w:divBdr>
                        <w:top w:val="none" w:sz="0" w:space="0" w:color="auto"/>
                        <w:left w:val="none" w:sz="0" w:space="0" w:color="auto"/>
                        <w:bottom w:val="none" w:sz="0" w:space="0" w:color="auto"/>
                        <w:right w:val="none" w:sz="0" w:space="0" w:color="auto"/>
                      </w:divBdr>
                    </w:div>
                    <w:div w:id="1461142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1218237">
          <w:marLeft w:val="0"/>
          <w:marRight w:val="0"/>
          <w:marTop w:val="0"/>
          <w:marBottom w:val="0"/>
          <w:divBdr>
            <w:top w:val="none" w:sz="0" w:space="0" w:color="auto"/>
            <w:left w:val="none" w:sz="0" w:space="0" w:color="auto"/>
            <w:bottom w:val="none" w:sz="0" w:space="0" w:color="auto"/>
            <w:right w:val="none" w:sz="0" w:space="0" w:color="auto"/>
          </w:divBdr>
          <w:divsChild>
            <w:div w:id="7321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uri=CELEX%3A02013R0575-20230628&amp;qid=1645079008920" TargetMode="External"/><Relationship Id="rId18" Type="http://schemas.openxmlformats.org/officeDocument/2006/relationships/hyperlink" Target="http://eur-lex.europa.eu/legal-content/RO/TXT/?qid=1513430424112&amp;uri=CELEX:02013R0575-20160719" TargetMode="External"/><Relationship Id="rId26" Type="http://schemas.openxmlformats.org/officeDocument/2006/relationships/image" Target="media/image2.jpeg"/><Relationship Id="rId39" Type="http://schemas.openxmlformats.org/officeDocument/2006/relationships/image" Target="media/image15.jpeg"/><Relationship Id="rId21" Type="http://schemas.openxmlformats.org/officeDocument/2006/relationships/hyperlink" Target="https://eur-lex.europa.eu/legal-content/RO/AUTO/?uri=celex:32019R0876" TargetMode="External"/><Relationship Id="rId34" Type="http://schemas.openxmlformats.org/officeDocument/2006/relationships/image" Target="media/image10.jpeg"/><Relationship Id="rId42" Type="http://schemas.openxmlformats.org/officeDocument/2006/relationships/image" Target="media/image17.jpeg"/><Relationship Id="rId47" Type="http://schemas.openxmlformats.org/officeDocument/2006/relationships/image" Target="media/image22.jpeg"/><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RO/TXT/?uri=CELEX%3A02013R0575-20230628&amp;qid=1645079008920" TargetMode="External"/><Relationship Id="rId29" Type="http://schemas.openxmlformats.org/officeDocument/2006/relationships/image" Target="media/image5.jpeg"/><Relationship Id="rId11" Type="http://schemas.openxmlformats.org/officeDocument/2006/relationships/hyperlink" Target="https://eur-lex.europa.eu/legal-content/RO/TXT/?uri=CELEX%3A02013R0575-20230628&amp;qid=1645079008920" TargetMode="External"/><Relationship Id="rId24" Type="http://schemas.openxmlformats.org/officeDocument/2006/relationships/hyperlink" Target="https://eur-lex.europa.eu/legal-content/RO/AUTO/?uri=celex:32024R1623" TargetMode="Externa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hyperlink" Target="https://eur-lex.europa.eu/legal-content/RO/AUTO/?uri=celex:32024R1623" TargetMode="External"/><Relationship Id="rId45" Type="http://schemas.openxmlformats.org/officeDocument/2006/relationships/image" Target="media/image20.jpe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ur-lex.europa.eu/legal-content/RO/TXT/?uri=CELEX%3A02013R0575-20230628&amp;qid=1645079008920" TargetMode="External"/><Relationship Id="rId31" Type="http://schemas.openxmlformats.org/officeDocument/2006/relationships/image" Target="media/image7.jpeg"/><Relationship Id="rId44" Type="http://schemas.openxmlformats.org/officeDocument/2006/relationships/image" Target="media/image19.jpeg"/><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AUTO/?uri=celex:32019R2033" TargetMode="External"/><Relationship Id="rId22" Type="http://schemas.openxmlformats.org/officeDocument/2006/relationships/hyperlink" Target="https://eur-lex.europa.eu/legal-content/RO/AUTO/?uri=celex:32019R0876"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image" Target="media/image18.jpeg"/><Relationship Id="rId48" Type="http://schemas.openxmlformats.org/officeDocument/2006/relationships/image" Target="media/image23.jpeg"/><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ur-lex.europa.eu/legal-content/RO/TXT/?uri=CELEX%3A02013R0575-20230628&amp;qid=1645079008920" TargetMode="External"/><Relationship Id="rId17" Type="http://schemas.openxmlformats.org/officeDocument/2006/relationships/hyperlink" Target="https://eur-lex.europa.eu/legal-content/RO/TXT/?uri=CELEX%3A02013R0575-20230628&amp;qid=1645079008920" TargetMode="External"/><Relationship Id="rId25" Type="http://schemas.openxmlformats.org/officeDocument/2006/relationships/image" Target="media/image1.jpeg"/><Relationship Id="rId33" Type="http://schemas.openxmlformats.org/officeDocument/2006/relationships/image" Target="media/image9.jpeg"/><Relationship Id="rId38" Type="http://schemas.openxmlformats.org/officeDocument/2006/relationships/image" Target="media/image14.jpeg"/><Relationship Id="rId46" Type="http://schemas.openxmlformats.org/officeDocument/2006/relationships/image" Target="media/image21.jpeg"/><Relationship Id="rId20" Type="http://schemas.openxmlformats.org/officeDocument/2006/relationships/hyperlink" Target="https://eur-lex.europa.eu/legal-content/RO/TXT/?uri=CELEX%3A02013R0575-20230628&amp;qid=1645079008920" TargetMode="External"/><Relationship Id="rId41" Type="http://schemas.openxmlformats.org/officeDocument/2006/relationships/image" Target="media/image16.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RO/TXT/?uri=CELEX%3A02013R0575-20230628&amp;qid=1645079008920" TargetMode="External"/><Relationship Id="rId23" Type="http://schemas.openxmlformats.org/officeDocument/2006/relationships/hyperlink" Target="https://www.eba.europa.eu/activities/supervisory-convergence/supervisory-disclosure/rules-and-guidance" TargetMode="External"/><Relationship Id="rId28" Type="http://schemas.openxmlformats.org/officeDocument/2006/relationships/image" Target="media/image4.jpeg"/><Relationship Id="rId36" Type="http://schemas.openxmlformats.org/officeDocument/2006/relationships/image" Target="media/image12.jpeg"/><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73C94-DCA8-40AE-BC54-8912CD3DD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D3947-E460-4E7E-A4BA-242D8B99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4024C-5915-4350-8ACE-0CBE4817854F}">
  <ds:schemaRefs>
    <ds:schemaRef ds:uri="http://schemas.microsoft.com/sharepoint/v3/contenttype/forms"/>
  </ds:schemaRefs>
</ds:datastoreItem>
</file>

<file path=customXml/itemProps4.xml><?xml version="1.0" encoding="utf-8"?>
<ds:datastoreItem xmlns:ds="http://schemas.openxmlformats.org/officeDocument/2006/customXml" ds:itemID="{9273D102-30B6-4D33-937A-8655F64D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113</Pages>
  <Words>65833</Words>
  <Characters>381836</Characters>
  <Application>Microsoft Office Word</Application>
  <DocSecurity>0</DocSecurity>
  <Lines>3181</Lines>
  <Paragraphs>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2026-03-04T16:27:00Z</cp:lastPrinted>
  <dcterms:created xsi:type="dcterms:W3CDTF">2026-03-04T16:28:00Z</dcterms:created>
  <dcterms:modified xsi:type="dcterms:W3CDTF">2026-03-04T16:28:00Z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da421007-e4ca-427f-846e-06ed34b4b3fe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2025-02-12T07:16:22Z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34f25fb5-ba26-40b4-8647-27e0c910e656</vt:lpwstr>
  </property>
  <property fmtid="{D5CDD505-2E9C-101B-9397-08002B2CF9AE}" pid="11" name="MSIP_Label_38962dcf-d39f-4edc-a396-338a56ba9170_ContentBits">
    <vt:lpwstr>0</vt:lpwstr>
  </property>
</Properties>
</file>